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F8A" w:rsidRDefault="00F66C5F">
      <w:r>
        <w:t>PSIRU/</w:t>
      </w:r>
      <w:r w:rsidR="00CA0F7F">
        <w:t>PSI Energy papers</w:t>
      </w:r>
      <w:r>
        <w:t xml:space="preserve"> 4</w:t>
      </w:r>
    </w:p>
    <w:p w:rsidR="00CA0F7F" w:rsidRDefault="00CA0F7F"/>
    <w:p w:rsidR="00AE2202" w:rsidRDefault="00EE100A" w:rsidP="00AE2202">
      <w:pPr>
        <w:pStyle w:val="Subtitle"/>
      </w:pPr>
      <w:r>
        <w:t>Liberalisation, privatisation and public ownership</w:t>
      </w:r>
    </w:p>
    <w:p w:rsidR="00CA0F7F" w:rsidRPr="00276512" w:rsidRDefault="00CA0F7F" w:rsidP="00CA0F7F">
      <w:pPr>
        <w:jc w:val="center"/>
      </w:pPr>
      <w:r>
        <w:t>September</w:t>
      </w:r>
      <w:r w:rsidRPr="00276512">
        <w:t xml:space="preserve"> 2013</w:t>
      </w:r>
    </w:p>
    <w:p w:rsidR="00CA0F7F" w:rsidRPr="00464059" w:rsidRDefault="00CA0F7F" w:rsidP="00CA0F7F">
      <w:pPr>
        <w:jc w:val="center"/>
      </w:pPr>
      <w:r w:rsidRPr="00464059">
        <w:t>By</w:t>
      </w:r>
    </w:p>
    <w:p w:rsidR="00CA0F7F" w:rsidRPr="00464059" w:rsidRDefault="00CA0F7F" w:rsidP="00CA0F7F">
      <w:pPr>
        <w:jc w:val="center"/>
      </w:pPr>
      <w:r w:rsidRPr="00464059">
        <w:t xml:space="preserve">David Hall, Sandra van </w:t>
      </w:r>
      <w:proofErr w:type="spellStart"/>
      <w:r w:rsidRPr="00464059">
        <w:t>Niekerk</w:t>
      </w:r>
      <w:proofErr w:type="spellEnd"/>
      <w:r w:rsidRPr="00464059">
        <w:t>, Jenny Nguyen, Steve Thomas</w:t>
      </w:r>
    </w:p>
    <w:p w:rsidR="00CA0F7F" w:rsidRPr="00064330" w:rsidRDefault="00481168" w:rsidP="00CA0F7F">
      <w:pPr>
        <w:jc w:val="center"/>
        <w:rPr>
          <w:rFonts w:asciiTheme="minorHAnsi" w:hAnsiTheme="minorHAnsi"/>
        </w:rPr>
      </w:pPr>
      <w:hyperlink r:id="rId9" w:history="1">
        <w:r w:rsidR="00CA0F7F" w:rsidRPr="00064330">
          <w:rPr>
            <w:rStyle w:val="Hyperlink"/>
            <w:rFonts w:asciiTheme="minorHAnsi" w:hAnsiTheme="minorHAnsi"/>
          </w:rPr>
          <w:t>d.j.hall@gre.ac.uk</w:t>
        </w:r>
      </w:hyperlink>
      <w:r w:rsidR="00CA0F7F" w:rsidRPr="00064330">
        <w:rPr>
          <w:rFonts w:asciiTheme="minorHAnsi" w:hAnsiTheme="minorHAnsi"/>
        </w:rPr>
        <w:t xml:space="preserve">; </w:t>
      </w:r>
      <w:hyperlink r:id="rId10" w:history="1">
        <w:r w:rsidR="00CA0F7F" w:rsidRPr="00064330">
          <w:rPr>
            <w:rStyle w:val="Hyperlink"/>
            <w:rFonts w:asciiTheme="minorHAnsi" w:hAnsiTheme="minorHAnsi"/>
          </w:rPr>
          <w:t>sandravn@iafrica.com</w:t>
        </w:r>
      </w:hyperlink>
      <w:r w:rsidR="00CA0F7F" w:rsidRPr="00064330">
        <w:rPr>
          <w:rFonts w:asciiTheme="minorHAnsi" w:hAnsiTheme="minorHAnsi"/>
        </w:rPr>
        <w:t>;</w:t>
      </w:r>
      <w:r w:rsidR="00CA0F7F">
        <w:rPr>
          <w:rFonts w:asciiTheme="minorHAnsi" w:hAnsiTheme="minorHAnsi"/>
        </w:rPr>
        <w:t xml:space="preserve"> </w:t>
      </w:r>
      <w:hyperlink r:id="rId11" w:history="1">
        <w:r w:rsidR="00CA0F7F" w:rsidRPr="00064330">
          <w:rPr>
            <w:rStyle w:val="Hyperlink"/>
            <w:rFonts w:asciiTheme="minorHAnsi" w:hAnsiTheme="minorHAnsi"/>
          </w:rPr>
          <w:t>t.nguyen@gre.ac.uk</w:t>
        </w:r>
      </w:hyperlink>
      <w:r w:rsidR="00CA0F7F">
        <w:rPr>
          <w:rFonts w:asciiTheme="minorHAnsi" w:hAnsiTheme="minorHAnsi"/>
        </w:rPr>
        <w:t xml:space="preserve">; </w:t>
      </w:r>
      <w:hyperlink r:id="rId12" w:history="1">
        <w:r w:rsidR="00CA0F7F" w:rsidRPr="00064330">
          <w:rPr>
            <w:rStyle w:val="Hyperlink"/>
            <w:rFonts w:asciiTheme="minorHAnsi" w:hAnsiTheme="minorHAnsi"/>
          </w:rPr>
          <w:t>s.thomas@gre.ac.uk</w:t>
        </w:r>
      </w:hyperlink>
      <w:r w:rsidR="00CA0F7F" w:rsidRPr="00064330">
        <w:rPr>
          <w:rFonts w:asciiTheme="minorHAnsi" w:hAnsiTheme="minorHAnsi"/>
        </w:rPr>
        <w:t xml:space="preserve"> </w:t>
      </w:r>
    </w:p>
    <w:p w:rsidR="00F66C5F" w:rsidRPr="00F66C5F" w:rsidRDefault="00F66C5F" w:rsidP="00F66C5F">
      <w:pPr>
        <w:pStyle w:val="Subtitle"/>
      </w:pPr>
      <w:bookmarkStart w:id="0" w:name="_GoBack"/>
      <w:bookmarkEnd w:id="0"/>
    </w:p>
    <w:p w:rsidR="00F66C5F" w:rsidRPr="00F66C5F" w:rsidRDefault="00F66C5F" w:rsidP="00F66C5F">
      <w:pPr>
        <w:pBdr>
          <w:top w:val="single" w:sz="4" w:space="1" w:color="auto"/>
          <w:left w:val="single" w:sz="4" w:space="4" w:color="auto"/>
          <w:bottom w:val="single" w:sz="4" w:space="1" w:color="auto"/>
          <w:right w:val="single" w:sz="4" w:space="4" w:color="auto"/>
        </w:pBdr>
        <w:jc w:val="center"/>
      </w:pPr>
      <w:r w:rsidRPr="00F66C5F">
        <w:t>This report was commissioned by Public Services International (PSI) for the global meeting of energy unions September 2013</w:t>
      </w:r>
    </w:p>
    <w:p w:rsidR="00F66C5F" w:rsidRPr="00F66C5F" w:rsidRDefault="00F66C5F" w:rsidP="00F66C5F">
      <w:pPr>
        <w:pStyle w:val="Subtitle"/>
      </w:pPr>
    </w:p>
    <w:p w:rsidR="00EE100A" w:rsidRDefault="00EE100A" w:rsidP="00AE2202">
      <w:pPr>
        <w:pStyle w:val="Subtitle"/>
      </w:pPr>
    </w:p>
    <w:p w:rsidR="001C14C6" w:rsidRDefault="00CA0F7F">
      <w:pPr>
        <w:pStyle w:val="TOC1"/>
        <w:tabs>
          <w:tab w:val="left" w:pos="442"/>
          <w:tab w:val="right" w:leader="dot" w:pos="9628"/>
        </w:tabs>
        <w:rPr>
          <w:rFonts w:asciiTheme="minorHAnsi" w:eastAsiaTheme="minorEastAsia" w:hAnsiTheme="minorHAnsi" w:cstheme="minorBidi"/>
          <w:b w:val="0"/>
          <w:bCs w:val="0"/>
          <w:caps w:val="0"/>
          <w:noProof/>
          <w:sz w:val="22"/>
          <w:szCs w:val="22"/>
        </w:rPr>
      </w:pPr>
      <w:r>
        <w:rPr>
          <w:rFonts w:ascii="Tahoma" w:hAnsi="Tahoma" w:cs="Tahoma"/>
          <w:lang w:val="nl-BE"/>
        </w:rPr>
        <w:fldChar w:fldCharType="begin"/>
      </w:r>
      <w:r>
        <w:rPr>
          <w:rFonts w:ascii="Tahoma" w:hAnsi="Tahoma" w:cs="Tahoma"/>
          <w:lang w:val="nl-BE"/>
        </w:rPr>
        <w:instrText xml:space="preserve"> TOC \o "3-4" \h \z \t "Heading 1,1,Heading 2,2,Heading 5,4,Heading 6,4,Heading 7,4,Heading 8,4,Heading 9,4" </w:instrText>
      </w:r>
      <w:r>
        <w:rPr>
          <w:rFonts w:ascii="Tahoma" w:hAnsi="Tahoma" w:cs="Tahoma"/>
          <w:lang w:val="nl-BE"/>
        </w:rPr>
        <w:fldChar w:fldCharType="separate"/>
      </w:r>
      <w:hyperlink w:anchor="_Toc366776044" w:history="1">
        <w:r w:rsidR="001C14C6" w:rsidRPr="00162C72">
          <w:rPr>
            <w:rStyle w:val="Hyperlink"/>
            <w:noProof/>
            <w:lang w:val="nl-BE"/>
          </w:rPr>
          <w:t>1.</w:t>
        </w:r>
        <w:r w:rsidR="001C14C6">
          <w:rPr>
            <w:rFonts w:asciiTheme="minorHAnsi" w:eastAsiaTheme="minorEastAsia" w:hAnsiTheme="minorHAnsi" w:cstheme="minorBidi"/>
            <w:b w:val="0"/>
            <w:bCs w:val="0"/>
            <w:caps w:val="0"/>
            <w:noProof/>
            <w:sz w:val="22"/>
            <w:szCs w:val="22"/>
          </w:rPr>
          <w:tab/>
        </w:r>
        <w:r w:rsidR="001C14C6" w:rsidRPr="00162C72">
          <w:rPr>
            <w:rStyle w:val="Hyperlink"/>
            <w:noProof/>
            <w:lang w:val="nl-BE"/>
          </w:rPr>
          <w:t>Introduction</w:t>
        </w:r>
        <w:r w:rsidR="001C14C6">
          <w:rPr>
            <w:noProof/>
            <w:webHidden/>
          </w:rPr>
          <w:tab/>
        </w:r>
        <w:r w:rsidR="001C14C6">
          <w:rPr>
            <w:noProof/>
            <w:webHidden/>
          </w:rPr>
          <w:fldChar w:fldCharType="begin"/>
        </w:r>
        <w:r w:rsidR="001C14C6">
          <w:rPr>
            <w:noProof/>
            <w:webHidden/>
          </w:rPr>
          <w:instrText xml:space="preserve"> PAGEREF _Toc366776044 \h </w:instrText>
        </w:r>
        <w:r w:rsidR="001C14C6">
          <w:rPr>
            <w:noProof/>
            <w:webHidden/>
          </w:rPr>
        </w:r>
        <w:r w:rsidR="001C14C6">
          <w:rPr>
            <w:noProof/>
            <w:webHidden/>
          </w:rPr>
          <w:fldChar w:fldCharType="separate"/>
        </w:r>
        <w:r w:rsidR="00BB0135">
          <w:rPr>
            <w:noProof/>
            <w:webHidden/>
          </w:rPr>
          <w:t>2</w:t>
        </w:r>
        <w:r w:rsidR="001C14C6">
          <w:rPr>
            <w:noProof/>
            <w:webHidden/>
          </w:rPr>
          <w:fldChar w:fldCharType="end"/>
        </w:r>
      </w:hyperlink>
    </w:p>
    <w:p w:rsidR="001C14C6" w:rsidRDefault="00481168">
      <w:pPr>
        <w:pStyle w:val="TOC1"/>
        <w:tabs>
          <w:tab w:val="left" w:pos="442"/>
          <w:tab w:val="right" w:leader="dot" w:pos="9628"/>
        </w:tabs>
        <w:rPr>
          <w:rFonts w:asciiTheme="minorHAnsi" w:eastAsiaTheme="minorEastAsia" w:hAnsiTheme="minorHAnsi" w:cstheme="minorBidi"/>
          <w:b w:val="0"/>
          <w:bCs w:val="0"/>
          <w:caps w:val="0"/>
          <w:noProof/>
          <w:sz w:val="22"/>
          <w:szCs w:val="22"/>
        </w:rPr>
      </w:pPr>
      <w:hyperlink w:anchor="_Toc366776045" w:history="1">
        <w:r w:rsidR="001C14C6" w:rsidRPr="00162C72">
          <w:rPr>
            <w:rStyle w:val="Hyperlink"/>
            <w:noProof/>
            <w:lang w:val="nl-BE"/>
          </w:rPr>
          <w:t>2.</w:t>
        </w:r>
        <w:r w:rsidR="001C14C6">
          <w:rPr>
            <w:rFonts w:asciiTheme="minorHAnsi" w:eastAsiaTheme="minorEastAsia" w:hAnsiTheme="minorHAnsi" w:cstheme="minorBidi"/>
            <w:b w:val="0"/>
            <w:bCs w:val="0"/>
            <w:caps w:val="0"/>
            <w:noProof/>
            <w:sz w:val="22"/>
            <w:szCs w:val="22"/>
          </w:rPr>
          <w:tab/>
        </w:r>
        <w:r w:rsidR="001C14C6" w:rsidRPr="00162C72">
          <w:rPr>
            <w:rStyle w:val="Hyperlink"/>
            <w:noProof/>
            <w:lang w:val="nl-BE"/>
          </w:rPr>
          <w:t>Liberalisation and privatisation trends</w:t>
        </w:r>
        <w:r w:rsidR="001C14C6">
          <w:rPr>
            <w:noProof/>
            <w:webHidden/>
          </w:rPr>
          <w:tab/>
        </w:r>
        <w:r w:rsidR="001C14C6">
          <w:rPr>
            <w:noProof/>
            <w:webHidden/>
          </w:rPr>
          <w:fldChar w:fldCharType="begin"/>
        </w:r>
        <w:r w:rsidR="001C14C6">
          <w:rPr>
            <w:noProof/>
            <w:webHidden/>
          </w:rPr>
          <w:instrText xml:space="preserve"> PAGEREF _Toc366776045 \h </w:instrText>
        </w:r>
        <w:r w:rsidR="001C14C6">
          <w:rPr>
            <w:noProof/>
            <w:webHidden/>
          </w:rPr>
        </w:r>
        <w:r w:rsidR="001C14C6">
          <w:rPr>
            <w:noProof/>
            <w:webHidden/>
          </w:rPr>
          <w:fldChar w:fldCharType="separate"/>
        </w:r>
        <w:r w:rsidR="00BB0135">
          <w:rPr>
            <w:noProof/>
            <w:webHidden/>
          </w:rPr>
          <w:t>2</w:t>
        </w:r>
        <w:r w:rsidR="001C14C6">
          <w:rPr>
            <w:noProof/>
            <w:webHidden/>
          </w:rPr>
          <w:fldChar w:fldCharType="end"/>
        </w:r>
      </w:hyperlink>
    </w:p>
    <w:p w:rsidR="001C14C6" w:rsidRDefault="00481168">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66776046" w:history="1">
        <w:r w:rsidR="001C14C6" w:rsidRPr="00162C72">
          <w:rPr>
            <w:rStyle w:val="Hyperlink"/>
            <w:noProof/>
            <w:lang w:val="nl-BE"/>
          </w:rPr>
          <w:t>2.1.</w:t>
        </w:r>
        <w:r w:rsidR="001C14C6">
          <w:rPr>
            <w:rFonts w:asciiTheme="minorHAnsi" w:eastAsiaTheme="minorEastAsia" w:hAnsiTheme="minorHAnsi" w:cstheme="minorBidi"/>
            <w:smallCaps w:val="0"/>
            <w:noProof/>
            <w:sz w:val="22"/>
            <w:szCs w:val="22"/>
            <w:lang w:eastAsia="en-GB"/>
          </w:rPr>
          <w:tab/>
        </w:r>
        <w:r w:rsidR="001C14C6" w:rsidRPr="00162C72">
          <w:rPr>
            <w:rStyle w:val="Hyperlink"/>
            <w:noProof/>
            <w:lang w:val="nl-BE"/>
          </w:rPr>
          <w:t>Liberalisation and unbundling: slowing down</w:t>
        </w:r>
        <w:r w:rsidR="001C14C6">
          <w:rPr>
            <w:noProof/>
            <w:webHidden/>
          </w:rPr>
          <w:tab/>
        </w:r>
        <w:r w:rsidR="001C14C6">
          <w:rPr>
            <w:noProof/>
            <w:webHidden/>
          </w:rPr>
          <w:fldChar w:fldCharType="begin"/>
        </w:r>
        <w:r w:rsidR="001C14C6">
          <w:rPr>
            <w:noProof/>
            <w:webHidden/>
          </w:rPr>
          <w:instrText xml:space="preserve"> PAGEREF _Toc366776046 \h </w:instrText>
        </w:r>
        <w:r w:rsidR="001C14C6">
          <w:rPr>
            <w:noProof/>
            <w:webHidden/>
          </w:rPr>
        </w:r>
        <w:r w:rsidR="001C14C6">
          <w:rPr>
            <w:noProof/>
            <w:webHidden/>
          </w:rPr>
          <w:fldChar w:fldCharType="separate"/>
        </w:r>
        <w:r w:rsidR="00BB0135">
          <w:rPr>
            <w:noProof/>
            <w:webHidden/>
          </w:rPr>
          <w:t>2</w:t>
        </w:r>
        <w:r w:rsidR="001C14C6">
          <w:rPr>
            <w:noProof/>
            <w:webHidden/>
          </w:rPr>
          <w:fldChar w:fldCharType="end"/>
        </w:r>
      </w:hyperlink>
    </w:p>
    <w:p w:rsidR="001C14C6" w:rsidRDefault="00481168">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66776047" w:history="1">
        <w:r w:rsidR="001C14C6" w:rsidRPr="00162C72">
          <w:rPr>
            <w:rStyle w:val="Hyperlink"/>
            <w:noProof/>
            <w:lang w:val="nl-BE"/>
          </w:rPr>
          <w:t>2.2.</w:t>
        </w:r>
        <w:r w:rsidR="001C14C6">
          <w:rPr>
            <w:rFonts w:asciiTheme="minorHAnsi" w:eastAsiaTheme="minorEastAsia" w:hAnsiTheme="minorHAnsi" w:cstheme="minorBidi"/>
            <w:smallCaps w:val="0"/>
            <w:noProof/>
            <w:sz w:val="22"/>
            <w:szCs w:val="22"/>
            <w:lang w:eastAsia="en-GB"/>
          </w:rPr>
          <w:tab/>
        </w:r>
        <w:r w:rsidR="001C14C6" w:rsidRPr="00162C72">
          <w:rPr>
            <w:rStyle w:val="Hyperlink"/>
            <w:noProof/>
            <w:lang w:val="nl-BE"/>
          </w:rPr>
          <w:t>Privatisation</w:t>
        </w:r>
        <w:r w:rsidR="001C14C6">
          <w:rPr>
            <w:noProof/>
            <w:webHidden/>
          </w:rPr>
          <w:tab/>
        </w:r>
        <w:r w:rsidR="001C14C6">
          <w:rPr>
            <w:noProof/>
            <w:webHidden/>
          </w:rPr>
          <w:fldChar w:fldCharType="begin"/>
        </w:r>
        <w:r w:rsidR="001C14C6">
          <w:rPr>
            <w:noProof/>
            <w:webHidden/>
          </w:rPr>
          <w:instrText xml:space="preserve"> PAGEREF _Toc366776047 \h </w:instrText>
        </w:r>
        <w:r w:rsidR="001C14C6">
          <w:rPr>
            <w:noProof/>
            <w:webHidden/>
          </w:rPr>
        </w:r>
        <w:r w:rsidR="001C14C6">
          <w:rPr>
            <w:noProof/>
            <w:webHidden/>
          </w:rPr>
          <w:fldChar w:fldCharType="separate"/>
        </w:r>
        <w:r w:rsidR="00BB0135">
          <w:rPr>
            <w:noProof/>
            <w:webHidden/>
          </w:rPr>
          <w:t>2</w:t>
        </w:r>
        <w:r w:rsidR="001C14C6">
          <w:rPr>
            <w:noProof/>
            <w:webHidden/>
          </w:rPr>
          <w:fldChar w:fldCharType="end"/>
        </w:r>
      </w:hyperlink>
    </w:p>
    <w:p w:rsidR="001C14C6" w:rsidRDefault="00481168">
      <w:pPr>
        <w:pStyle w:val="TOC4"/>
        <w:tabs>
          <w:tab w:val="left" w:pos="1540"/>
          <w:tab w:val="right" w:leader="dot" w:pos="9628"/>
        </w:tabs>
        <w:rPr>
          <w:rFonts w:asciiTheme="minorHAnsi" w:eastAsiaTheme="minorEastAsia" w:hAnsiTheme="minorHAnsi" w:cstheme="minorBidi"/>
          <w:noProof/>
          <w:sz w:val="22"/>
          <w:szCs w:val="22"/>
          <w:lang w:eastAsia="en-GB"/>
        </w:rPr>
      </w:pPr>
      <w:hyperlink w:anchor="_Toc366776048" w:history="1">
        <w:r w:rsidR="001C14C6" w:rsidRPr="00162C72">
          <w:rPr>
            <w:rStyle w:val="Hyperlink"/>
            <w:noProof/>
          </w:rPr>
          <w:t>Chart A.</w:t>
        </w:r>
        <w:r w:rsidR="001C14C6">
          <w:rPr>
            <w:rFonts w:asciiTheme="minorHAnsi" w:eastAsiaTheme="minorEastAsia" w:hAnsiTheme="minorHAnsi" w:cstheme="minorBidi"/>
            <w:noProof/>
            <w:sz w:val="22"/>
            <w:szCs w:val="22"/>
            <w:lang w:eastAsia="en-GB"/>
          </w:rPr>
          <w:tab/>
        </w:r>
        <w:r w:rsidR="001C14C6" w:rsidRPr="00162C72">
          <w:rPr>
            <w:rStyle w:val="Hyperlink"/>
            <w:noProof/>
          </w:rPr>
          <w:t>Public-private generation in central America 1990-2011</w:t>
        </w:r>
        <w:r w:rsidR="001C14C6">
          <w:rPr>
            <w:noProof/>
            <w:webHidden/>
          </w:rPr>
          <w:tab/>
        </w:r>
        <w:r w:rsidR="001C14C6">
          <w:rPr>
            <w:noProof/>
            <w:webHidden/>
          </w:rPr>
          <w:fldChar w:fldCharType="begin"/>
        </w:r>
        <w:r w:rsidR="001C14C6">
          <w:rPr>
            <w:noProof/>
            <w:webHidden/>
          </w:rPr>
          <w:instrText xml:space="preserve"> PAGEREF _Toc366776048 \h </w:instrText>
        </w:r>
        <w:r w:rsidR="001C14C6">
          <w:rPr>
            <w:noProof/>
            <w:webHidden/>
          </w:rPr>
        </w:r>
        <w:r w:rsidR="001C14C6">
          <w:rPr>
            <w:noProof/>
            <w:webHidden/>
          </w:rPr>
          <w:fldChar w:fldCharType="separate"/>
        </w:r>
        <w:r w:rsidR="00BB0135">
          <w:rPr>
            <w:noProof/>
            <w:webHidden/>
          </w:rPr>
          <w:t>3</w:t>
        </w:r>
        <w:r w:rsidR="001C14C6">
          <w:rPr>
            <w:noProof/>
            <w:webHidden/>
          </w:rPr>
          <w:fldChar w:fldCharType="end"/>
        </w:r>
      </w:hyperlink>
    </w:p>
    <w:p w:rsidR="001C14C6" w:rsidRDefault="00481168">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66776049" w:history="1">
        <w:r w:rsidR="001C14C6" w:rsidRPr="00162C72">
          <w:rPr>
            <w:rStyle w:val="Hyperlink"/>
            <w:noProof/>
          </w:rPr>
          <w:t>2.3.</w:t>
        </w:r>
        <w:r w:rsidR="001C14C6">
          <w:rPr>
            <w:rFonts w:asciiTheme="minorHAnsi" w:eastAsiaTheme="minorEastAsia" w:hAnsiTheme="minorHAnsi" w:cstheme="minorBidi"/>
            <w:smallCaps w:val="0"/>
            <w:noProof/>
            <w:sz w:val="22"/>
            <w:szCs w:val="22"/>
            <w:lang w:eastAsia="en-GB"/>
          </w:rPr>
          <w:tab/>
        </w:r>
        <w:r w:rsidR="001C14C6" w:rsidRPr="00162C72">
          <w:rPr>
            <w:rStyle w:val="Hyperlink"/>
            <w:noProof/>
          </w:rPr>
          <w:t>PPPs and IPPs</w:t>
        </w:r>
        <w:r w:rsidR="001C14C6">
          <w:rPr>
            <w:noProof/>
            <w:webHidden/>
          </w:rPr>
          <w:tab/>
        </w:r>
        <w:r w:rsidR="001C14C6">
          <w:rPr>
            <w:noProof/>
            <w:webHidden/>
          </w:rPr>
          <w:fldChar w:fldCharType="begin"/>
        </w:r>
        <w:r w:rsidR="001C14C6">
          <w:rPr>
            <w:noProof/>
            <w:webHidden/>
          </w:rPr>
          <w:instrText xml:space="preserve"> PAGEREF _Toc366776049 \h </w:instrText>
        </w:r>
        <w:r w:rsidR="001C14C6">
          <w:rPr>
            <w:noProof/>
            <w:webHidden/>
          </w:rPr>
        </w:r>
        <w:r w:rsidR="001C14C6">
          <w:rPr>
            <w:noProof/>
            <w:webHidden/>
          </w:rPr>
          <w:fldChar w:fldCharType="separate"/>
        </w:r>
        <w:r w:rsidR="00BB0135">
          <w:rPr>
            <w:noProof/>
            <w:webHidden/>
          </w:rPr>
          <w:t>3</w:t>
        </w:r>
        <w:r w:rsidR="001C14C6">
          <w:rPr>
            <w:noProof/>
            <w:webHidden/>
          </w:rPr>
          <w:fldChar w:fldCharType="end"/>
        </w:r>
      </w:hyperlink>
    </w:p>
    <w:p w:rsidR="001C14C6" w:rsidRDefault="00481168">
      <w:pPr>
        <w:pStyle w:val="TOC4"/>
        <w:tabs>
          <w:tab w:val="left" w:pos="1540"/>
          <w:tab w:val="right" w:leader="dot" w:pos="9628"/>
        </w:tabs>
        <w:rPr>
          <w:rFonts w:asciiTheme="minorHAnsi" w:eastAsiaTheme="minorEastAsia" w:hAnsiTheme="minorHAnsi" w:cstheme="minorBidi"/>
          <w:noProof/>
          <w:sz w:val="22"/>
          <w:szCs w:val="22"/>
          <w:lang w:eastAsia="en-GB"/>
        </w:rPr>
      </w:pPr>
      <w:hyperlink w:anchor="_Toc366776050" w:history="1">
        <w:r w:rsidR="001C14C6" w:rsidRPr="00162C72">
          <w:rPr>
            <w:rStyle w:val="Hyperlink"/>
            <w:noProof/>
          </w:rPr>
          <w:t>Chart B.</w:t>
        </w:r>
        <w:r w:rsidR="001C14C6">
          <w:rPr>
            <w:rFonts w:asciiTheme="minorHAnsi" w:eastAsiaTheme="minorEastAsia" w:hAnsiTheme="minorHAnsi" w:cstheme="minorBidi"/>
            <w:noProof/>
            <w:sz w:val="22"/>
            <w:szCs w:val="22"/>
            <w:lang w:eastAsia="en-GB"/>
          </w:rPr>
          <w:tab/>
        </w:r>
        <w:r w:rsidR="001C14C6" w:rsidRPr="00162C72">
          <w:rPr>
            <w:rStyle w:val="Hyperlink"/>
            <w:noProof/>
          </w:rPr>
          <w:t>PPP investments in electricity generation by fuel</w:t>
        </w:r>
        <w:r w:rsidR="001C14C6">
          <w:rPr>
            <w:noProof/>
            <w:webHidden/>
          </w:rPr>
          <w:tab/>
        </w:r>
        <w:r w:rsidR="001C14C6">
          <w:rPr>
            <w:noProof/>
            <w:webHidden/>
          </w:rPr>
          <w:fldChar w:fldCharType="begin"/>
        </w:r>
        <w:r w:rsidR="001C14C6">
          <w:rPr>
            <w:noProof/>
            <w:webHidden/>
          </w:rPr>
          <w:instrText xml:space="preserve"> PAGEREF _Toc366776050 \h </w:instrText>
        </w:r>
        <w:r w:rsidR="001C14C6">
          <w:rPr>
            <w:noProof/>
            <w:webHidden/>
          </w:rPr>
        </w:r>
        <w:r w:rsidR="001C14C6">
          <w:rPr>
            <w:noProof/>
            <w:webHidden/>
          </w:rPr>
          <w:fldChar w:fldCharType="separate"/>
        </w:r>
        <w:r w:rsidR="00BB0135">
          <w:rPr>
            <w:noProof/>
            <w:webHidden/>
          </w:rPr>
          <w:t>4</w:t>
        </w:r>
        <w:r w:rsidR="001C14C6">
          <w:rPr>
            <w:noProof/>
            <w:webHidden/>
          </w:rPr>
          <w:fldChar w:fldCharType="end"/>
        </w:r>
      </w:hyperlink>
    </w:p>
    <w:p w:rsidR="001C14C6" w:rsidRDefault="00481168">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66776051" w:history="1">
        <w:r w:rsidR="001C14C6" w:rsidRPr="00162C72">
          <w:rPr>
            <w:rStyle w:val="Hyperlink"/>
            <w:noProof/>
            <w:lang w:val="nl-BE"/>
          </w:rPr>
          <w:t>2.4.</w:t>
        </w:r>
        <w:r w:rsidR="001C14C6">
          <w:rPr>
            <w:rFonts w:asciiTheme="minorHAnsi" w:eastAsiaTheme="minorEastAsia" w:hAnsiTheme="minorHAnsi" w:cstheme="minorBidi"/>
            <w:smallCaps w:val="0"/>
            <w:noProof/>
            <w:sz w:val="22"/>
            <w:szCs w:val="22"/>
            <w:lang w:eastAsia="en-GB"/>
          </w:rPr>
          <w:tab/>
        </w:r>
        <w:r w:rsidR="001C14C6" w:rsidRPr="00162C72">
          <w:rPr>
            <w:rStyle w:val="Hyperlink"/>
            <w:noProof/>
            <w:lang w:val="nl-BE"/>
          </w:rPr>
          <w:t>Outsourcing</w:t>
        </w:r>
        <w:r w:rsidR="001C14C6">
          <w:rPr>
            <w:noProof/>
            <w:webHidden/>
          </w:rPr>
          <w:tab/>
        </w:r>
        <w:r w:rsidR="001C14C6">
          <w:rPr>
            <w:noProof/>
            <w:webHidden/>
          </w:rPr>
          <w:fldChar w:fldCharType="begin"/>
        </w:r>
        <w:r w:rsidR="001C14C6">
          <w:rPr>
            <w:noProof/>
            <w:webHidden/>
          </w:rPr>
          <w:instrText xml:space="preserve"> PAGEREF _Toc366776051 \h </w:instrText>
        </w:r>
        <w:r w:rsidR="001C14C6">
          <w:rPr>
            <w:noProof/>
            <w:webHidden/>
          </w:rPr>
        </w:r>
        <w:r w:rsidR="001C14C6">
          <w:rPr>
            <w:noProof/>
            <w:webHidden/>
          </w:rPr>
          <w:fldChar w:fldCharType="separate"/>
        </w:r>
        <w:r w:rsidR="00BB0135">
          <w:rPr>
            <w:noProof/>
            <w:webHidden/>
          </w:rPr>
          <w:t>4</w:t>
        </w:r>
        <w:r w:rsidR="001C14C6">
          <w:rPr>
            <w:noProof/>
            <w:webHidden/>
          </w:rPr>
          <w:fldChar w:fldCharType="end"/>
        </w:r>
      </w:hyperlink>
    </w:p>
    <w:p w:rsidR="001C14C6" w:rsidRDefault="00481168">
      <w:pPr>
        <w:pStyle w:val="TOC1"/>
        <w:tabs>
          <w:tab w:val="left" w:pos="442"/>
          <w:tab w:val="right" w:leader="dot" w:pos="9628"/>
        </w:tabs>
        <w:rPr>
          <w:rFonts w:asciiTheme="minorHAnsi" w:eastAsiaTheme="minorEastAsia" w:hAnsiTheme="minorHAnsi" w:cstheme="minorBidi"/>
          <w:b w:val="0"/>
          <w:bCs w:val="0"/>
          <w:caps w:val="0"/>
          <w:noProof/>
          <w:sz w:val="22"/>
          <w:szCs w:val="22"/>
        </w:rPr>
      </w:pPr>
      <w:hyperlink w:anchor="_Toc366776052" w:history="1">
        <w:r w:rsidR="001C14C6" w:rsidRPr="00162C72">
          <w:rPr>
            <w:rStyle w:val="Hyperlink"/>
            <w:noProof/>
            <w:lang w:val="fr-FR"/>
          </w:rPr>
          <w:t>3.</w:t>
        </w:r>
        <w:r w:rsidR="001C14C6">
          <w:rPr>
            <w:rFonts w:asciiTheme="minorHAnsi" w:eastAsiaTheme="minorEastAsia" w:hAnsiTheme="minorHAnsi" w:cstheme="minorBidi"/>
            <w:b w:val="0"/>
            <w:bCs w:val="0"/>
            <w:caps w:val="0"/>
            <w:noProof/>
            <w:sz w:val="22"/>
            <w:szCs w:val="22"/>
          </w:rPr>
          <w:tab/>
        </w:r>
        <w:r w:rsidR="001C14C6" w:rsidRPr="00162C72">
          <w:rPr>
            <w:rStyle w:val="Hyperlink"/>
            <w:noProof/>
            <w:lang w:val="fr-FR"/>
          </w:rPr>
          <w:t>Public sector : re-municipalisation and re-nationalisation</w:t>
        </w:r>
        <w:r w:rsidR="001C14C6">
          <w:rPr>
            <w:noProof/>
            <w:webHidden/>
          </w:rPr>
          <w:tab/>
        </w:r>
        <w:r w:rsidR="001C14C6">
          <w:rPr>
            <w:noProof/>
            <w:webHidden/>
          </w:rPr>
          <w:fldChar w:fldCharType="begin"/>
        </w:r>
        <w:r w:rsidR="001C14C6">
          <w:rPr>
            <w:noProof/>
            <w:webHidden/>
          </w:rPr>
          <w:instrText xml:space="preserve"> PAGEREF _Toc366776052 \h </w:instrText>
        </w:r>
        <w:r w:rsidR="001C14C6">
          <w:rPr>
            <w:noProof/>
            <w:webHidden/>
          </w:rPr>
        </w:r>
        <w:r w:rsidR="001C14C6">
          <w:rPr>
            <w:noProof/>
            <w:webHidden/>
          </w:rPr>
          <w:fldChar w:fldCharType="separate"/>
        </w:r>
        <w:r w:rsidR="00BB0135">
          <w:rPr>
            <w:noProof/>
            <w:webHidden/>
          </w:rPr>
          <w:t>5</w:t>
        </w:r>
        <w:r w:rsidR="001C14C6">
          <w:rPr>
            <w:noProof/>
            <w:webHidden/>
          </w:rPr>
          <w:fldChar w:fldCharType="end"/>
        </w:r>
      </w:hyperlink>
    </w:p>
    <w:p w:rsidR="001C14C6" w:rsidRDefault="00481168">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66776053" w:history="1">
        <w:r w:rsidR="001C14C6" w:rsidRPr="00162C72">
          <w:rPr>
            <w:rStyle w:val="Hyperlink"/>
            <w:noProof/>
          </w:rPr>
          <w:t>3.1.</w:t>
        </w:r>
        <w:r w:rsidR="001C14C6">
          <w:rPr>
            <w:rFonts w:asciiTheme="minorHAnsi" w:eastAsiaTheme="minorEastAsia" w:hAnsiTheme="minorHAnsi" w:cstheme="minorBidi"/>
            <w:smallCaps w:val="0"/>
            <w:noProof/>
            <w:sz w:val="22"/>
            <w:szCs w:val="22"/>
            <w:lang w:eastAsia="en-GB"/>
          </w:rPr>
          <w:tab/>
        </w:r>
        <w:r w:rsidR="001C14C6" w:rsidRPr="00162C72">
          <w:rPr>
            <w:rStyle w:val="Hyperlink"/>
            <w:noProof/>
          </w:rPr>
          <w:t>Remunicipalisation: Germany</w:t>
        </w:r>
        <w:r w:rsidR="001C14C6">
          <w:rPr>
            <w:noProof/>
            <w:webHidden/>
          </w:rPr>
          <w:tab/>
        </w:r>
        <w:r w:rsidR="001C14C6">
          <w:rPr>
            <w:noProof/>
            <w:webHidden/>
          </w:rPr>
          <w:fldChar w:fldCharType="begin"/>
        </w:r>
        <w:r w:rsidR="001C14C6">
          <w:rPr>
            <w:noProof/>
            <w:webHidden/>
          </w:rPr>
          <w:instrText xml:space="preserve"> PAGEREF _Toc366776053 \h </w:instrText>
        </w:r>
        <w:r w:rsidR="001C14C6">
          <w:rPr>
            <w:noProof/>
            <w:webHidden/>
          </w:rPr>
        </w:r>
        <w:r w:rsidR="001C14C6">
          <w:rPr>
            <w:noProof/>
            <w:webHidden/>
          </w:rPr>
          <w:fldChar w:fldCharType="separate"/>
        </w:r>
        <w:r w:rsidR="00BB0135">
          <w:rPr>
            <w:noProof/>
            <w:webHidden/>
          </w:rPr>
          <w:t>5</w:t>
        </w:r>
        <w:r w:rsidR="001C14C6">
          <w:rPr>
            <w:noProof/>
            <w:webHidden/>
          </w:rPr>
          <w:fldChar w:fldCharType="end"/>
        </w:r>
      </w:hyperlink>
    </w:p>
    <w:p w:rsidR="001C14C6" w:rsidRDefault="00481168">
      <w:pPr>
        <w:pStyle w:val="TOC4"/>
        <w:tabs>
          <w:tab w:val="left" w:pos="1540"/>
          <w:tab w:val="right" w:leader="dot" w:pos="9628"/>
        </w:tabs>
        <w:rPr>
          <w:rFonts w:asciiTheme="minorHAnsi" w:eastAsiaTheme="minorEastAsia" w:hAnsiTheme="minorHAnsi" w:cstheme="minorBidi"/>
          <w:noProof/>
          <w:sz w:val="22"/>
          <w:szCs w:val="22"/>
          <w:lang w:eastAsia="en-GB"/>
        </w:rPr>
      </w:pPr>
      <w:hyperlink w:anchor="_Toc366776054" w:history="1">
        <w:r w:rsidR="001C14C6" w:rsidRPr="00162C72">
          <w:rPr>
            <w:rStyle w:val="Hyperlink"/>
            <w:noProof/>
          </w:rPr>
          <w:t>Table 1.</w:t>
        </w:r>
        <w:r w:rsidR="001C14C6">
          <w:rPr>
            <w:rFonts w:asciiTheme="minorHAnsi" w:eastAsiaTheme="minorEastAsia" w:hAnsiTheme="minorHAnsi" w:cstheme="minorBidi"/>
            <w:noProof/>
            <w:sz w:val="22"/>
            <w:szCs w:val="22"/>
            <w:lang w:eastAsia="en-GB"/>
          </w:rPr>
          <w:tab/>
        </w:r>
        <w:r w:rsidR="001C14C6" w:rsidRPr="00162C72">
          <w:rPr>
            <w:rStyle w:val="Hyperlink"/>
            <w:noProof/>
          </w:rPr>
          <w:t>New and re-municipalised stadtwerke in  energy, Germany, 2007-2012</w:t>
        </w:r>
        <w:r w:rsidR="001C14C6">
          <w:rPr>
            <w:noProof/>
            <w:webHidden/>
          </w:rPr>
          <w:tab/>
        </w:r>
        <w:r w:rsidR="001C14C6">
          <w:rPr>
            <w:noProof/>
            <w:webHidden/>
          </w:rPr>
          <w:fldChar w:fldCharType="begin"/>
        </w:r>
        <w:r w:rsidR="001C14C6">
          <w:rPr>
            <w:noProof/>
            <w:webHidden/>
          </w:rPr>
          <w:instrText xml:space="preserve"> PAGEREF _Toc366776054 \h </w:instrText>
        </w:r>
        <w:r w:rsidR="001C14C6">
          <w:rPr>
            <w:noProof/>
            <w:webHidden/>
          </w:rPr>
        </w:r>
        <w:r w:rsidR="001C14C6">
          <w:rPr>
            <w:noProof/>
            <w:webHidden/>
          </w:rPr>
          <w:fldChar w:fldCharType="separate"/>
        </w:r>
        <w:r w:rsidR="00BB0135">
          <w:rPr>
            <w:noProof/>
            <w:webHidden/>
          </w:rPr>
          <w:t>5</w:t>
        </w:r>
        <w:r w:rsidR="001C14C6">
          <w:rPr>
            <w:noProof/>
            <w:webHidden/>
          </w:rPr>
          <w:fldChar w:fldCharType="end"/>
        </w:r>
      </w:hyperlink>
    </w:p>
    <w:p w:rsidR="001C14C6" w:rsidRDefault="00481168">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66776055" w:history="1">
        <w:r w:rsidR="001C14C6" w:rsidRPr="00162C72">
          <w:rPr>
            <w:rStyle w:val="Hyperlink"/>
            <w:noProof/>
          </w:rPr>
          <w:t>3.2.</w:t>
        </w:r>
        <w:r w:rsidR="001C14C6">
          <w:rPr>
            <w:rFonts w:asciiTheme="minorHAnsi" w:eastAsiaTheme="minorEastAsia" w:hAnsiTheme="minorHAnsi" w:cstheme="minorBidi"/>
            <w:smallCaps w:val="0"/>
            <w:noProof/>
            <w:sz w:val="22"/>
            <w:szCs w:val="22"/>
            <w:lang w:eastAsia="en-GB"/>
          </w:rPr>
          <w:tab/>
        </w:r>
        <w:r w:rsidR="001C14C6" w:rsidRPr="00162C72">
          <w:rPr>
            <w:rStyle w:val="Hyperlink"/>
            <w:noProof/>
          </w:rPr>
          <w:t>Other re-nationalisations</w:t>
        </w:r>
        <w:r w:rsidR="001C14C6">
          <w:rPr>
            <w:noProof/>
            <w:webHidden/>
          </w:rPr>
          <w:tab/>
        </w:r>
        <w:r w:rsidR="001C14C6">
          <w:rPr>
            <w:noProof/>
            <w:webHidden/>
          </w:rPr>
          <w:fldChar w:fldCharType="begin"/>
        </w:r>
        <w:r w:rsidR="001C14C6">
          <w:rPr>
            <w:noProof/>
            <w:webHidden/>
          </w:rPr>
          <w:instrText xml:space="preserve"> PAGEREF _Toc366776055 \h </w:instrText>
        </w:r>
        <w:r w:rsidR="001C14C6">
          <w:rPr>
            <w:noProof/>
            <w:webHidden/>
          </w:rPr>
        </w:r>
        <w:r w:rsidR="001C14C6">
          <w:rPr>
            <w:noProof/>
            <w:webHidden/>
          </w:rPr>
          <w:fldChar w:fldCharType="separate"/>
        </w:r>
        <w:r w:rsidR="00BB0135">
          <w:rPr>
            <w:noProof/>
            <w:webHidden/>
          </w:rPr>
          <w:t>7</w:t>
        </w:r>
        <w:r w:rsidR="001C14C6">
          <w:rPr>
            <w:noProof/>
            <w:webHidden/>
          </w:rPr>
          <w:fldChar w:fldCharType="end"/>
        </w:r>
      </w:hyperlink>
    </w:p>
    <w:p w:rsidR="001C14C6" w:rsidRDefault="00481168">
      <w:pPr>
        <w:pStyle w:val="TOC4"/>
        <w:tabs>
          <w:tab w:val="left" w:pos="1540"/>
          <w:tab w:val="right" w:leader="dot" w:pos="9628"/>
        </w:tabs>
        <w:rPr>
          <w:rFonts w:asciiTheme="minorHAnsi" w:eastAsiaTheme="minorEastAsia" w:hAnsiTheme="minorHAnsi" w:cstheme="minorBidi"/>
          <w:noProof/>
          <w:sz w:val="22"/>
          <w:szCs w:val="22"/>
          <w:lang w:eastAsia="en-GB"/>
        </w:rPr>
      </w:pPr>
      <w:hyperlink w:anchor="_Toc366776056" w:history="1">
        <w:r w:rsidR="001C14C6" w:rsidRPr="00162C72">
          <w:rPr>
            <w:rStyle w:val="Hyperlink"/>
            <w:noProof/>
          </w:rPr>
          <w:t>Table 2.</w:t>
        </w:r>
        <w:r w:rsidR="001C14C6">
          <w:rPr>
            <w:rFonts w:asciiTheme="minorHAnsi" w:eastAsiaTheme="minorEastAsia" w:hAnsiTheme="minorHAnsi" w:cstheme="minorBidi"/>
            <w:noProof/>
            <w:sz w:val="22"/>
            <w:szCs w:val="22"/>
            <w:lang w:eastAsia="en-GB"/>
          </w:rPr>
          <w:tab/>
        </w:r>
        <w:r w:rsidR="001C14C6" w:rsidRPr="00162C72">
          <w:rPr>
            <w:rStyle w:val="Hyperlink"/>
            <w:noProof/>
          </w:rPr>
          <w:t>Re-nationalisations of electricity companies (excluding Germany)</w:t>
        </w:r>
        <w:r w:rsidR="001C14C6">
          <w:rPr>
            <w:noProof/>
            <w:webHidden/>
          </w:rPr>
          <w:tab/>
        </w:r>
        <w:r w:rsidR="001C14C6">
          <w:rPr>
            <w:noProof/>
            <w:webHidden/>
          </w:rPr>
          <w:fldChar w:fldCharType="begin"/>
        </w:r>
        <w:r w:rsidR="001C14C6">
          <w:rPr>
            <w:noProof/>
            <w:webHidden/>
          </w:rPr>
          <w:instrText xml:space="preserve"> PAGEREF _Toc366776056 \h </w:instrText>
        </w:r>
        <w:r w:rsidR="001C14C6">
          <w:rPr>
            <w:noProof/>
            <w:webHidden/>
          </w:rPr>
        </w:r>
        <w:r w:rsidR="001C14C6">
          <w:rPr>
            <w:noProof/>
            <w:webHidden/>
          </w:rPr>
          <w:fldChar w:fldCharType="separate"/>
        </w:r>
        <w:r w:rsidR="00BB0135">
          <w:rPr>
            <w:noProof/>
            <w:webHidden/>
          </w:rPr>
          <w:t>7</w:t>
        </w:r>
        <w:r w:rsidR="001C14C6">
          <w:rPr>
            <w:noProof/>
            <w:webHidden/>
          </w:rPr>
          <w:fldChar w:fldCharType="end"/>
        </w:r>
      </w:hyperlink>
    </w:p>
    <w:p w:rsidR="001C14C6" w:rsidRDefault="00481168">
      <w:pPr>
        <w:pStyle w:val="TOC1"/>
        <w:tabs>
          <w:tab w:val="left" w:pos="442"/>
          <w:tab w:val="right" w:leader="dot" w:pos="9628"/>
        </w:tabs>
        <w:rPr>
          <w:rFonts w:asciiTheme="minorHAnsi" w:eastAsiaTheme="minorEastAsia" w:hAnsiTheme="minorHAnsi" w:cstheme="minorBidi"/>
          <w:b w:val="0"/>
          <w:bCs w:val="0"/>
          <w:caps w:val="0"/>
          <w:noProof/>
          <w:sz w:val="22"/>
          <w:szCs w:val="22"/>
        </w:rPr>
      </w:pPr>
      <w:hyperlink w:anchor="_Toc366776057" w:history="1">
        <w:r w:rsidR="001C14C6" w:rsidRPr="00162C72">
          <w:rPr>
            <w:rStyle w:val="Hyperlink"/>
            <w:noProof/>
            <w:lang w:val="nl-BE"/>
          </w:rPr>
          <w:t>4.</w:t>
        </w:r>
        <w:r w:rsidR="001C14C6">
          <w:rPr>
            <w:rFonts w:asciiTheme="minorHAnsi" w:eastAsiaTheme="minorEastAsia" w:hAnsiTheme="minorHAnsi" w:cstheme="minorBidi"/>
            <w:b w:val="0"/>
            <w:bCs w:val="0"/>
            <w:caps w:val="0"/>
            <w:noProof/>
            <w:sz w:val="22"/>
            <w:szCs w:val="22"/>
          </w:rPr>
          <w:tab/>
        </w:r>
        <w:r w:rsidR="001C14C6" w:rsidRPr="00162C72">
          <w:rPr>
            <w:rStyle w:val="Hyperlink"/>
            <w:noProof/>
            <w:lang w:val="nl-BE"/>
          </w:rPr>
          <w:t>Current conflicts over privatisation</w:t>
        </w:r>
        <w:r w:rsidR="001C14C6">
          <w:rPr>
            <w:noProof/>
            <w:webHidden/>
          </w:rPr>
          <w:tab/>
        </w:r>
        <w:r w:rsidR="001C14C6">
          <w:rPr>
            <w:noProof/>
            <w:webHidden/>
          </w:rPr>
          <w:fldChar w:fldCharType="begin"/>
        </w:r>
        <w:r w:rsidR="001C14C6">
          <w:rPr>
            <w:noProof/>
            <w:webHidden/>
          </w:rPr>
          <w:instrText xml:space="preserve"> PAGEREF _Toc366776057 \h </w:instrText>
        </w:r>
        <w:r w:rsidR="001C14C6">
          <w:rPr>
            <w:noProof/>
            <w:webHidden/>
          </w:rPr>
        </w:r>
        <w:r w:rsidR="001C14C6">
          <w:rPr>
            <w:noProof/>
            <w:webHidden/>
          </w:rPr>
          <w:fldChar w:fldCharType="separate"/>
        </w:r>
        <w:r w:rsidR="00BB0135">
          <w:rPr>
            <w:noProof/>
            <w:webHidden/>
          </w:rPr>
          <w:t>8</w:t>
        </w:r>
        <w:r w:rsidR="001C14C6">
          <w:rPr>
            <w:noProof/>
            <w:webHidden/>
          </w:rPr>
          <w:fldChar w:fldCharType="end"/>
        </w:r>
      </w:hyperlink>
    </w:p>
    <w:p w:rsidR="001C14C6" w:rsidRDefault="00481168">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66776058" w:history="1">
        <w:r w:rsidR="001C14C6" w:rsidRPr="00162C72">
          <w:rPr>
            <w:rStyle w:val="Hyperlink"/>
            <w:noProof/>
            <w:lang w:val="nl-BE"/>
          </w:rPr>
          <w:t>4.1.</w:t>
        </w:r>
        <w:r w:rsidR="001C14C6">
          <w:rPr>
            <w:rFonts w:asciiTheme="minorHAnsi" w:eastAsiaTheme="minorEastAsia" w:hAnsiTheme="minorHAnsi" w:cstheme="minorBidi"/>
            <w:smallCaps w:val="0"/>
            <w:noProof/>
            <w:sz w:val="22"/>
            <w:szCs w:val="22"/>
            <w:lang w:eastAsia="en-GB"/>
          </w:rPr>
          <w:tab/>
        </w:r>
        <w:r w:rsidR="001C14C6" w:rsidRPr="00162C72">
          <w:rPr>
            <w:rStyle w:val="Hyperlink"/>
            <w:noProof/>
            <w:lang w:val="nl-BE"/>
          </w:rPr>
          <w:t>Indonesia</w:t>
        </w:r>
        <w:r w:rsidR="001C14C6">
          <w:rPr>
            <w:noProof/>
            <w:webHidden/>
          </w:rPr>
          <w:tab/>
        </w:r>
        <w:r w:rsidR="001C14C6">
          <w:rPr>
            <w:noProof/>
            <w:webHidden/>
          </w:rPr>
          <w:fldChar w:fldCharType="begin"/>
        </w:r>
        <w:r w:rsidR="001C14C6">
          <w:rPr>
            <w:noProof/>
            <w:webHidden/>
          </w:rPr>
          <w:instrText xml:space="preserve"> PAGEREF _Toc366776058 \h </w:instrText>
        </w:r>
        <w:r w:rsidR="001C14C6">
          <w:rPr>
            <w:noProof/>
            <w:webHidden/>
          </w:rPr>
        </w:r>
        <w:r w:rsidR="001C14C6">
          <w:rPr>
            <w:noProof/>
            <w:webHidden/>
          </w:rPr>
          <w:fldChar w:fldCharType="separate"/>
        </w:r>
        <w:r w:rsidR="00BB0135">
          <w:rPr>
            <w:noProof/>
            <w:webHidden/>
          </w:rPr>
          <w:t>8</w:t>
        </w:r>
        <w:r w:rsidR="001C14C6">
          <w:rPr>
            <w:noProof/>
            <w:webHidden/>
          </w:rPr>
          <w:fldChar w:fldCharType="end"/>
        </w:r>
      </w:hyperlink>
    </w:p>
    <w:p w:rsidR="001C14C6" w:rsidRDefault="00481168">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66776059" w:history="1">
        <w:r w:rsidR="001C14C6" w:rsidRPr="00162C72">
          <w:rPr>
            <w:rStyle w:val="Hyperlink"/>
            <w:noProof/>
            <w:lang w:val="nl-BE"/>
          </w:rPr>
          <w:t>4.2.</w:t>
        </w:r>
        <w:r w:rsidR="001C14C6">
          <w:rPr>
            <w:rFonts w:asciiTheme="minorHAnsi" w:eastAsiaTheme="minorEastAsia" w:hAnsiTheme="minorHAnsi" w:cstheme="minorBidi"/>
            <w:smallCaps w:val="0"/>
            <w:noProof/>
            <w:sz w:val="22"/>
            <w:szCs w:val="22"/>
            <w:lang w:eastAsia="en-GB"/>
          </w:rPr>
          <w:tab/>
        </w:r>
        <w:r w:rsidR="001C14C6" w:rsidRPr="00162C72">
          <w:rPr>
            <w:rStyle w:val="Hyperlink"/>
            <w:noProof/>
            <w:lang w:val="nl-BE"/>
          </w:rPr>
          <w:t>Kenya</w:t>
        </w:r>
        <w:r w:rsidR="001C14C6">
          <w:rPr>
            <w:noProof/>
            <w:webHidden/>
          </w:rPr>
          <w:tab/>
        </w:r>
        <w:r w:rsidR="001C14C6">
          <w:rPr>
            <w:noProof/>
            <w:webHidden/>
          </w:rPr>
          <w:fldChar w:fldCharType="begin"/>
        </w:r>
        <w:r w:rsidR="001C14C6">
          <w:rPr>
            <w:noProof/>
            <w:webHidden/>
          </w:rPr>
          <w:instrText xml:space="preserve"> PAGEREF _Toc366776059 \h </w:instrText>
        </w:r>
        <w:r w:rsidR="001C14C6">
          <w:rPr>
            <w:noProof/>
            <w:webHidden/>
          </w:rPr>
        </w:r>
        <w:r w:rsidR="001C14C6">
          <w:rPr>
            <w:noProof/>
            <w:webHidden/>
          </w:rPr>
          <w:fldChar w:fldCharType="separate"/>
        </w:r>
        <w:r w:rsidR="00BB0135">
          <w:rPr>
            <w:noProof/>
            <w:webHidden/>
          </w:rPr>
          <w:t>8</w:t>
        </w:r>
        <w:r w:rsidR="001C14C6">
          <w:rPr>
            <w:noProof/>
            <w:webHidden/>
          </w:rPr>
          <w:fldChar w:fldCharType="end"/>
        </w:r>
      </w:hyperlink>
    </w:p>
    <w:p w:rsidR="001C14C6" w:rsidRDefault="00481168">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66776060" w:history="1">
        <w:r w:rsidR="001C14C6" w:rsidRPr="00162C72">
          <w:rPr>
            <w:rStyle w:val="Hyperlink"/>
            <w:noProof/>
            <w:lang w:val="nl-BE"/>
          </w:rPr>
          <w:t>4.3.</w:t>
        </w:r>
        <w:r w:rsidR="001C14C6">
          <w:rPr>
            <w:rFonts w:asciiTheme="minorHAnsi" w:eastAsiaTheme="minorEastAsia" w:hAnsiTheme="minorHAnsi" w:cstheme="minorBidi"/>
            <w:smallCaps w:val="0"/>
            <w:noProof/>
            <w:sz w:val="22"/>
            <w:szCs w:val="22"/>
            <w:lang w:eastAsia="en-GB"/>
          </w:rPr>
          <w:tab/>
        </w:r>
        <w:r w:rsidR="001C14C6" w:rsidRPr="00162C72">
          <w:rPr>
            <w:rStyle w:val="Hyperlink"/>
            <w:noProof/>
            <w:lang w:val="nl-BE"/>
          </w:rPr>
          <w:t>Korea</w:t>
        </w:r>
        <w:r w:rsidR="001C14C6">
          <w:rPr>
            <w:noProof/>
            <w:webHidden/>
          </w:rPr>
          <w:tab/>
        </w:r>
        <w:r w:rsidR="001C14C6">
          <w:rPr>
            <w:noProof/>
            <w:webHidden/>
          </w:rPr>
          <w:fldChar w:fldCharType="begin"/>
        </w:r>
        <w:r w:rsidR="001C14C6">
          <w:rPr>
            <w:noProof/>
            <w:webHidden/>
          </w:rPr>
          <w:instrText xml:space="preserve"> PAGEREF _Toc366776060 \h </w:instrText>
        </w:r>
        <w:r w:rsidR="001C14C6">
          <w:rPr>
            <w:noProof/>
            <w:webHidden/>
          </w:rPr>
        </w:r>
        <w:r w:rsidR="001C14C6">
          <w:rPr>
            <w:noProof/>
            <w:webHidden/>
          </w:rPr>
          <w:fldChar w:fldCharType="separate"/>
        </w:r>
        <w:r w:rsidR="00BB0135">
          <w:rPr>
            <w:noProof/>
            <w:webHidden/>
          </w:rPr>
          <w:t>8</w:t>
        </w:r>
        <w:r w:rsidR="001C14C6">
          <w:rPr>
            <w:noProof/>
            <w:webHidden/>
          </w:rPr>
          <w:fldChar w:fldCharType="end"/>
        </w:r>
      </w:hyperlink>
    </w:p>
    <w:p w:rsidR="001C14C6" w:rsidRDefault="00481168">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66776061" w:history="1">
        <w:r w:rsidR="001C14C6" w:rsidRPr="00162C72">
          <w:rPr>
            <w:rStyle w:val="Hyperlink"/>
            <w:noProof/>
            <w:lang w:val="nl-BE"/>
          </w:rPr>
          <w:t>4.4.</w:t>
        </w:r>
        <w:r w:rsidR="001C14C6">
          <w:rPr>
            <w:rFonts w:asciiTheme="minorHAnsi" w:eastAsiaTheme="minorEastAsia" w:hAnsiTheme="minorHAnsi" w:cstheme="minorBidi"/>
            <w:smallCaps w:val="0"/>
            <w:noProof/>
            <w:sz w:val="22"/>
            <w:szCs w:val="22"/>
            <w:lang w:eastAsia="en-GB"/>
          </w:rPr>
          <w:tab/>
        </w:r>
        <w:r w:rsidR="001C14C6" w:rsidRPr="00162C72">
          <w:rPr>
            <w:rStyle w:val="Hyperlink"/>
            <w:noProof/>
            <w:lang w:val="nl-BE"/>
          </w:rPr>
          <w:t>Nigeria</w:t>
        </w:r>
        <w:r w:rsidR="001C14C6">
          <w:rPr>
            <w:noProof/>
            <w:webHidden/>
          </w:rPr>
          <w:tab/>
        </w:r>
        <w:r w:rsidR="001C14C6">
          <w:rPr>
            <w:noProof/>
            <w:webHidden/>
          </w:rPr>
          <w:fldChar w:fldCharType="begin"/>
        </w:r>
        <w:r w:rsidR="001C14C6">
          <w:rPr>
            <w:noProof/>
            <w:webHidden/>
          </w:rPr>
          <w:instrText xml:space="preserve"> PAGEREF _Toc366776061 \h </w:instrText>
        </w:r>
        <w:r w:rsidR="001C14C6">
          <w:rPr>
            <w:noProof/>
            <w:webHidden/>
          </w:rPr>
        </w:r>
        <w:r w:rsidR="001C14C6">
          <w:rPr>
            <w:noProof/>
            <w:webHidden/>
          </w:rPr>
          <w:fldChar w:fldCharType="separate"/>
        </w:r>
        <w:r w:rsidR="00BB0135">
          <w:rPr>
            <w:noProof/>
            <w:webHidden/>
          </w:rPr>
          <w:t>8</w:t>
        </w:r>
        <w:r w:rsidR="001C14C6">
          <w:rPr>
            <w:noProof/>
            <w:webHidden/>
          </w:rPr>
          <w:fldChar w:fldCharType="end"/>
        </w:r>
      </w:hyperlink>
    </w:p>
    <w:p w:rsidR="001C14C6" w:rsidRDefault="00481168">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66776062" w:history="1">
        <w:r w:rsidR="001C14C6" w:rsidRPr="00162C72">
          <w:rPr>
            <w:rStyle w:val="Hyperlink"/>
            <w:noProof/>
            <w:lang w:val="nl-BE"/>
          </w:rPr>
          <w:t>4.5.</w:t>
        </w:r>
        <w:r w:rsidR="001C14C6">
          <w:rPr>
            <w:rFonts w:asciiTheme="minorHAnsi" w:eastAsiaTheme="minorEastAsia" w:hAnsiTheme="minorHAnsi" w:cstheme="minorBidi"/>
            <w:smallCaps w:val="0"/>
            <w:noProof/>
            <w:sz w:val="22"/>
            <w:szCs w:val="22"/>
            <w:lang w:eastAsia="en-GB"/>
          </w:rPr>
          <w:tab/>
        </w:r>
        <w:r w:rsidR="001C14C6" w:rsidRPr="00162C72">
          <w:rPr>
            <w:rStyle w:val="Hyperlink"/>
            <w:noProof/>
            <w:lang w:val="nl-BE"/>
          </w:rPr>
          <w:t>Pakistan</w:t>
        </w:r>
        <w:r w:rsidR="001C14C6">
          <w:rPr>
            <w:noProof/>
            <w:webHidden/>
          </w:rPr>
          <w:tab/>
        </w:r>
        <w:r w:rsidR="001C14C6">
          <w:rPr>
            <w:noProof/>
            <w:webHidden/>
          </w:rPr>
          <w:fldChar w:fldCharType="begin"/>
        </w:r>
        <w:r w:rsidR="001C14C6">
          <w:rPr>
            <w:noProof/>
            <w:webHidden/>
          </w:rPr>
          <w:instrText xml:space="preserve"> PAGEREF _Toc366776062 \h </w:instrText>
        </w:r>
        <w:r w:rsidR="001C14C6">
          <w:rPr>
            <w:noProof/>
            <w:webHidden/>
          </w:rPr>
        </w:r>
        <w:r w:rsidR="001C14C6">
          <w:rPr>
            <w:noProof/>
            <w:webHidden/>
          </w:rPr>
          <w:fldChar w:fldCharType="separate"/>
        </w:r>
        <w:r w:rsidR="00BB0135">
          <w:rPr>
            <w:noProof/>
            <w:webHidden/>
          </w:rPr>
          <w:t>8</w:t>
        </w:r>
        <w:r w:rsidR="001C14C6">
          <w:rPr>
            <w:noProof/>
            <w:webHidden/>
          </w:rPr>
          <w:fldChar w:fldCharType="end"/>
        </w:r>
      </w:hyperlink>
    </w:p>
    <w:p w:rsidR="001C14C6" w:rsidRDefault="00481168">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66776063" w:history="1">
        <w:r w:rsidR="001C14C6" w:rsidRPr="00162C72">
          <w:rPr>
            <w:rStyle w:val="Hyperlink"/>
            <w:noProof/>
            <w:lang w:val="nl-BE"/>
          </w:rPr>
          <w:t>4.6.</w:t>
        </w:r>
        <w:r w:rsidR="001C14C6">
          <w:rPr>
            <w:rFonts w:asciiTheme="minorHAnsi" w:eastAsiaTheme="minorEastAsia" w:hAnsiTheme="minorHAnsi" w:cstheme="minorBidi"/>
            <w:smallCaps w:val="0"/>
            <w:noProof/>
            <w:sz w:val="22"/>
            <w:szCs w:val="22"/>
            <w:lang w:eastAsia="en-GB"/>
          </w:rPr>
          <w:tab/>
        </w:r>
        <w:r w:rsidR="001C14C6" w:rsidRPr="00162C72">
          <w:rPr>
            <w:rStyle w:val="Hyperlink"/>
            <w:noProof/>
            <w:lang w:val="nl-BE"/>
          </w:rPr>
          <w:t>Paraguay</w:t>
        </w:r>
        <w:r w:rsidR="001C14C6">
          <w:rPr>
            <w:noProof/>
            <w:webHidden/>
          </w:rPr>
          <w:tab/>
        </w:r>
        <w:r w:rsidR="001C14C6">
          <w:rPr>
            <w:noProof/>
            <w:webHidden/>
          </w:rPr>
          <w:fldChar w:fldCharType="begin"/>
        </w:r>
        <w:r w:rsidR="001C14C6">
          <w:rPr>
            <w:noProof/>
            <w:webHidden/>
          </w:rPr>
          <w:instrText xml:space="preserve"> PAGEREF _Toc366776063 \h </w:instrText>
        </w:r>
        <w:r w:rsidR="001C14C6">
          <w:rPr>
            <w:noProof/>
            <w:webHidden/>
          </w:rPr>
        </w:r>
        <w:r w:rsidR="001C14C6">
          <w:rPr>
            <w:noProof/>
            <w:webHidden/>
          </w:rPr>
          <w:fldChar w:fldCharType="separate"/>
        </w:r>
        <w:r w:rsidR="00BB0135">
          <w:rPr>
            <w:noProof/>
            <w:webHidden/>
          </w:rPr>
          <w:t>8</w:t>
        </w:r>
        <w:r w:rsidR="001C14C6">
          <w:rPr>
            <w:noProof/>
            <w:webHidden/>
          </w:rPr>
          <w:fldChar w:fldCharType="end"/>
        </w:r>
      </w:hyperlink>
    </w:p>
    <w:p w:rsidR="001C14C6" w:rsidRDefault="00481168">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66776064" w:history="1">
        <w:r w:rsidR="001C14C6" w:rsidRPr="00162C72">
          <w:rPr>
            <w:rStyle w:val="Hyperlink"/>
            <w:noProof/>
            <w:lang w:val="nl-BE"/>
          </w:rPr>
          <w:t>4.7.</w:t>
        </w:r>
        <w:r w:rsidR="001C14C6">
          <w:rPr>
            <w:rFonts w:asciiTheme="minorHAnsi" w:eastAsiaTheme="minorEastAsia" w:hAnsiTheme="minorHAnsi" w:cstheme="minorBidi"/>
            <w:smallCaps w:val="0"/>
            <w:noProof/>
            <w:sz w:val="22"/>
            <w:szCs w:val="22"/>
            <w:lang w:eastAsia="en-GB"/>
          </w:rPr>
          <w:tab/>
        </w:r>
        <w:r w:rsidR="001C14C6" w:rsidRPr="00162C72">
          <w:rPr>
            <w:rStyle w:val="Hyperlink"/>
            <w:noProof/>
            <w:lang w:val="nl-BE"/>
          </w:rPr>
          <w:t>Philippines</w:t>
        </w:r>
        <w:r w:rsidR="001C14C6">
          <w:rPr>
            <w:noProof/>
            <w:webHidden/>
          </w:rPr>
          <w:tab/>
        </w:r>
        <w:r w:rsidR="001C14C6">
          <w:rPr>
            <w:noProof/>
            <w:webHidden/>
          </w:rPr>
          <w:fldChar w:fldCharType="begin"/>
        </w:r>
        <w:r w:rsidR="001C14C6">
          <w:rPr>
            <w:noProof/>
            <w:webHidden/>
          </w:rPr>
          <w:instrText xml:space="preserve"> PAGEREF _Toc366776064 \h </w:instrText>
        </w:r>
        <w:r w:rsidR="001C14C6">
          <w:rPr>
            <w:noProof/>
            <w:webHidden/>
          </w:rPr>
        </w:r>
        <w:r w:rsidR="001C14C6">
          <w:rPr>
            <w:noProof/>
            <w:webHidden/>
          </w:rPr>
          <w:fldChar w:fldCharType="separate"/>
        </w:r>
        <w:r w:rsidR="00BB0135">
          <w:rPr>
            <w:noProof/>
            <w:webHidden/>
          </w:rPr>
          <w:t>9</w:t>
        </w:r>
        <w:r w:rsidR="001C14C6">
          <w:rPr>
            <w:noProof/>
            <w:webHidden/>
          </w:rPr>
          <w:fldChar w:fldCharType="end"/>
        </w:r>
      </w:hyperlink>
    </w:p>
    <w:p w:rsidR="001C14C6" w:rsidRDefault="00481168">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66776065" w:history="1">
        <w:r w:rsidR="001C14C6" w:rsidRPr="00162C72">
          <w:rPr>
            <w:rStyle w:val="Hyperlink"/>
            <w:noProof/>
            <w:lang w:val="nl-BE"/>
          </w:rPr>
          <w:t>4.8.</w:t>
        </w:r>
        <w:r w:rsidR="001C14C6">
          <w:rPr>
            <w:rFonts w:asciiTheme="minorHAnsi" w:eastAsiaTheme="minorEastAsia" w:hAnsiTheme="minorHAnsi" w:cstheme="minorBidi"/>
            <w:smallCaps w:val="0"/>
            <w:noProof/>
            <w:sz w:val="22"/>
            <w:szCs w:val="22"/>
            <w:lang w:eastAsia="en-GB"/>
          </w:rPr>
          <w:tab/>
        </w:r>
        <w:r w:rsidR="001C14C6" w:rsidRPr="00162C72">
          <w:rPr>
            <w:rStyle w:val="Hyperlink"/>
            <w:noProof/>
            <w:lang w:val="nl-BE"/>
          </w:rPr>
          <w:t>Tunisia</w:t>
        </w:r>
        <w:r w:rsidR="001C14C6">
          <w:rPr>
            <w:noProof/>
            <w:webHidden/>
          </w:rPr>
          <w:tab/>
        </w:r>
        <w:r w:rsidR="001C14C6">
          <w:rPr>
            <w:noProof/>
            <w:webHidden/>
          </w:rPr>
          <w:fldChar w:fldCharType="begin"/>
        </w:r>
        <w:r w:rsidR="001C14C6">
          <w:rPr>
            <w:noProof/>
            <w:webHidden/>
          </w:rPr>
          <w:instrText xml:space="preserve"> PAGEREF _Toc366776065 \h </w:instrText>
        </w:r>
        <w:r w:rsidR="001C14C6">
          <w:rPr>
            <w:noProof/>
            <w:webHidden/>
          </w:rPr>
        </w:r>
        <w:r w:rsidR="001C14C6">
          <w:rPr>
            <w:noProof/>
            <w:webHidden/>
          </w:rPr>
          <w:fldChar w:fldCharType="separate"/>
        </w:r>
        <w:r w:rsidR="00BB0135">
          <w:rPr>
            <w:noProof/>
            <w:webHidden/>
          </w:rPr>
          <w:t>9</w:t>
        </w:r>
        <w:r w:rsidR="001C14C6">
          <w:rPr>
            <w:noProof/>
            <w:webHidden/>
          </w:rPr>
          <w:fldChar w:fldCharType="end"/>
        </w:r>
      </w:hyperlink>
    </w:p>
    <w:p w:rsidR="00016A9C" w:rsidRDefault="00CA0F7F" w:rsidP="00016A9C">
      <w:pPr>
        <w:rPr>
          <w:rFonts w:ascii="Tahoma" w:hAnsi="Tahoma" w:cs="Tahoma"/>
          <w:sz w:val="20"/>
          <w:szCs w:val="20"/>
          <w:lang w:val="nl-BE"/>
        </w:rPr>
      </w:pPr>
      <w:r>
        <w:rPr>
          <w:rFonts w:ascii="Tahoma" w:hAnsi="Tahoma" w:cs="Tahoma"/>
          <w:sz w:val="20"/>
          <w:szCs w:val="20"/>
          <w:lang w:val="nl-BE"/>
        </w:rPr>
        <w:fldChar w:fldCharType="end"/>
      </w:r>
    </w:p>
    <w:p w:rsidR="00CA0F7F" w:rsidRDefault="00CA0F7F" w:rsidP="00016A9C">
      <w:pPr>
        <w:rPr>
          <w:rFonts w:ascii="Tahoma" w:hAnsi="Tahoma" w:cs="Tahoma"/>
          <w:sz w:val="20"/>
          <w:szCs w:val="20"/>
          <w:lang w:val="nl-BE"/>
        </w:rPr>
      </w:pPr>
      <w:r>
        <w:rPr>
          <w:rFonts w:ascii="Tahoma" w:hAnsi="Tahoma" w:cs="Tahoma"/>
          <w:sz w:val="20"/>
          <w:szCs w:val="20"/>
          <w:lang w:val="nl-BE"/>
        </w:rPr>
        <w:br w:type="page"/>
      </w:r>
    </w:p>
    <w:p w:rsidR="0091375F" w:rsidRDefault="0091375F" w:rsidP="00016A9C">
      <w:pPr>
        <w:rPr>
          <w:rFonts w:ascii="Tahoma" w:hAnsi="Tahoma" w:cs="Tahoma"/>
          <w:sz w:val="20"/>
          <w:szCs w:val="20"/>
          <w:lang w:val="nl-BE"/>
        </w:rPr>
      </w:pPr>
    </w:p>
    <w:p w:rsidR="00EE100A" w:rsidRDefault="00EE100A" w:rsidP="0091375F">
      <w:pPr>
        <w:pStyle w:val="Heading1"/>
        <w:rPr>
          <w:lang w:val="nl-BE"/>
        </w:rPr>
      </w:pPr>
      <w:bookmarkStart w:id="1" w:name="_Toc366776044"/>
      <w:r>
        <w:rPr>
          <w:lang w:val="nl-BE"/>
        </w:rPr>
        <w:t>Introduction</w:t>
      </w:r>
      <w:bookmarkEnd w:id="1"/>
    </w:p>
    <w:p w:rsidR="00EE100A" w:rsidRPr="00EE100A" w:rsidRDefault="00EE100A" w:rsidP="00EE100A">
      <w:pPr>
        <w:rPr>
          <w:lang w:val="nl-BE" w:eastAsia="en-US"/>
        </w:rPr>
      </w:pPr>
      <w:r>
        <w:rPr>
          <w:lang w:val="nl-BE" w:eastAsia="en-US"/>
        </w:rPr>
        <w:t>This paper reviews the trends in privatisation and liberalisation in the energy sector, and the development of remunicipalisation and renationalisation  in Germany and elsewhere.</w:t>
      </w:r>
    </w:p>
    <w:p w:rsidR="0091375F" w:rsidRDefault="0091375F" w:rsidP="0091375F">
      <w:pPr>
        <w:pStyle w:val="Heading1"/>
        <w:rPr>
          <w:lang w:val="nl-BE"/>
        </w:rPr>
      </w:pPr>
      <w:bookmarkStart w:id="2" w:name="_Toc366776045"/>
      <w:r>
        <w:rPr>
          <w:lang w:val="nl-BE"/>
        </w:rPr>
        <w:t>Liberalisation</w:t>
      </w:r>
      <w:r w:rsidR="00235804">
        <w:rPr>
          <w:lang w:val="nl-BE"/>
        </w:rPr>
        <w:t xml:space="preserve"> </w:t>
      </w:r>
      <w:r w:rsidR="002B33EC">
        <w:rPr>
          <w:lang w:val="nl-BE"/>
        </w:rPr>
        <w:t xml:space="preserve">and privatisation </w:t>
      </w:r>
      <w:r w:rsidR="00235804">
        <w:rPr>
          <w:lang w:val="nl-BE"/>
        </w:rPr>
        <w:t>trends</w:t>
      </w:r>
      <w:bookmarkEnd w:id="2"/>
    </w:p>
    <w:p w:rsidR="004C38FC" w:rsidRDefault="004C38FC" w:rsidP="004C38FC">
      <w:pPr>
        <w:pStyle w:val="Heading2"/>
        <w:rPr>
          <w:lang w:val="nl-BE"/>
        </w:rPr>
      </w:pPr>
      <w:bookmarkStart w:id="3" w:name="_Toc366776046"/>
      <w:r>
        <w:rPr>
          <w:lang w:val="nl-BE"/>
        </w:rPr>
        <w:t>Liberalisation and unbundling: slowing down</w:t>
      </w:r>
      <w:bookmarkEnd w:id="3"/>
    </w:p>
    <w:p w:rsidR="00306CD2" w:rsidRDefault="002B33EC" w:rsidP="00306CD2">
      <w:pPr>
        <w:rPr>
          <w:lang w:val="nl-BE" w:eastAsia="en-US"/>
        </w:rPr>
      </w:pPr>
      <w:r>
        <w:rPr>
          <w:lang w:val="nl-BE" w:eastAsia="en-US"/>
        </w:rPr>
        <w:t xml:space="preserve">The pressures from IFIs to unbundle and liberalise electricity systems have faced strong resistance everywhere. Outside OECD countries, very few countries have implemented the model in full. </w:t>
      </w:r>
      <w:r w:rsidR="00306CD2">
        <w:rPr>
          <w:lang w:val="nl-BE" w:eastAsia="en-US"/>
        </w:rPr>
        <w:t xml:space="preserve">Those that did so – such as Chile and Argentina – now face great problems which require a return to a much stronger role for the public sector; those which did so partially, such as Brazil, are also re-asserting the role of central planning.  </w:t>
      </w:r>
    </w:p>
    <w:p w:rsidR="00306CD2" w:rsidRDefault="00306CD2" w:rsidP="004C38FC">
      <w:pPr>
        <w:rPr>
          <w:lang w:val="nl-BE" w:eastAsia="en-US"/>
        </w:rPr>
      </w:pPr>
    </w:p>
    <w:p w:rsidR="00306CD2" w:rsidRDefault="00306CD2" w:rsidP="004C38FC">
      <w:pPr>
        <w:rPr>
          <w:lang w:val="en-ZA" w:eastAsia="en-US"/>
        </w:rPr>
      </w:pPr>
      <w:r>
        <w:rPr>
          <w:lang w:val="nl-BE" w:eastAsia="en-US"/>
        </w:rPr>
        <w:t xml:space="preserve">In Africa, for example, </w:t>
      </w:r>
      <w:r w:rsidRPr="00306CD2">
        <w:rPr>
          <w:lang w:val="en-ZA" w:eastAsia="en-US"/>
        </w:rPr>
        <w:t xml:space="preserve">the process of unbundling has </w:t>
      </w:r>
      <w:r>
        <w:rPr>
          <w:lang w:val="en-ZA" w:eastAsia="en-US"/>
        </w:rPr>
        <w:t xml:space="preserve">sometimes </w:t>
      </w:r>
      <w:r w:rsidRPr="00306CD2">
        <w:rPr>
          <w:lang w:val="en-ZA" w:eastAsia="en-US"/>
        </w:rPr>
        <w:t>resulted in a split between generation on the one hand, and transmission and distribution on the other, as happened in Kenya</w:t>
      </w:r>
      <w:r>
        <w:rPr>
          <w:lang w:val="en-ZA" w:eastAsia="en-US"/>
        </w:rPr>
        <w:t>; sometimes</w:t>
      </w:r>
      <w:r w:rsidRPr="00306CD2">
        <w:rPr>
          <w:lang w:val="en-ZA" w:eastAsia="en-US"/>
        </w:rPr>
        <w:t xml:space="preserve"> it has resulted in a split between generation and transmission on one hand, and distribution on the other, as happened in Namibia</w:t>
      </w:r>
      <w:r>
        <w:rPr>
          <w:lang w:val="en-ZA" w:eastAsia="en-US"/>
        </w:rPr>
        <w:t xml:space="preserve">; sometimes all three are separated, as in Nigeria; and in </w:t>
      </w:r>
      <w:r w:rsidRPr="00306CD2">
        <w:rPr>
          <w:lang w:val="en-ZA" w:eastAsia="en-US"/>
        </w:rPr>
        <w:t>Tanzania</w:t>
      </w:r>
      <w:r>
        <w:rPr>
          <w:lang w:val="en-ZA" w:eastAsia="en-US"/>
        </w:rPr>
        <w:t xml:space="preserve">, </w:t>
      </w:r>
      <w:r w:rsidRPr="00306CD2">
        <w:rPr>
          <w:lang w:val="en-ZA" w:eastAsia="en-US"/>
        </w:rPr>
        <w:t xml:space="preserve"> </w:t>
      </w:r>
      <w:proofErr w:type="spellStart"/>
      <w:r w:rsidRPr="00306CD2">
        <w:rPr>
          <w:lang w:val="en-ZA" w:eastAsia="en-US"/>
        </w:rPr>
        <w:t>Tanesco</w:t>
      </w:r>
      <w:proofErr w:type="spellEnd"/>
      <w:r w:rsidRPr="00306CD2">
        <w:rPr>
          <w:lang w:val="en-ZA" w:eastAsia="en-US"/>
        </w:rPr>
        <w:t xml:space="preserve"> remains a vertically integrated state utility.</w:t>
      </w:r>
      <w:r>
        <w:rPr>
          <w:lang w:val="en-ZA" w:eastAsia="en-US"/>
        </w:rPr>
        <w:t>.</w:t>
      </w:r>
    </w:p>
    <w:p w:rsidR="00306CD2" w:rsidRDefault="00306CD2" w:rsidP="004C38FC">
      <w:pPr>
        <w:rPr>
          <w:lang w:val="en-ZA" w:eastAsia="en-US"/>
        </w:rPr>
      </w:pPr>
    </w:p>
    <w:p w:rsidR="0034253A" w:rsidRDefault="004C38FC" w:rsidP="00C94E24">
      <w:pPr>
        <w:rPr>
          <w:lang w:eastAsia="en-US"/>
        </w:rPr>
      </w:pPr>
      <w:r>
        <w:rPr>
          <w:lang w:val="nl-BE" w:eastAsia="en-US"/>
        </w:rPr>
        <w:t>The World Bank now takes the view that ‘</w:t>
      </w:r>
      <w:r w:rsidRPr="004C38FC">
        <w:rPr>
          <w:lang w:eastAsia="en-US"/>
        </w:rPr>
        <w:t>many developing countries may retain</w:t>
      </w:r>
      <w:r w:rsidR="00F46175">
        <w:rPr>
          <w:lang w:eastAsia="en-US"/>
        </w:rPr>
        <w:t xml:space="preserve"> </w:t>
      </w:r>
      <w:r w:rsidRPr="004C38FC">
        <w:rPr>
          <w:lang w:eastAsia="en-US"/>
        </w:rPr>
        <w:t>intermediate st</w:t>
      </w:r>
      <w:r>
        <w:rPr>
          <w:lang w:eastAsia="en-US"/>
        </w:rPr>
        <w:t>ructures for foreseeable future’, rather than continue to full liberalisation.</w:t>
      </w:r>
      <w:r w:rsidR="00306CD2" w:rsidRPr="00306CD2">
        <w:rPr>
          <w:lang w:val="nl-BE" w:eastAsia="en-US"/>
        </w:rPr>
        <w:t xml:space="preserve"> </w:t>
      </w:r>
      <w:r w:rsidR="00C94E24">
        <w:rPr>
          <w:lang w:val="nl-BE" w:eastAsia="en-US"/>
        </w:rPr>
        <w:t>One reason for this is that it has failed to be useful: a WB paper in 2013 quotes an academic study which concluded that “</w:t>
      </w:r>
      <w:r w:rsidR="00C94E24" w:rsidRPr="00C94E24">
        <w:rPr>
          <w:lang w:eastAsia="en-US"/>
        </w:rPr>
        <w:t>it is difficult to find</w:t>
      </w:r>
      <w:r w:rsidR="00C94E24">
        <w:rPr>
          <w:lang w:eastAsia="en-US"/>
        </w:rPr>
        <w:t xml:space="preserve"> </w:t>
      </w:r>
      <w:r w:rsidR="00C94E24" w:rsidRPr="00C94E24">
        <w:rPr>
          <w:lang w:eastAsia="en-US"/>
        </w:rPr>
        <w:t>conclusive evidence of the consistently beneficial effects of the reforms actually</w:t>
      </w:r>
      <w:r w:rsidR="00C94E24">
        <w:rPr>
          <w:lang w:eastAsia="en-US"/>
        </w:rPr>
        <w:t xml:space="preserve"> </w:t>
      </w:r>
      <w:r w:rsidR="00C94E24" w:rsidRPr="00C94E24">
        <w:rPr>
          <w:lang w:eastAsia="en-US"/>
        </w:rPr>
        <w:t>implemented in many countries.</w:t>
      </w:r>
      <w:r w:rsidR="00C94E24">
        <w:rPr>
          <w:lang w:eastAsia="en-US"/>
        </w:rPr>
        <w:t xml:space="preserve">” </w:t>
      </w:r>
      <w:r w:rsidR="00306CD2">
        <w:rPr>
          <w:lang w:val="nl-BE" w:eastAsia="en-US"/>
        </w:rPr>
        <w:t xml:space="preserve">A survey of transmission grid operators in 178 countries found that two-thirds were still run by vertically integrated utilities. </w:t>
      </w:r>
      <w:r w:rsidR="00F46175">
        <w:rPr>
          <w:rStyle w:val="EndnoteReference"/>
          <w:lang w:eastAsia="en-US"/>
        </w:rPr>
        <w:endnoteReference w:id="1"/>
      </w:r>
    </w:p>
    <w:p w:rsidR="004C38FC" w:rsidRDefault="004C38FC" w:rsidP="004C38FC">
      <w:pPr>
        <w:rPr>
          <w:lang w:eastAsia="en-US"/>
        </w:rPr>
      </w:pPr>
    </w:p>
    <w:p w:rsidR="00306CD2" w:rsidRDefault="00306CD2" w:rsidP="00306CD2">
      <w:pPr>
        <w:rPr>
          <w:lang w:val="nl-BE" w:eastAsia="en-US"/>
        </w:rPr>
      </w:pPr>
      <w:r>
        <w:rPr>
          <w:lang w:val="nl-BE" w:eastAsia="en-US"/>
        </w:rPr>
        <w:t>In Europe, the liberalised energy markets are now coming under great pressure because they are seen as incompatible with the need to develop renewable energy. This leading to stronger roles for governments, less respect for the markets, and e.g. in Germany to some remunicipalisation. See the separate paper on renewables for more details.</w:t>
      </w:r>
    </w:p>
    <w:p w:rsidR="00306CD2" w:rsidRDefault="00306CD2" w:rsidP="00306CD2">
      <w:pPr>
        <w:rPr>
          <w:lang w:val="nl-BE" w:eastAsia="en-US"/>
        </w:rPr>
      </w:pPr>
    </w:p>
    <w:p w:rsidR="004C38FC" w:rsidRDefault="00F46175" w:rsidP="004C38FC">
      <w:pPr>
        <w:rPr>
          <w:lang w:val="nl-BE" w:eastAsia="en-US"/>
        </w:rPr>
      </w:pPr>
      <w:r>
        <w:rPr>
          <w:lang w:eastAsia="en-US"/>
        </w:rPr>
        <w:t>There are still pressures to create markets for private companies, however.</w:t>
      </w:r>
      <w:r w:rsidR="004C38FC">
        <w:rPr>
          <w:lang w:eastAsia="en-US"/>
        </w:rPr>
        <w:t xml:space="preserve"> In Vietnam, the World Bank is strongly promoting further unbundling of the public sector utility EVN</w:t>
      </w:r>
      <w:r>
        <w:rPr>
          <w:lang w:eastAsia="en-US"/>
        </w:rPr>
        <w:t>:</w:t>
      </w:r>
      <w:r w:rsidR="004C38FC">
        <w:rPr>
          <w:lang w:eastAsia="en-US"/>
        </w:rPr>
        <w:t xml:space="preserve"> PSIRU has submitted a critique of these proposals, which </w:t>
      </w:r>
      <w:r>
        <w:rPr>
          <w:lang w:eastAsia="en-US"/>
        </w:rPr>
        <w:t>has been published in the country’s leading academic journal. In Africa, the World Bank is strongly promoting regional power pools, as a way of enabling trading in electricity</w:t>
      </w:r>
      <w:r w:rsidR="00306CD2">
        <w:rPr>
          <w:lang w:eastAsia="en-US"/>
        </w:rPr>
        <w:t xml:space="preserve"> (see </w:t>
      </w:r>
      <w:proofErr w:type="spellStart"/>
      <w:proofErr w:type="gramStart"/>
      <w:r w:rsidR="00306CD2">
        <w:rPr>
          <w:lang w:eastAsia="en-US"/>
        </w:rPr>
        <w:t>th</w:t>
      </w:r>
      <w:proofErr w:type="spellEnd"/>
      <w:proofErr w:type="gramEnd"/>
      <w:r w:rsidR="00306CD2">
        <w:rPr>
          <w:lang w:eastAsia="en-US"/>
        </w:rPr>
        <w:t xml:space="preserve"> separate paper on IFIs for more details)</w:t>
      </w:r>
      <w:r>
        <w:rPr>
          <w:lang w:eastAsia="en-US"/>
        </w:rPr>
        <w:t xml:space="preserve">. </w:t>
      </w:r>
      <w:r>
        <w:rPr>
          <w:rStyle w:val="EndnoteReference"/>
          <w:lang w:eastAsia="en-US"/>
        </w:rPr>
        <w:endnoteReference w:id="2"/>
      </w:r>
    </w:p>
    <w:p w:rsidR="0034253A" w:rsidRPr="0034253A" w:rsidRDefault="0034253A" w:rsidP="0034253A">
      <w:pPr>
        <w:rPr>
          <w:lang w:val="nl-BE" w:eastAsia="en-US"/>
        </w:rPr>
      </w:pPr>
    </w:p>
    <w:p w:rsidR="004C38FC" w:rsidRDefault="004C38FC" w:rsidP="004C38FC">
      <w:pPr>
        <w:pStyle w:val="Heading2"/>
        <w:rPr>
          <w:lang w:val="nl-BE"/>
        </w:rPr>
      </w:pPr>
      <w:bookmarkStart w:id="4" w:name="_Toc366776047"/>
      <w:r>
        <w:rPr>
          <w:lang w:val="nl-BE"/>
        </w:rPr>
        <w:t>Privatisation</w:t>
      </w:r>
      <w:bookmarkEnd w:id="4"/>
      <w:r w:rsidR="00306CD2">
        <w:rPr>
          <w:lang w:val="nl-BE"/>
        </w:rPr>
        <w:t xml:space="preserve"> </w:t>
      </w:r>
    </w:p>
    <w:p w:rsidR="00CB25BE" w:rsidRDefault="003B2735" w:rsidP="004C38FC">
      <w:pPr>
        <w:rPr>
          <w:lang w:val="nl-BE" w:eastAsia="en-US"/>
        </w:rPr>
      </w:pPr>
      <w:r>
        <w:rPr>
          <w:lang w:val="nl-BE" w:eastAsia="en-US"/>
        </w:rPr>
        <w:t>The pressures for privatisation are no longer as global or as constant as in the 1990s and 2000s, Moreover , t</w:t>
      </w:r>
      <w:r w:rsidR="004C38FC">
        <w:rPr>
          <w:lang w:val="nl-BE" w:eastAsia="en-US"/>
        </w:rPr>
        <w:t xml:space="preserve">here </w:t>
      </w:r>
      <w:r>
        <w:rPr>
          <w:lang w:val="nl-BE" w:eastAsia="en-US"/>
        </w:rPr>
        <w:t>were</w:t>
      </w:r>
      <w:r w:rsidR="004C38FC">
        <w:rPr>
          <w:lang w:val="nl-BE" w:eastAsia="en-US"/>
        </w:rPr>
        <w:t xml:space="preserve"> many succesful campaigns against electricity privatisation and liberalisation, in all regions, and in countries with all income levels. </w:t>
      </w:r>
      <w:r>
        <w:rPr>
          <w:lang w:val="nl-BE" w:eastAsia="en-US"/>
        </w:rPr>
        <w:t xml:space="preserve">As a result, the </w:t>
      </w:r>
      <w:r w:rsidR="00C94E24">
        <w:rPr>
          <w:lang w:val="nl-BE" w:eastAsia="en-US"/>
        </w:rPr>
        <w:t xml:space="preserve">public sector continues to have a strong and central role in most </w:t>
      </w:r>
      <w:r>
        <w:rPr>
          <w:lang w:val="nl-BE" w:eastAsia="en-US"/>
        </w:rPr>
        <w:t xml:space="preserve">developing </w:t>
      </w:r>
      <w:r w:rsidR="00C94E24">
        <w:rPr>
          <w:lang w:val="nl-BE" w:eastAsia="en-US"/>
        </w:rPr>
        <w:t>countries</w:t>
      </w:r>
      <w:r w:rsidR="00EE100A" w:rsidRPr="00EE100A">
        <w:rPr>
          <w:lang w:val="nl-BE" w:eastAsia="en-US"/>
        </w:rPr>
        <w:t xml:space="preserve"> </w:t>
      </w:r>
      <w:r w:rsidR="00EE100A">
        <w:rPr>
          <w:lang w:val="nl-BE" w:eastAsia="en-US"/>
        </w:rPr>
        <w:t xml:space="preserve">e.g. Eskom in South Africa, Eletrobras in Brazil, EVN in Vietnam. They also </w:t>
      </w:r>
      <w:r w:rsidR="00605956">
        <w:rPr>
          <w:lang w:val="nl-BE" w:eastAsia="en-US"/>
        </w:rPr>
        <w:t>remains the principal source of investment finance - i</w:t>
      </w:r>
      <w:r w:rsidR="00CB25BE">
        <w:rPr>
          <w:lang w:val="nl-BE" w:eastAsia="en-US"/>
        </w:rPr>
        <w:t xml:space="preserve">n Africa, for example, </w:t>
      </w:r>
      <w:r w:rsidR="00605956">
        <w:rPr>
          <w:lang w:val="nl-BE" w:eastAsia="en-US"/>
        </w:rPr>
        <w:t xml:space="preserve">the private sector has contributed only 11% of the actual investment in electricity systems (see separate paper on IFIs for more detail). </w:t>
      </w:r>
    </w:p>
    <w:p w:rsidR="00EE100A" w:rsidRDefault="00EE100A" w:rsidP="004C38FC">
      <w:pPr>
        <w:rPr>
          <w:lang w:val="nl-BE" w:eastAsia="en-US"/>
        </w:rPr>
      </w:pPr>
    </w:p>
    <w:p w:rsidR="001C43FC" w:rsidRDefault="00605956" w:rsidP="004C38FC">
      <w:pPr>
        <w:rPr>
          <w:lang w:val="nl-BE" w:eastAsia="en-US"/>
        </w:rPr>
      </w:pPr>
      <w:r>
        <w:rPr>
          <w:lang w:val="nl-BE" w:eastAsia="en-US"/>
        </w:rPr>
        <w:t>According to World Bank figures, the private sector operated between 29% and 48% of distribution companies in developing countries, but the current proportion is certainly much lower than that</w:t>
      </w:r>
      <w:r w:rsidR="001C43FC">
        <w:rPr>
          <w:lang w:val="nl-BE" w:eastAsia="en-US"/>
        </w:rPr>
        <w:t>. M</w:t>
      </w:r>
      <w:r>
        <w:rPr>
          <w:lang w:val="nl-BE" w:eastAsia="en-US"/>
        </w:rPr>
        <w:t xml:space="preserve">any distributors were privatised in some Latin American countries in the 1990s, but some have been renationalised, and there were never many </w:t>
      </w:r>
      <w:r w:rsidR="001C43FC">
        <w:rPr>
          <w:lang w:val="nl-BE" w:eastAsia="en-US"/>
        </w:rPr>
        <w:t>such p</w:t>
      </w:r>
      <w:r>
        <w:rPr>
          <w:lang w:val="nl-BE" w:eastAsia="en-US"/>
        </w:rPr>
        <w:t xml:space="preserve">rivatisations elsewhere: in Africa, for example, there is </w:t>
      </w:r>
      <w:r w:rsidR="001C43FC">
        <w:rPr>
          <w:lang w:val="nl-BE" w:eastAsia="en-US"/>
        </w:rPr>
        <w:t xml:space="preserve">one privatised distributor, Umeme in Uganda, and elsewhere only </w:t>
      </w:r>
      <w:r>
        <w:rPr>
          <w:lang w:val="nl-BE" w:eastAsia="en-US"/>
        </w:rPr>
        <w:t xml:space="preserve"> </w:t>
      </w:r>
      <w:r w:rsidR="001C43FC">
        <w:rPr>
          <w:lang w:val="nl-BE" w:eastAsia="en-US"/>
        </w:rPr>
        <w:t xml:space="preserve">one or two management contracts. There are very few privatised transmission systems. </w:t>
      </w:r>
    </w:p>
    <w:p w:rsidR="001C43FC" w:rsidRDefault="001C43FC" w:rsidP="004C38FC">
      <w:pPr>
        <w:rPr>
          <w:lang w:val="nl-BE" w:eastAsia="en-US"/>
        </w:rPr>
      </w:pPr>
    </w:p>
    <w:p w:rsidR="005E55C2" w:rsidRDefault="001C43FC" w:rsidP="005E55C2">
      <w:pPr>
        <w:rPr>
          <w:lang w:eastAsia="en-US"/>
        </w:rPr>
      </w:pPr>
      <w:r>
        <w:rPr>
          <w:lang w:val="nl-BE" w:eastAsia="en-US"/>
        </w:rPr>
        <w:lastRenderedPageBreak/>
        <w:t>In effect therefore the great majority of private sector presence is in generation, through IPPs.</w:t>
      </w:r>
      <w:r w:rsidR="005E55C2">
        <w:rPr>
          <w:lang w:eastAsia="en-US"/>
        </w:rPr>
        <w:t xml:space="preserve">As the pattern of electricity generation in central America shows, </w:t>
      </w:r>
      <w:r>
        <w:rPr>
          <w:lang w:val="nl-BE" w:eastAsia="en-US"/>
        </w:rPr>
        <w:t xml:space="preserve">the </w:t>
      </w:r>
      <w:r>
        <w:rPr>
          <w:lang w:eastAsia="en-US"/>
        </w:rPr>
        <w:t xml:space="preserve">private sector share grew rapidly from the mid-1990s, but reached its peak level by 2005 </w:t>
      </w:r>
      <w:r w:rsidR="005E55C2">
        <w:rPr>
          <w:lang w:eastAsia="en-US"/>
        </w:rPr>
        <w:t>and not grown much since then.</w:t>
      </w:r>
      <w:r>
        <w:rPr>
          <w:lang w:eastAsia="en-US"/>
        </w:rPr>
        <w:t xml:space="preserve"> </w:t>
      </w:r>
      <w:r w:rsidR="00EE100A">
        <w:rPr>
          <w:lang w:eastAsia="en-US"/>
        </w:rPr>
        <w:t xml:space="preserve">  The trend is similar elsewhere, but the actual share elsewhere is lower. </w:t>
      </w:r>
    </w:p>
    <w:p w:rsidR="005E55C2" w:rsidRDefault="005E55C2" w:rsidP="001C43FC">
      <w:pPr>
        <w:pStyle w:val="Heading8"/>
      </w:pPr>
      <w:bookmarkStart w:id="5" w:name="_Toc365457190"/>
      <w:bookmarkStart w:id="6" w:name="_Toc366776048"/>
      <w:r w:rsidRPr="005E55C2">
        <w:t xml:space="preserve">Public-private generation in </w:t>
      </w:r>
      <w:proofErr w:type="gramStart"/>
      <w:r w:rsidRPr="005E55C2">
        <w:t>central</w:t>
      </w:r>
      <w:proofErr w:type="gramEnd"/>
      <w:r w:rsidRPr="005E55C2">
        <w:t xml:space="preserve"> America 1990-201</w:t>
      </w:r>
      <w:bookmarkEnd w:id="5"/>
      <w:r>
        <w:t>1</w:t>
      </w:r>
      <w:bookmarkEnd w:id="6"/>
    </w:p>
    <w:p w:rsidR="001C43FC" w:rsidRPr="001C43FC" w:rsidRDefault="001C43FC" w:rsidP="001C43FC">
      <w:pPr>
        <w:rPr>
          <w:lang w:eastAsia="en-US"/>
        </w:rPr>
      </w:pPr>
    </w:p>
    <w:p w:rsidR="001C43FC" w:rsidRDefault="001C43FC" w:rsidP="001C43FC">
      <w:pPr>
        <w:rPr>
          <w:lang w:eastAsia="en-US"/>
        </w:rPr>
      </w:pPr>
      <w:r>
        <w:rPr>
          <w:noProof/>
        </w:rPr>
        <w:drawing>
          <wp:inline distT="0" distB="0" distL="0" distR="0" wp14:anchorId="69CE5FA6" wp14:editId="661AB1BC">
            <wp:extent cx="3339548" cy="2478156"/>
            <wp:effectExtent l="0" t="0" r="13335"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C43FC" w:rsidRDefault="001C43FC" w:rsidP="001C43FC">
      <w:pPr>
        <w:rPr>
          <w:lang w:eastAsia="en-US"/>
        </w:rPr>
      </w:pPr>
    </w:p>
    <w:p w:rsidR="005E55C2" w:rsidRPr="00BB0135" w:rsidRDefault="005E55C2" w:rsidP="005E55C2">
      <w:pPr>
        <w:rPr>
          <w:lang w:eastAsia="en-US"/>
        </w:rPr>
      </w:pPr>
      <w:proofErr w:type="spellStart"/>
      <w:r w:rsidRPr="005E55C2">
        <w:rPr>
          <w:lang w:val="es-ES_tradnl" w:eastAsia="en-US"/>
        </w:rPr>
        <w:t>Source</w:t>
      </w:r>
      <w:proofErr w:type="spellEnd"/>
      <w:r w:rsidRPr="005E55C2">
        <w:rPr>
          <w:lang w:val="es-ES_tradnl" w:eastAsia="en-US"/>
        </w:rPr>
        <w:t xml:space="preserve">: Centroamérica: estadísticas de producción del subsector Eléctrico, 2011.  </w:t>
      </w:r>
      <w:r w:rsidRPr="00BB0135">
        <w:rPr>
          <w:lang w:eastAsia="en-US"/>
        </w:rPr>
        <w:t>CEPAL/</w:t>
      </w:r>
      <w:proofErr w:type="gramStart"/>
      <w:r w:rsidRPr="00BB0135">
        <w:rPr>
          <w:lang w:eastAsia="en-US"/>
        </w:rPr>
        <w:t xml:space="preserve">ECLAC  </w:t>
      </w:r>
      <w:proofErr w:type="gramEnd"/>
      <w:r w:rsidR="00B07463">
        <w:fldChar w:fldCharType="begin"/>
      </w:r>
      <w:r w:rsidR="00B07463">
        <w:instrText xml:space="preserve"> HYPERLINK "http://www.eclac.org/mexico/publicaciones/xml/6/46906/2012-014-Estad.subs.elect.-2011-L.1061-alta_res..pdf" </w:instrText>
      </w:r>
      <w:r w:rsidR="00B07463">
        <w:fldChar w:fldCharType="separate"/>
      </w:r>
      <w:r w:rsidRPr="00BB0135">
        <w:rPr>
          <w:rStyle w:val="Hyperlink"/>
          <w:lang w:eastAsia="en-US"/>
        </w:rPr>
        <w:t>http://www.eclac.org/mexico/publicaciones/xml/6/46906/2012-014-Estad.subs.elect.-2011-L.1061-alta_res..pdf</w:t>
      </w:r>
      <w:r w:rsidR="00B07463">
        <w:rPr>
          <w:rStyle w:val="Hyperlink"/>
          <w:lang w:val="es-ES_tradnl" w:eastAsia="en-US"/>
        </w:rPr>
        <w:fldChar w:fldCharType="end"/>
      </w:r>
      <w:r w:rsidRPr="00BB0135">
        <w:rPr>
          <w:lang w:eastAsia="en-US"/>
        </w:rPr>
        <w:t xml:space="preserve"> </w:t>
      </w:r>
    </w:p>
    <w:p w:rsidR="00C94E24" w:rsidRDefault="00C94E24" w:rsidP="004C38FC">
      <w:pPr>
        <w:rPr>
          <w:lang w:val="nl-BE" w:eastAsia="en-US"/>
        </w:rPr>
      </w:pPr>
    </w:p>
    <w:p w:rsidR="00254B82" w:rsidRDefault="00254B82" w:rsidP="004C38FC">
      <w:pPr>
        <w:rPr>
          <w:lang w:val="nl-BE" w:eastAsia="en-US"/>
        </w:rPr>
      </w:pPr>
      <w:r>
        <w:rPr>
          <w:lang w:val="nl-BE" w:eastAsia="en-US"/>
        </w:rPr>
        <w:t>Privatisation rmeains a constant threat however, either as a way for governments to raise money, or because  public utilities come under financial pressure as a result of having to pay excessive amounts to IPPs, as can be seen in three current examples from Latin America:</w:t>
      </w:r>
    </w:p>
    <w:p w:rsidR="004C38FC" w:rsidRPr="00C7760D" w:rsidRDefault="004C38FC" w:rsidP="004C38FC">
      <w:pPr>
        <w:numPr>
          <w:ilvl w:val="0"/>
          <w:numId w:val="19"/>
        </w:numPr>
        <w:rPr>
          <w:lang w:eastAsia="en-US"/>
        </w:rPr>
      </w:pPr>
      <w:r w:rsidRPr="00C7760D">
        <w:rPr>
          <w:lang w:eastAsia="en-US"/>
        </w:rPr>
        <w:t xml:space="preserve">Colombia is selling its 57.6% shareholding in </w:t>
      </w:r>
      <w:proofErr w:type="spellStart"/>
      <w:r w:rsidRPr="00C7760D">
        <w:rPr>
          <w:lang w:eastAsia="en-US"/>
        </w:rPr>
        <w:t>Isagen</w:t>
      </w:r>
      <w:proofErr w:type="spellEnd"/>
      <w:r w:rsidRPr="00C7760D">
        <w:rPr>
          <w:lang w:eastAsia="en-US"/>
        </w:rPr>
        <w:t>, the 3</w:t>
      </w:r>
      <w:r w:rsidRPr="00C7760D">
        <w:rPr>
          <w:vertAlign w:val="superscript"/>
          <w:lang w:eastAsia="en-US"/>
        </w:rPr>
        <w:t>rd</w:t>
      </w:r>
      <w:r w:rsidRPr="00C7760D">
        <w:rPr>
          <w:lang w:eastAsia="en-US"/>
        </w:rPr>
        <w:t xml:space="preserve"> largest electricity generating company, to raise money. Potential buyers include AES, Duke Energy and </w:t>
      </w:r>
      <w:proofErr w:type="spellStart"/>
      <w:r w:rsidRPr="00C7760D">
        <w:rPr>
          <w:lang w:eastAsia="en-US"/>
        </w:rPr>
        <w:t>GdF</w:t>
      </w:r>
      <w:proofErr w:type="spellEnd"/>
      <w:r w:rsidRPr="00C7760D">
        <w:rPr>
          <w:lang w:eastAsia="en-US"/>
        </w:rPr>
        <w:t>-Suez.</w:t>
      </w:r>
      <w:r w:rsidRPr="00C7760D">
        <w:rPr>
          <w:vertAlign w:val="superscript"/>
          <w:lang w:eastAsia="en-US"/>
        </w:rPr>
        <w:endnoteReference w:id="3"/>
      </w:r>
    </w:p>
    <w:p w:rsidR="004C38FC" w:rsidRPr="00C7760D" w:rsidRDefault="004C38FC" w:rsidP="004C38FC">
      <w:pPr>
        <w:numPr>
          <w:ilvl w:val="0"/>
          <w:numId w:val="19"/>
        </w:numPr>
        <w:rPr>
          <w:lang w:eastAsia="en-US"/>
        </w:rPr>
      </w:pPr>
      <w:r w:rsidRPr="00C7760D">
        <w:rPr>
          <w:lang w:eastAsia="en-US"/>
        </w:rPr>
        <w:t xml:space="preserve">Panama is passing a bill enabling the sale of further shares in companies which are already partly or largely privatised, such as AES Panama, </w:t>
      </w:r>
      <w:proofErr w:type="spellStart"/>
      <w:r w:rsidRPr="00C7760D">
        <w:rPr>
          <w:lang w:eastAsia="en-US"/>
        </w:rPr>
        <w:t>Enel</w:t>
      </w:r>
      <w:proofErr w:type="spellEnd"/>
      <w:r w:rsidRPr="00C7760D">
        <w:rPr>
          <w:lang w:eastAsia="en-US"/>
        </w:rPr>
        <w:t xml:space="preserve"> Fortuna, and Elektra </w:t>
      </w:r>
      <w:proofErr w:type="spellStart"/>
      <w:r w:rsidRPr="00C7760D">
        <w:rPr>
          <w:lang w:eastAsia="en-US"/>
        </w:rPr>
        <w:t>Noreste</w:t>
      </w:r>
      <w:proofErr w:type="spellEnd"/>
      <w:r w:rsidRPr="00C7760D">
        <w:rPr>
          <w:lang w:eastAsia="en-US"/>
        </w:rPr>
        <w:t>.</w:t>
      </w:r>
      <w:r w:rsidRPr="00C7760D">
        <w:rPr>
          <w:vertAlign w:val="superscript"/>
          <w:lang w:eastAsia="en-US"/>
        </w:rPr>
        <w:endnoteReference w:id="4"/>
      </w:r>
    </w:p>
    <w:p w:rsidR="004C38FC" w:rsidRDefault="004C38FC" w:rsidP="004C38FC">
      <w:pPr>
        <w:numPr>
          <w:ilvl w:val="0"/>
          <w:numId w:val="19"/>
        </w:numPr>
        <w:rPr>
          <w:lang w:eastAsia="en-US"/>
        </w:rPr>
      </w:pPr>
      <w:r w:rsidRPr="00C7760D">
        <w:rPr>
          <w:lang w:eastAsia="en-US"/>
        </w:rPr>
        <w:t xml:space="preserve">Honduras is planning to privatise street lighting and electricity distribution through PPPs, because of the deficits it has run up as a result of power purchase agreements: </w:t>
      </w:r>
      <w:proofErr w:type="gramStart"/>
      <w:r w:rsidRPr="00C7760D">
        <w:rPr>
          <w:lang w:eastAsia="en-US"/>
        </w:rPr>
        <w:t>“ The</w:t>
      </w:r>
      <w:proofErr w:type="gramEnd"/>
      <w:r w:rsidRPr="00C7760D">
        <w:rPr>
          <w:lang w:eastAsia="en-US"/>
        </w:rPr>
        <w:t xml:space="preserve"> contracts signed with thermal power firms are ENEE's main financial burden as they take 90% of its total revenues. Although </w:t>
      </w:r>
      <w:proofErr w:type="spellStart"/>
      <w:r w:rsidRPr="00C7760D">
        <w:rPr>
          <w:lang w:eastAsia="en-US"/>
        </w:rPr>
        <w:t>Elcosa</w:t>
      </w:r>
      <w:proofErr w:type="spellEnd"/>
      <w:r w:rsidRPr="00C7760D">
        <w:rPr>
          <w:lang w:eastAsia="en-US"/>
        </w:rPr>
        <w:t xml:space="preserve">, </w:t>
      </w:r>
      <w:proofErr w:type="spellStart"/>
      <w:r w:rsidRPr="00C7760D">
        <w:rPr>
          <w:lang w:eastAsia="en-US"/>
        </w:rPr>
        <w:t>Emce</w:t>
      </w:r>
      <w:proofErr w:type="spellEnd"/>
      <w:r w:rsidRPr="00C7760D">
        <w:rPr>
          <w:lang w:eastAsia="en-US"/>
        </w:rPr>
        <w:t xml:space="preserve">, </w:t>
      </w:r>
      <w:proofErr w:type="spellStart"/>
      <w:r w:rsidRPr="00C7760D">
        <w:rPr>
          <w:lang w:eastAsia="en-US"/>
        </w:rPr>
        <w:t>Luffusa</w:t>
      </w:r>
      <w:proofErr w:type="spellEnd"/>
      <w:r w:rsidRPr="00C7760D">
        <w:rPr>
          <w:lang w:eastAsia="en-US"/>
        </w:rPr>
        <w:t xml:space="preserve"> and </w:t>
      </w:r>
      <w:proofErr w:type="spellStart"/>
      <w:r w:rsidRPr="00C7760D">
        <w:rPr>
          <w:lang w:eastAsia="en-US"/>
        </w:rPr>
        <w:t>Enersa</w:t>
      </w:r>
      <w:proofErr w:type="spellEnd"/>
      <w:r w:rsidRPr="00C7760D">
        <w:rPr>
          <w:lang w:eastAsia="en-US"/>
        </w:rPr>
        <w:t xml:space="preserve"> generated less than 58% of the country's energy in 2011, they took 82% of ENEE's revenues. The firm also has a substantial pay-roll as it employs 4,000 workers. To make matter worse, ENEE also faces considerable technical losses.”</w:t>
      </w:r>
      <w:r w:rsidRPr="00C7760D">
        <w:rPr>
          <w:vertAlign w:val="superscript"/>
          <w:lang w:eastAsia="en-US"/>
        </w:rPr>
        <w:endnoteReference w:id="5"/>
      </w:r>
    </w:p>
    <w:p w:rsidR="00254B82" w:rsidRDefault="00254B82" w:rsidP="00254B82">
      <w:pPr>
        <w:pStyle w:val="Heading2"/>
      </w:pPr>
      <w:bookmarkStart w:id="7" w:name="_Toc366776049"/>
      <w:r>
        <w:t>PPPs and IPPs</w:t>
      </w:r>
      <w:bookmarkEnd w:id="7"/>
    </w:p>
    <w:p w:rsidR="004C38FC" w:rsidRDefault="004C38FC" w:rsidP="004C38FC">
      <w:pPr>
        <w:rPr>
          <w:lang w:eastAsia="en-US"/>
        </w:rPr>
      </w:pPr>
      <w:r>
        <w:rPr>
          <w:lang w:eastAsia="en-US"/>
        </w:rPr>
        <w:t xml:space="preserve">Privatisation is also being pursued through the </w:t>
      </w:r>
      <w:r w:rsidR="00EE100A">
        <w:rPr>
          <w:lang w:eastAsia="en-US"/>
        </w:rPr>
        <w:t>promotion</w:t>
      </w:r>
      <w:r>
        <w:rPr>
          <w:lang w:eastAsia="en-US"/>
        </w:rPr>
        <w:t xml:space="preserve"> of public-private partnerships (PPPs) in </w:t>
      </w:r>
      <w:r w:rsidR="00EE100A">
        <w:rPr>
          <w:lang w:eastAsia="en-US"/>
        </w:rPr>
        <w:t xml:space="preserve">infrastructure – and because </w:t>
      </w:r>
      <w:r>
        <w:rPr>
          <w:lang w:eastAsia="en-US"/>
        </w:rPr>
        <w:t xml:space="preserve">the great majority of PPPs in electricity are in electricity generation, </w:t>
      </w:r>
      <w:r w:rsidR="00EE100A">
        <w:rPr>
          <w:lang w:eastAsia="en-US"/>
        </w:rPr>
        <w:t xml:space="preserve">these </w:t>
      </w:r>
      <w:proofErr w:type="gramStart"/>
      <w:r w:rsidR="00EE100A">
        <w:rPr>
          <w:lang w:eastAsia="en-US"/>
        </w:rPr>
        <w:t xml:space="preserve">PPPs </w:t>
      </w:r>
      <w:r>
        <w:rPr>
          <w:lang w:eastAsia="en-US"/>
        </w:rPr>
        <w:t xml:space="preserve"> takes</w:t>
      </w:r>
      <w:proofErr w:type="gramEnd"/>
      <w:r>
        <w:rPr>
          <w:lang w:eastAsia="en-US"/>
        </w:rPr>
        <w:t xml:space="preserve"> the form of independent power producers (IPPs). These private power stations have long-term contracts under which the government and/or a public sector utility guarantees to purchase output at a guaranteed price, known as power purchase agreements (PPAs). This means that the public sector carries the risk, while the private companies profit.</w:t>
      </w:r>
    </w:p>
    <w:p w:rsidR="004C38FC" w:rsidRDefault="004C38FC" w:rsidP="004C38FC">
      <w:pPr>
        <w:rPr>
          <w:lang w:eastAsia="en-US"/>
        </w:rPr>
      </w:pPr>
    </w:p>
    <w:p w:rsidR="004C38FC" w:rsidRPr="008B23FE" w:rsidRDefault="004C38FC" w:rsidP="004C38FC">
      <w:pPr>
        <w:rPr>
          <w:lang w:eastAsia="en-US"/>
        </w:rPr>
      </w:pPr>
      <w:r>
        <w:rPr>
          <w:lang w:eastAsia="en-US"/>
        </w:rPr>
        <w:t>There are many problems with IPPs. Firstly, the PPAs often mean that public utilities pay far more for power from IPPs than they charge consumers, so the utilities become increasingly indebted. Secondly, there is a huge incentive for corruption, with companies prepared to pay large bribes to get such long-term guaranteed profit. Thirdly, companies may still not make the investments if it does not fit their strategies, so countries cannot rely on the extra capacity.   Fourthly, the great majority of IPPs use fossil fuels such as gas or coal or oil, and so are contrary to the drive for renewables.</w:t>
      </w:r>
    </w:p>
    <w:p w:rsidR="004C38FC" w:rsidRDefault="004C38FC" w:rsidP="004C38FC">
      <w:pPr>
        <w:rPr>
          <w:lang w:eastAsia="en-US"/>
        </w:rPr>
      </w:pPr>
    </w:p>
    <w:p w:rsidR="004C38FC" w:rsidRDefault="004C38FC" w:rsidP="004C38FC">
      <w:pPr>
        <w:rPr>
          <w:lang w:eastAsia="en-US"/>
        </w:rPr>
      </w:pPr>
      <w:r>
        <w:rPr>
          <w:lang w:eastAsia="en-US"/>
        </w:rPr>
        <w:lastRenderedPageBreak/>
        <w:t xml:space="preserve">The IFIs and other </w:t>
      </w:r>
      <w:proofErr w:type="gramStart"/>
      <w:r>
        <w:rPr>
          <w:lang w:eastAsia="en-US"/>
        </w:rPr>
        <w:t>global  institutions</w:t>
      </w:r>
      <w:proofErr w:type="gramEnd"/>
      <w:r>
        <w:rPr>
          <w:lang w:eastAsia="en-US"/>
        </w:rPr>
        <w:t xml:space="preserve">, such as the G-20, are actively promoting PPPs for all forms of infrastructure, including water, airports, ports and roads, as well as energy. The G-20 and others, including the World Economic Forum, are encouraging a </w:t>
      </w:r>
      <w:r w:rsidRPr="009B3F05">
        <w:rPr>
          <w:lang w:eastAsia="en-US"/>
        </w:rPr>
        <w:t>global network of local public-private partnership (PPP) units</w:t>
      </w:r>
      <w:r>
        <w:rPr>
          <w:lang w:eastAsia="en-US"/>
        </w:rPr>
        <w:t xml:space="preserve"> based inside governments, with a </w:t>
      </w:r>
      <w:proofErr w:type="spellStart"/>
      <w:r w:rsidRPr="0092180E">
        <w:rPr>
          <w:lang w:eastAsia="en-US"/>
        </w:rPr>
        <w:t>a</w:t>
      </w:r>
      <w:proofErr w:type="spellEnd"/>
      <w:r w:rsidRPr="0092180E">
        <w:rPr>
          <w:lang w:eastAsia="en-US"/>
        </w:rPr>
        <w:t xml:space="preserve"> Global Infrastructure Facility</w:t>
      </w:r>
      <w:r>
        <w:rPr>
          <w:lang w:eastAsia="en-US"/>
        </w:rPr>
        <w:t xml:space="preserve"> managed by the IFC to provide public finance for PPPs, and encouraging governments to provide further subsidies to make PPPs profitable. </w:t>
      </w:r>
      <w:r>
        <w:rPr>
          <w:rStyle w:val="EndnoteReference"/>
          <w:lang w:eastAsia="en-US"/>
        </w:rPr>
        <w:endnoteReference w:id="6"/>
      </w:r>
    </w:p>
    <w:p w:rsidR="00540776" w:rsidRDefault="00540776" w:rsidP="004C38FC">
      <w:pPr>
        <w:rPr>
          <w:lang w:eastAsia="en-US"/>
        </w:rPr>
      </w:pPr>
    </w:p>
    <w:p w:rsidR="00EE100A" w:rsidRDefault="00EE100A" w:rsidP="00EE100A">
      <w:pPr>
        <w:rPr>
          <w:lang w:eastAsia="en-US"/>
        </w:rPr>
      </w:pPr>
      <w:r>
        <w:rPr>
          <w:lang w:eastAsia="en-US"/>
        </w:rPr>
        <w:t>The G-20’s approach has been strongly criticised by civil society organisations at the 2013 meetings in Moscow, who called for</w:t>
      </w:r>
      <w:r w:rsidRPr="009B3F05">
        <w:t xml:space="preserve"> </w:t>
      </w:r>
      <w:r w:rsidRPr="00E33AE7">
        <w:t xml:space="preserve">the G20 </w:t>
      </w:r>
      <w:r>
        <w:t>to</w:t>
      </w:r>
      <w:r>
        <w:rPr>
          <w:lang w:eastAsia="en-US"/>
        </w:rPr>
        <w:t>:</w:t>
      </w:r>
      <w:r>
        <w:rPr>
          <w:rStyle w:val="EndnoteReference"/>
          <w:lang w:eastAsia="en-US"/>
        </w:rPr>
        <w:endnoteReference w:id="7"/>
      </w:r>
    </w:p>
    <w:p w:rsidR="00EE100A" w:rsidRPr="0092180E" w:rsidRDefault="00EE100A" w:rsidP="00EE100A">
      <w:pPr>
        <w:pStyle w:val="ListParagraph"/>
        <w:numPr>
          <w:ilvl w:val="0"/>
          <w:numId w:val="21"/>
        </w:numPr>
        <w:rPr>
          <w:szCs w:val="22"/>
          <w:lang w:eastAsia="en-US"/>
        </w:rPr>
      </w:pPr>
      <w:r w:rsidRPr="0092180E">
        <w:rPr>
          <w:szCs w:val="22"/>
        </w:rPr>
        <w:t>relinquish its bias in favour of PPPs in order to weigh this approach with alternatives</w:t>
      </w:r>
    </w:p>
    <w:p w:rsidR="00EE100A" w:rsidRPr="0092180E" w:rsidRDefault="00EE100A" w:rsidP="00EE100A">
      <w:pPr>
        <w:pStyle w:val="ListParagraph"/>
        <w:numPr>
          <w:ilvl w:val="0"/>
          <w:numId w:val="21"/>
        </w:numPr>
        <w:rPr>
          <w:color w:val="000000"/>
          <w:szCs w:val="22"/>
        </w:rPr>
      </w:pPr>
      <w:r w:rsidRPr="0092180E">
        <w:rPr>
          <w:color w:val="000000"/>
          <w:szCs w:val="22"/>
          <w:shd w:val="clear" w:color="auto" w:fill="FFFFFF"/>
        </w:rPr>
        <w:t>encourage governments to expand public investment in infrastructure</w:t>
      </w:r>
      <w:r w:rsidRPr="0092180E">
        <w:rPr>
          <w:szCs w:val="22"/>
        </w:rPr>
        <w:t xml:space="preserve"> ….l</w:t>
      </w:r>
      <w:r w:rsidRPr="0092180E">
        <w:rPr>
          <w:color w:val="000000"/>
          <w:szCs w:val="22"/>
        </w:rPr>
        <w:t>arge infrastructure projects are often driven by governments  (and state-owned enterprises (SOEs)) of emerging market countries</w:t>
      </w:r>
    </w:p>
    <w:p w:rsidR="00EE100A" w:rsidRPr="0092180E" w:rsidRDefault="00EE100A" w:rsidP="00EE100A">
      <w:pPr>
        <w:pStyle w:val="ListParagraph"/>
        <w:numPr>
          <w:ilvl w:val="0"/>
          <w:numId w:val="21"/>
        </w:numPr>
        <w:rPr>
          <w:color w:val="000000"/>
          <w:szCs w:val="22"/>
          <w:shd w:val="clear" w:color="auto" w:fill="FFFFFF"/>
        </w:rPr>
      </w:pPr>
      <w:r w:rsidRPr="0092180E">
        <w:rPr>
          <w:color w:val="000000"/>
          <w:szCs w:val="22"/>
          <w:shd w:val="clear" w:color="auto" w:fill="FFFFFF"/>
        </w:rPr>
        <w:t>ensure that governments secure the necessary institutional capacity to: negotiate equitable financial arrangements; provide regulation, especially in the sectors where natural monopolies exist; deliver public goods; and prevent corruption</w:t>
      </w:r>
    </w:p>
    <w:p w:rsidR="00EE100A" w:rsidRPr="0092180E" w:rsidRDefault="00EE100A" w:rsidP="00EE100A">
      <w:pPr>
        <w:pStyle w:val="ListParagraph"/>
        <w:numPr>
          <w:ilvl w:val="0"/>
          <w:numId w:val="21"/>
        </w:numPr>
        <w:rPr>
          <w:color w:val="000000"/>
          <w:szCs w:val="22"/>
        </w:rPr>
      </w:pPr>
      <w:proofErr w:type="gramStart"/>
      <w:r w:rsidRPr="0092180E">
        <w:rPr>
          <w:szCs w:val="22"/>
        </w:rPr>
        <w:t>support</w:t>
      </w:r>
      <w:proofErr w:type="gramEnd"/>
      <w:r w:rsidRPr="0092180E">
        <w:rPr>
          <w:szCs w:val="22"/>
        </w:rPr>
        <w:t xml:space="preserve"> democratically controlled  infrastructure investment, based on a “bottom-up” approach formulated by locally- and nationally-owned strategies.</w:t>
      </w:r>
    </w:p>
    <w:p w:rsidR="00EE100A" w:rsidRPr="00EE100A" w:rsidRDefault="00EE100A" w:rsidP="00EE100A">
      <w:pPr>
        <w:pStyle w:val="ListParagraph"/>
        <w:numPr>
          <w:ilvl w:val="0"/>
          <w:numId w:val="21"/>
        </w:numPr>
        <w:rPr>
          <w:color w:val="000000"/>
          <w:szCs w:val="22"/>
        </w:rPr>
      </w:pPr>
      <w:r>
        <w:rPr>
          <w:szCs w:val="22"/>
        </w:rPr>
        <w:t>Take full account of the transaction costs of tendering and monitoring</w:t>
      </w:r>
    </w:p>
    <w:p w:rsidR="00EE100A" w:rsidRPr="0092180E" w:rsidRDefault="00EE100A" w:rsidP="00EE100A">
      <w:pPr>
        <w:pStyle w:val="ListParagraph"/>
        <w:rPr>
          <w:color w:val="000000"/>
          <w:szCs w:val="22"/>
        </w:rPr>
      </w:pPr>
    </w:p>
    <w:p w:rsidR="00540776" w:rsidRDefault="00540776" w:rsidP="004C38FC">
      <w:pPr>
        <w:rPr>
          <w:lang w:eastAsia="en-US"/>
        </w:rPr>
      </w:pPr>
      <w:r>
        <w:rPr>
          <w:lang w:eastAsia="en-US"/>
        </w:rPr>
        <w:t xml:space="preserve"> A World Bank review in March 2013 found that </w:t>
      </w:r>
      <w:r w:rsidR="00CD5602">
        <w:rPr>
          <w:lang w:eastAsia="en-US"/>
        </w:rPr>
        <w:t xml:space="preserve">PPPs invest mainly in coal, gas and oil-fired generation, </w:t>
      </w:r>
      <w:r w:rsidR="00674AD0">
        <w:rPr>
          <w:lang w:eastAsia="en-US"/>
        </w:rPr>
        <w:t xml:space="preserve">including diesel, </w:t>
      </w:r>
      <w:r w:rsidR="00CD5602">
        <w:rPr>
          <w:lang w:eastAsia="en-US"/>
        </w:rPr>
        <w:t>rather than renewables</w:t>
      </w:r>
      <w:r w:rsidR="00674AD0">
        <w:rPr>
          <w:lang w:eastAsia="en-US"/>
        </w:rPr>
        <w:t xml:space="preserve">.  Nevertheless, </w:t>
      </w:r>
      <w:proofErr w:type="gramStart"/>
      <w:r w:rsidR="00674AD0">
        <w:rPr>
          <w:lang w:eastAsia="en-US"/>
        </w:rPr>
        <w:t>the  IFIs</w:t>
      </w:r>
      <w:proofErr w:type="gramEnd"/>
      <w:r w:rsidR="00674AD0">
        <w:rPr>
          <w:lang w:eastAsia="en-US"/>
        </w:rPr>
        <w:t xml:space="preserve"> are trying to help private companies is by capturing funds intended for climate change so that they can only be used on PPPs. </w:t>
      </w:r>
      <w:r w:rsidR="00CD5602">
        <w:rPr>
          <w:rStyle w:val="EndnoteReference"/>
          <w:lang w:eastAsia="en-US"/>
        </w:rPr>
        <w:endnoteReference w:id="8"/>
      </w:r>
    </w:p>
    <w:p w:rsidR="00CD5602" w:rsidRDefault="00CD5602" w:rsidP="00CD5602">
      <w:pPr>
        <w:pStyle w:val="Heading8"/>
      </w:pPr>
      <w:bookmarkStart w:id="8" w:name="_Toc366776050"/>
      <w:r>
        <w:t>PPP investments in electricity generation by fuel</w:t>
      </w:r>
      <w:bookmarkEnd w:id="8"/>
      <w:r>
        <w:t xml:space="preserve"> </w:t>
      </w:r>
    </w:p>
    <w:p w:rsidR="00540776" w:rsidRDefault="00CD5602" w:rsidP="004C38FC">
      <w:pPr>
        <w:rPr>
          <w:lang w:eastAsia="en-US"/>
        </w:rPr>
      </w:pPr>
      <w:r>
        <w:rPr>
          <w:noProof/>
        </w:rPr>
        <w:drawing>
          <wp:inline distT="0" distB="0" distL="0" distR="0" wp14:anchorId="189B02CA" wp14:editId="0DC6C73E">
            <wp:extent cx="2557126" cy="21463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62758" cy="2151028"/>
                    </a:xfrm>
                    <a:prstGeom prst="rect">
                      <a:avLst/>
                    </a:prstGeom>
                    <a:noFill/>
                    <a:ln>
                      <a:noFill/>
                    </a:ln>
                  </pic:spPr>
                </pic:pic>
              </a:graphicData>
            </a:graphic>
          </wp:inline>
        </w:drawing>
      </w:r>
    </w:p>
    <w:p w:rsidR="00CD5602" w:rsidRPr="00CD5602" w:rsidRDefault="00CD5602" w:rsidP="00CD5602">
      <w:pPr>
        <w:rPr>
          <w:lang w:eastAsia="en-US"/>
        </w:rPr>
      </w:pPr>
      <w:r>
        <w:rPr>
          <w:lang w:eastAsia="en-US"/>
        </w:rPr>
        <w:t xml:space="preserve">Source: </w:t>
      </w:r>
      <w:r w:rsidRPr="00CD5602">
        <w:rPr>
          <w:lang w:eastAsia="en-US"/>
        </w:rPr>
        <w:t xml:space="preserve">World Bank March 2013 Revisiting </w:t>
      </w:r>
      <w:proofErr w:type="gramStart"/>
      <w:r w:rsidRPr="00CD5602">
        <w:rPr>
          <w:lang w:eastAsia="en-US"/>
        </w:rPr>
        <w:t>Public-</w:t>
      </w:r>
      <w:proofErr w:type="gramEnd"/>
      <w:r w:rsidRPr="00CD5602">
        <w:rPr>
          <w:lang w:eastAsia="en-US"/>
        </w:rPr>
        <w:t xml:space="preserve">Private Partnerships in the Power Sector </w:t>
      </w:r>
      <w:hyperlink r:id="rId15" w:history="1">
        <w:r w:rsidRPr="00CD5602">
          <w:rPr>
            <w:rStyle w:val="Hyperlink"/>
            <w:lang w:eastAsia="en-US"/>
          </w:rPr>
          <w:t>http://go.worldbank.org/69VJOM9P90</w:t>
        </w:r>
      </w:hyperlink>
      <w:r w:rsidRPr="00CD5602">
        <w:rPr>
          <w:lang w:eastAsia="en-US"/>
        </w:rPr>
        <w:t xml:space="preserve"> </w:t>
      </w:r>
    </w:p>
    <w:p w:rsidR="00235804" w:rsidRDefault="00235804" w:rsidP="00254B82">
      <w:pPr>
        <w:pStyle w:val="Heading2"/>
        <w:rPr>
          <w:lang w:val="nl-BE"/>
        </w:rPr>
      </w:pPr>
      <w:bookmarkStart w:id="9" w:name="_Toc366776051"/>
      <w:r>
        <w:rPr>
          <w:lang w:val="nl-BE"/>
        </w:rPr>
        <w:t>Outsourcing</w:t>
      </w:r>
      <w:bookmarkEnd w:id="9"/>
    </w:p>
    <w:p w:rsidR="00254B82" w:rsidRDefault="00254B82" w:rsidP="00235804">
      <w:pPr>
        <w:rPr>
          <w:lang w:val="nl-BE" w:eastAsia="en-US"/>
        </w:rPr>
      </w:pPr>
      <w:r>
        <w:rPr>
          <w:lang w:val="nl-BE" w:eastAsia="en-US"/>
        </w:rPr>
        <w:t xml:space="preserve">Another form of privatisation is outsourcing of work to contractors, which results in the replacement of permnanet workers with casualised labour. This is used recurrently by both private and public companies around the world.  For example, there was widespread use of contractors by some of the multinationals which took over electricity companies in Latin America, especially Argentina; and European energy companies also tried to outsource work in the 1990s and 2000s. </w:t>
      </w:r>
    </w:p>
    <w:p w:rsidR="00254B82" w:rsidRDefault="00254B82" w:rsidP="00235804">
      <w:pPr>
        <w:rPr>
          <w:lang w:val="nl-BE" w:eastAsia="en-US"/>
        </w:rPr>
      </w:pPr>
    </w:p>
    <w:p w:rsidR="00254B82" w:rsidRDefault="00254B82" w:rsidP="00235804">
      <w:pPr>
        <w:rPr>
          <w:lang w:val="nl-BE" w:eastAsia="en-US"/>
        </w:rPr>
      </w:pPr>
      <w:r>
        <w:rPr>
          <w:lang w:val="nl-BE" w:eastAsia="en-US"/>
        </w:rPr>
        <w:t xml:space="preserve">One current battle over outsourcing is in Kenya,  where there has been a major dispute between Kenya Power and Light and the union, KETAWU, over attempts to dismiss permanent workers and employ casual labour through contractors. </w:t>
      </w:r>
    </w:p>
    <w:p w:rsidR="001C14C6" w:rsidRDefault="001C14C6" w:rsidP="00235804">
      <w:pPr>
        <w:rPr>
          <w:lang w:val="nl-BE" w:eastAsia="en-US"/>
        </w:rPr>
      </w:pPr>
      <w:r>
        <w:rPr>
          <w:lang w:val="nl-BE" w:eastAsia="en-US"/>
        </w:rPr>
        <w:br w:type="page"/>
      </w:r>
    </w:p>
    <w:p w:rsidR="001C14C6" w:rsidRPr="00235804" w:rsidRDefault="001C14C6" w:rsidP="00235804">
      <w:pPr>
        <w:rPr>
          <w:lang w:val="nl-BE" w:eastAsia="en-US"/>
        </w:rPr>
      </w:pPr>
    </w:p>
    <w:p w:rsidR="00F46175" w:rsidRPr="008B23FE" w:rsidRDefault="00C94E24" w:rsidP="00F46175">
      <w:pPr>
        <w:pStyle w:val="Heading1"/>
        <w:rPr>
          <w:lang w:val="fr-FR"/>
        </w:rPr>
      </w:pPr>
      <w:bookmarkStart w:id="10" w:name="_Toc366776052"/>
      <w:r>
        <w:rPr>
          <w:lang w:val="fr-FR"/>
        </w:rPr>
        <w:t xml:space="preserve">Public </w:t>
      </w:r>
      <w:proofErr w:type="spellStart"/>
      <w:r>
        <w:rPr>
          <w:lang w:val="fr-FR"/>
        </w:rPr>
        <w:t>sector</w:t>
      </w:r>
      <w:proofErr w:type="spellEnd"/>
      <w:r>
        <w:rPr>
          <w:lang w:val="fr-FR"/>
        </w:rPr>
        <w:t xml:space="preserve"> : </w:t>
      </w:r>
      <w:proofErr w:type="spellStart"/>
      <w:r w:rsidR="00F46175" w:rsidRPr="008B23FE">
        <w:rPr>
          <w:lang w:val="fr-FR"/>
        </w:rPr>
        <w:t>re-municipalisation</w:t>
      </w:r>
      <w:proofErr w:type="spellEnd"/>
      <w:r>
        <w:rPr>
          <w:lang w:val="fr-FR"/>
        </w:rPr>
        <w:t xml:space="preserve"> and </w:t>
      </w:r>
      <w:proofErr w:type="spellStart"/>
      <w:r>
        <w:rPr>
          <w:lang w:val="fr-FR"/>
        </w:rPr>
        <w:t>re-nationalisation</w:t>
      </w:r>
      <w:bookmarkEnd w:id="10"/>
      <w:proofErr w:type="spellEnd"/>
    </w:p>
    <w:p w:rsidR="00F46175" w:rsidRDefault="00F46175" w:rsidP="00F46175">
      <w:pPr>
        <w:pStyle w:val="Heading2"/>
      </w:pPr>
      <w:bookmarkStart w:id="11" w:name="_Toc366776053"/>
      <w:proofErr w:type="spellStart"/>
      <w:r>
        <w:t>Remunicipalisation</w:t>
      </w:r>
      <w:proofErr w:type="spellEnd"/>
      <w:r>
        <w:t>: Germany</w:t>
      </w:r>
      <w:bookmarkEnd w:id="11"/>
    </w:p>
    <w:p w:rsidR="00F46175" w:rsidRDefault="00F46175" w:rsidP="00F46175">
      <w:r w:rsidRPr="00464059">
        <w:t>In Germany, there has been a major shift towards direct municipal provision of energy services, especially electricity, since the mid-2000s. Between 2007 and mid-2012, over 60  new local public utilities (</w:t>
      </w:r>
      <w:proofErr w:type="spellStart"/>
      <w:r w:rsidRPr="00464059">
        <w:t>stadtwerke</w:t>
      </w:r>
      <w:proofErr w:type="spellEnd"/>
      <w:r w:rsidRPr="00464059">
        <w:t xml:space="preserve">) have been set up and more than 190 concessions for energy distribution networks – the great majority being electricity distribution networks - have returned to public hands. </w:t>
      </w:r>
    </w:p>
    <w:p w:rsidR="00F46175" w:rsidRDefault="00F46175" w:rsidP="00F46175"/>
    <w:p w:rsidR="00F46175" w:rsidRPr="00464059" w:rsidRDefault="00F46175" w:rsidP="00F46175">
      <w:r w:rsidRPr="00464059">
        <w:t>This process is expected to continue and accelerate</w:t>
      </w:r>
      <w:r w:rsidRPr="00464059">
        <w:rPr>
          <w:i/>
          <w:iCs/>
        </w:rPr>
        <w:t>.</w:t>
      </w:r>
      <w:r w:rsidRPr="00464059">
        <w:rPr>
          <w:i/>
        </w:rPr>
        <w:t xml:space="preserve"> </w:t>
      </w:r>
      <w:r w:rsidRPr="00464059">
        <w:t xml:space="preserve">Almost all existing concessions in the energy sector are up for renewal in the period up to 2016, and about two thirds of all German communes are considering buying back both electricity generators and the distribution networks, including private shareholdings in some of the 850 </w:t>
      </w:r>
      <w:proofErr w:type="spellStart"/>
      <w:r w:rsidRPr="00464059">
        <w:t>Stadtwerke</w:t>
      </w:r>
      <w:proofErr w:type="spellEnd"/>
      <w:r w:rsidRPr="00464059">
        <w:t>. The new and re-municipalised ‘</w:t>
      </w:r>
      <w:proofErr w:type="spellStart"/>
      <w:r w:rsidRPr="00464059">
        <w:t>stadtwerke</w:t>
      </w:r>
      <w:proofErr w:type="spellEnd"/>
      <w:r w:rsidRPr="00464059">
        <w:t xml:space="preserve">’ are able to operate as supply companies, either buying or generating the mix of electricity they want. </w:t>
      </w:r>
    </w:p>
    <w:p w:rsidR="00F46175" w:rsidRDefault="00F46175" w:rsidP="00F46175">
      <w:pPr>
        <w:rPr>
          <w:lang w:eastAsia="en-US"/>
        </w:rPr>
      </w:pPr>
    </w:p>
    <w:p w:rsidR="00F46175" w:rsidRDefault="00F46175" w:rsidP="00F46175">
      <w:r w:rsidRPr="00B21857">
        <w:t xml:space="preserve">There are campaigns and referenda initiatives for </w:t>
      </w:r>
      <w:proofErr w:type="gramStart"/>
      <w:r w:rsidRPr="00B21857">
        <w:t xml:space="preserve">municipalised </w:t>
      </w:r>
      <w:r>
        <w:t xml:space="preserve"> electricity</w:t>
      </w:r>
      <w:proofErr w:type="gramEnd"/>
      <w:r w:rsidRPr="00B21857">
        <w:t xml:space="preserve"> in major cities like Hamburg, Stuttgart, Bielefeld, Bremen, Frankfurt and Berlin</w:t>
      </w:r>
      <w:r>
        <w:t xml:space="preserve">. These </w:t>
      </w:r>
      <w:r w:rsidRPr="00B21857">
        <w:t xml:space="preserve">are gaining strong support from a German public which is very critical </w:t>
      </w:r>
      <w:proofErr w:type="gramStart"/>
      <w:r w:rsidRPr="00B21857">
        <w:t xml:space="preserve">of </w:t>
      </w:r>
      <w:r>
        <w:t xml:space="preserve"> electricity</w:t>
      </w:r>
      <w:proofErr w:type="gramEnd"/>
      <w:r w:rsidRPr="00B21857">
        <w:t xml:space="preserve"> privatisation, especially becau</w:t>
      </w:r>
      <w:r>
        <w:t xml:space="preserve">se of price rises: this public support is also visible in the parallel stream of referenda which have strongly rejected proposals for privatisation of  electricity and other local utilities, and a public opinion poll of 2008 which showed that most citizens trust public enterprises more than private ones. </w:t>
      </w:r>
      <w:r w:rsidRPr="0064662F">
        <w:t>(</w:t>
      </w:r>
      <w:proofErr w:type="spellStart"/>
      <w:r w:rsidRPr="0064662F">
        <w:t>Röber</w:t>
      </w:r>
      <w:proofErr w:type="spellEnd"/>
      <w:r w:rsidRPr="0064662F">
        <w:t xml:space="preserve"> 2009) </w:t>
      </w:r>
    </w:p>
    <w:p w:rsidR="00F46175" w:rsidRPr="00B21857" w:rsidRDefault="00F46175" w:rsidP="00F46175"/>
    <w:p w:rsidR="00F46175" w:rsidRPr="00464059" w:rsidRDefault="00F46175" w:rsidP="00F46175">
      <w:pPr>
        <w:rPr>
          <w:lang w:eastAsia="en-US"/>
        </w:rPr>
      </w:pPr>
      <w:r w:rsidRPr="00B21857">
        <w:t>In addition, some municipal and regional authorities (</w:t>
      </w:r>
      <w:proofErr w:type="spellStart"/>
      <w:r w:rsidRPr="00B21857">
        <w:t>länder</w:t>
      </w:r>
      <w:proofErr w:type="spellEnd"/>
      <w:r w:rsidRPr="00B21857">
        <w:t xml:space="preserve">) have </w:t>
      </w:r>
      <w:r>
        <w:t>bought large</w:t>
      </w:r>
      <w:r w:rsidRPr="00B21857">
        <w:t xml:space="preserve"> electricity companies from the major groups. German energy companies have wanted to sell some of their operations – partly because German and EU regulators have insisted on it, partly because they want to reduce debts, and partly because of problems with profitability, especially after the German government decision to phase out nuclear power. T</w:t>
      </w:r>
      <w:r w:rsidRPr="00EB7B91">
        <w:t xml:space="preserve">he CDU government of Baden-Wuerttemberg bought back 45% of </w:t>
      </w:r>
      <w:proofErr w:type="spellStart"/>
      <w:r w:rsidRPr="00EB7B91">
        <w:t>EnBW</w:t>
      </w:r>
      <w:proofErr w:type="spellEnd"/>
      <w:r>
        <w:t xml:space="preserve"> </w:t>
      </w:r>
      <w:r w:rsidRPr="00B21857">
        <w:t>for €</w:t>
      </w:r>
      <w:r w:rsidRPr="00EB7B91">
        <w:t>4.7 billion Euros from the French multinational EDF</w:t>
      </w:r>
      <w:r w:rsidRPr="00B21857">
        <w:t xml:space="preserve">; </w:t>
      </w:r>
      <w:proofErr w:type="spellStart"/>
      <w:r w:rsidRPr="00B21857">
        <w:t>E.on</w:t>
      </w:r>
      <w:proofErr w:type="spellEnd"/>
      <w:r w:rsidRPr="00B21857">
        <w:t xml:space="preserve"> sold </w:t>
      </w:r>
      <w:proofErr w:type="spellStart"/>
      <w:r w:rsidRPr="00B21857">
        <w:t>Thüga</w:t>
      </w:r>
      <w:proofErr w:type="spellEnd"/>
      <w:r w:rsidRPr="00B21857">
        <w:t xml:space="preserve">, a holding for shares in many </w:t>
      </w:r>
      <w:proofErr w:type="spellStart"/>
      <w:r w:rsidRPr="00B21857">
        <w:t>stadwerke</w:t>
      </w:r>
      <w:proofErr w:type="spellEnd"/>
      <w:r w:rsidRPr="00B21857">
        <w:t xml:space="preserve">, for €2.9 billion Euros; six communes in North Rhine Westphalia bought the fifth biggest </w:t>
      </w:r>
      <w:proofErr w:type="gramStart"/>
      <w:r w:rsidRPr="00B21857">
        <w:t xml:space="preserve">German </w:t>
      </w:r>
      <w:r>
        <w:t xml:space="preserve"> electricity</w:t>
      </w:r>
      <w:proofErr w:type="gramEnd"/>
      <w:r w:rsidRPr="00B21857">
        <w:t xml:space="preserve"> generating company, </w:t>
      </w:r>
      <w:proofErr w:type="spellStart"/>
      <w:r w:rsidRPr="00B21857">
        <w:t>Evonik-Steag</w:t>
      </w:r>
      <w:proofErr w:type="spellEnd"/>
      <w:r w:rsidRPr="00B21857">
        <w:t xml:space="preserve">, for €649 million. </w:t>
      </w:r>
      <w:r>
        <w:rPr>
          <w:rStyle w:val="EndnoteReference"/>
        </w:rPr>
        <w:endnoteReference w:id="9"/>
      </w:r>
    </w:p>
    <w:p w:rsidR="00F46175" w:rsidRDefault="00F46175" w:rsidP="00F46175">
      <w:pPr>
        <w:pStyle w:val="Heading7"/>
        <w:tabs>
          <w:tab w:val="clear" w:pos="-540"/>
          <w:tab w:val="num" w:pos="180"/>
        </w:tabs>
        <w:spacing w:line="276" w:lineRule="auto"/>
        <w:ind w:left="180"/>
      </w:pPr>
      <w:bookmarkStart w:id="12" w:name="_Toc366776054"/>
      <w:r w:rsidRPr="00A461A6">
        <w:t xml:space="preserve">New and re-municipalised </w:t>
      </w:r>
      <w:proofErr w:type="spellStart"/>
      <w:r w:rsidRPr="00A461A6">
        <w:t>stadtwerke</w:t>
      </w:r>
      <w:proofErr w:type="spellEnd"/>
      <w:r>
        <w:t xml:space="preserve"> </w:t>
      </w:r>
      <w:proofErr w:type="gramStart"/>
      <w:r w:rsidRPr="00A461A6">
        <w:t xml:space="preserve">in  </w:t>
      </w:r>
      <w:r>
        <w:t>energ</w:t>
      </w:r>
      <w:r w:rsidRPr="00A461A6">
        <w:t>y</w:t>
      </w:r>
      <w:proofErr w:type="gramEnd"/>
      <w:r w:rsidRPr="00A461A6">
        <w:t>, Germany, 2007-2012</w:t>
      </w:r>
      <w:bookmarkEnd w:id="12"/>
      <w:r w:rsidRPr="000B6365">
        <w:t xml:space="preserve"> </w:t>
      </w:r>
    </w:p>
    <w:p w:rsidR="00F46175" w:rsidRPr="00A461A6" w:rsidRDefault="00F46175" w:rsidP="00F46175">
      <w:r>
        <w:rPr>
          <w:i/>
        </w:rPr>
        <w:t>Note: the majority of these are electricity utilities; some electricity and gas; a small number are gas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276"/>
        <w:gridCol w:w="1486"/>
        <w:gridCol w:w="1695"/>
      </w:tblGrid>
      <w:tr w:rsidR="00F46175" w:rsidTr="00CA0F7F">
        <w:tc>
          <w:tcPr>
            <w:tcW w:w="3085" w:type="dxa"/>
            <w:shd w:val="clear" w:color="auto" w:fill="FFC000"/>
          </w:tcPr>
          <w:p w:rsidR="00F46175" w:rsidRDefault="00F46175" w:rsidP="00CA0F7F">
            <w:r>
              <w:t>Region (land)</w:t>
            </w:r>
          </w:p>
        </w:tc>
        <w:tc>
          <w:tcPr>
            <w:tcW w:w="1276" w:type="dxa"/>
            <w:shd w:val="clear" w:color="auto" w:fill="FFC000"/>
            <w:vAlign w:val="center"/>
          </w:tcPr>
          <w:p w:rsidR="00F46175" w:rsidRDefault="00F46175" w:rsidP="00CA0F7F">
            <w:pPr>
              <w:jc w:val="center"/>
            </w:pPr>
            <w:r w:rsidRPr="009D6D9D">
              <w:rPr>
                <w:i/>
              </w:rPr>
              <w:t xml:space="preserve">New </w:t>
            </w:r>
            <w:proofErr w:type="spellStart"/>
            <w:r w:rsidRPr="009D6D9D">
              <w:rPr>
                <w:i/>
              </w:rPr>
              <w:t>stadtwerke</w:t>
            </w:r>
            <w:proofErr w:type="spellEnd"/>
          </w:p>
        </w:tc>
        <w:tc>
          <w:tcPr>
            <w:tcW w:w="1486" w:type="dxa"/>
            <w:shd w:val="clear" w:color="auto" w:fill="FFC000"/>
            <w:vAlign w:val="center"/>
          </w:tcPr>
          <w:p w:rsidR="00F46175" w:rsidRPr="009D6D9D" w:rsidRDefault="00F46175" w:rsidP="00CA0F7F">
            <w:pPr>
              <w:jc w:val="center"/>
              <w:rPr>
                <w:i/>
              </w:rPr>
            </w:pPr>
            <w:r w:rsidRPr="009D6D9D">
              <w:rPr>
                <w:i/>
              </w:rPr>
              <w:t xml:space="preserve">Re-municipalised distribution concessions </w:t>
            </w:r>
          </w:p>
        </w:tc>
        <w:tc>
          <w:tcPr>
            <w:tcW w:w="1486" w:type="dxa"/>
            <w:shd w:val="clear" w:color="auto" w:fill="FFC000"/>
            <w:vAlign w:val="center"/>
          </w:tcPr>
          <w:p w:rsidR="00F46175" w:rsidRPr="009D6D9D" w:rsidRDefault="00F46175" w:rsidP="00CA0F7F">
            <w:pPr>
              <w:jc w:val="center"/>
              <w:rPr>
                <w:i/>
              </w:rPr>
            </w:pPr>
            <w:r w:rsidRPr="009D6D9D">
              <w:rPr>
                <w:i/>
              </w:rPr>
              <w:t>Other re-municipalisation</w:t>
            </w:r>
          </w:p>
        </w:tc>
      </w:tr>
      <w:tr w:rsidR="00F46175" w:rsidTr="00CA0F7F">
        <w:tc>
          <w:tcPr>
            <w:tcW w:w="3085" w:type="dxa"/>
            <w:shd w:val="clear" w:color="auto" w:fill="FFC000"/>
          </w:tcPr>
          <w:p w:rsidR="00F46175" w:rsidRDefault="00F46175" w:rsidP="00CA0F7F">
            <w:r w:rsidRPr="00C35D7E">
              <w:t>Baden-Württemberg</w:t>
            </w:r>
          </w:p>
        </w:tc>
        <w:tc>
          <w:tcPr>
            <w:tcW w:w="1276" w:type="dxa"/>
            <w:shd w:val="clear" w:color="auto" w:fill="auto"/>
            <w:vAlign w:val="center"/>
          </w:tcPr>
          <w:p w:rsidR="00F46175" w:rsidRDefault="00F46175" w:rsidP="00CA0F7F">
            <w:pPr>
              <w:jc w:val="center"/>
            </w:pPr>
            <w:r>
              <w:t>19</w:t>
            </w:r>
          </w:p>
        </w:tc>
        <w:tc>
          <w:tcPr>
            <w:tcW w:w="1486" w:type="dxa"/>
            <w:shd w:val="clear" w:color="auto" w:fill="auto"/>
            <w:vAlign w:val="center"/>
          </w:tcPr>
          <w:p w:rsidR="00F46175" w:rsidRDefault="00F46175" w:rsidP="00CA0F7F">
            <w:pPr>
              <w:jc w:val="center"/>
            </w:pPr>
            <w:r>
              <w:t>47</w:t>
            </w:r>
          </w:p>
        </w:tc>
        <w:tc>
          <w:tcPr>
            <w:tcW w:w="1486" w:type="dxa"/>
            <w:shd w:val="clear" w:color="auto" w:fill="auto"/>
            <w:vAlign w:val="center"/>
          </w:tcPr>
          <w:p w:rsidR="00F46175" w:rsidRDefault="00F46175" w:rsidP="00CA0F7F">
            <w:pPr>
              <w:jc w:val="center"/>
            </w:pPr>
            <w:r>
              <w:t>15</w:t>
            </w:r>
          </w:p>
        </w:tc>
      </w:tr>
      <w:tr w:rsidR="00F46175" w:rsidTr="00CA0F7F">
        <w:tc>
          <w:tcPr>
            <w:tcW w:w="3085" w:type="dxa"/>
            <w:shd w:val="clear" w:color="auto" w:fill="FFC000"/>
          </w:tcPr>
          <w:p w:rsidR="00F46175" w:rsidRDefault="00F46175" w:rsidP="00CA0F7F">
            <w:r w:rsidRPr="00C35D7E">
              <w:t>Bayern</w:t>
            </w:r>
          </w:p>
        </w:tc>
        <w:tc>
          <w:tcPr>
            <w:tcW w:w="1276" w:type="dxa"/>
            <w:shd w:val="clear" w:color="auto" w:fill="auto"/>
            <w:vAlign w:val="center"/>
          </w:tcPr>
          <w:p w:rsidR="00F46175" w:rsidRDefault="00F46175" w:rsidP="00CA0F7F">
            <w:pPr>
              <w:jc w:val="center"/>
            </w:pPr>
            <w:r>
              <w:t>7</w:t>
            </w:r>
          </w:p>
        </w:tc>
        <w:tc>
          <w:tcPr>
            <w:tcW w:w="1486" w:type="dxa"/>
            <w:shd w:val="clear" w:color="auto" w:fill="auto"/>
            <w:vAlign w:val="center"/>
          </w:tcPr>
          <w:p w:rsidR="00F46175" w:rsidRDefault="00F46175" w:rsidP="00CA0F7F">
            <w:pPr>
              <w:jc w:val="center"/>
            </w:pPr>
            <w:r>
              <w:t>8</w:t>
            </w:r>
          </w:p>
        </w:tc>
        <w:tc>
          <w:tcPr>
            <w:tcW w:w="1486" w:type="dxa"/>
            <w:shd w:val="clear" w:color="auto" w:fill="auto"/>
            <w:vAlign w:val="center"/>
          </w:tcPr>
          <w:p w:rsidR="00F46175" w:rsidRDefault="00F46175" w:rsidP="00CA0F7F">
            <w:pPr>
              <w:jc w:val="center"/>
            </w:pPr>
            <w:r>
              <w:t>3</w:t>
            </w:r>
          </w:p>
        </w:tc>
      </w:tr>
      <w:tr w:rsidR="00F46175" w:rsidTr="00CA0F7F">
        <w:tc>
          <w:tcPr>
            <w:tcW w:w="3085" w:type="dxa"/>
            <w:shd w:val="clear" w:color="auto" w:fill="FFC000"/>
          </w:tcPr>
          <w:p w:rsidR="00F46175" w:rsidRPr="00C35D7E" w:rsidRDefault="00F46175" w:rsidP="00CA0F7F">
            <w:r>
              <w:t>Berlin</w:t>
            </w:r>
          </w:p>
        </w:tc>
        <w:tc>
          <w:tcPr>
            <w:tcW w:w="1276" w:type="dxa"/>
            <w:shd w:val="clear" w:color="auto" w:fill="auto"/>
            <w:vAlign w:val="center"/>
          </w:tcPr>
          <w:p w:rsidR="00F46175" w:rsidRDefault="00F46175" w:rsidP="00CA0F7F">
            <w:pPr>
              <w:jc w:val="center"/>
            </w:pPr>
          </w:p>
        </w:tc>
        <w:tc>
          <w:tcPr>
            <w:tcW w:w="1486" w:type="dxa"/>
            <w:shd w:val="clear" w:color="auto" w:fill="auto"/>
            <w:vAlign w:val="center"/>
          </w:tcPr>
          <w:p w:rsidR="00F46175" w:rsidRDefault="00F46175" w:rsidP="00CA0F7F">
            <w:pPr>
              <w:jc w:val="center"/>
            </w:pPr>
          </w:p>
        </w:tc>
        <w:tc>
          <w:tcPr>
            <w:tcW w:w="1486" w:type="dxa"/>
            <w:shd w:val="clear" w:color="auto" w:fill="auto"/>
            <w:vAlign w:val="center"/>
          </w:tcPr>
          <w:p w:rsidR="00F46175" w:rsidRDefault="00F46175" w:rsidP="00CA0F7F">
            <w:pPr>
              <w:jc w:val="center"/>
            </w:pPr>
            <w:r>
              <w:t>1</w:t>
            </w:r>
          </w:p>
        </w:tc>
      </w:tr>
      <w:tr w:rsidR="00F46175" w:rsidTr="00CA0F7F">
        <w:tc>
          <w:tcPr>
            <w:tcW w:w="3085" w:type="dxa"/>
            <w:shd w:val="clear" w:color="auto" w:fill="FFC000"/>
          </w:tcPr>
          <w:p w:rsidR="00F46175" w:rsidRDefault="00F46175" w:rsidP="00CA0F7F">
            <w:r w:rsidRPr="00C35D7E">
              <w:t>Brandenburg</w:t>
            </w:r>
          </w:p>
        </w:tc>
        <w:tc>
          <w:tcPr>
            <w:tcW w:w="1276" w:type="dxa"/>
            <w:shd w:val="clear" w:color="auto" w:fill="auto"/>
            <w:vAlign w:val="center"/>
          </w:tcPr>
          <w:p w:rsidR="00F46175" w:rsidRDefault="00F46175" w:rsidP="00CA0F7F">
            <w:pPr>
              <w:jc w:val="center"/>
            </w:pPr>
            <w:r>
              <w:t>1</w:t>
            </w:r>
          </w:p>
        </w:tc>
        <w:tc>
          <w:tcPr>
            <w:tcW w:w="1486" w:type="dxa"/>
            <w:shd w:val="clear" w:color="auto" w:fill="auto"/>
            <w:vAlign w:val="center"/>
          </w:tcPr>
          <w:p w:rsidR="00F46175" w:rsidRDefault="00F46175" w:rsidP="00CA0F7F">
            <w:pPr>
              <w:jc w:val="center"/>
            </w:pPr>
            <w:r>
              <w:t>21</w:t>
            </w:r>
          </w:p>
        </w:tc>
        <w:tc>
          <w:tcPr>
            <w:tcW w:w="1486" w:type="dxa"/>
            <w:shd w:val="clear" w:color="auto" w:fill="auto"/>
            <w:vAlign w:val="center"/>
          </w:tcPr>
          <w:p w:rsidR="00F46175" w:rsidRDefault="00F46175" w:rsidP="00CA0F7F">
            <w:pPr>
              <w:jc w:val="center"/>
            </w:pPr>
            <w:r>
              <w:t>2</w:t>
            </w:r>
          </w:p>
        </w:tc>
      </w:tr>
      <w:tr w:rsidR="00F46175" w:rsidTr="00CA0F7F">
        <w:tc>
          <w:tcPr>
            <w:tcW w:w="3085" w:type="dxa"/>
            <w:shd w:val="clear" w:color="auto" w:fill="FFC000"/>
          </w:tcPr>
          <w:p w:rsidR="00F46175" w:rsidRPr="00C35D7E" w:rsidRDefault="00F46175" w:rsidP="00CA0F7F">
            <w:r>
              <w:t>Bremen</w:t>
            </w:r>
          </w:p>
        </w:tc>
        <w:tc>
          <w:tcPr>
            <w:tcW w:w="1276" w:type="dxa"/>
            <w:shd w:val="clear" w:color="auto" w:fill="auto"/>
            <w:vAlign w:val="center"/>
          </w:tcPr>
          <w:p w:rsidR="00F46175" w:rsidRDefault="00F46175" w:rsidP="00CA0F7F">
            <w:pPr>
              <w:jc w:val="center"/>
            </w:pPr>
          </w:p>
        </w:tc>
        <w:tc>
          <w:tcPr>
            <w:tcW w:w="1486" w:type="dxa"/>
            <w:shd w:val="clear" w:color="auto" w:fill="auto"/>
            <w:vAlign w:val="center"/>
          </w:tcPr>
          <w:p w:rsidR="00F46175" w:rsidRDefault="00F46175" w:rsidP="00CA0F7F">
            <w:pPr>
              <w:jc w:val="center"/>
            </w:pPr>
          </w:p>
        </w:tc>
        <w:tc>
          <w:tcPr>
            <w:tcW w:w="1486" w:type="dxa"/>
            <w:shd w:val="clear" w:color="auto" w:fill="auto"/>
            <w:vAlign w:val="center"/>
          </w:tcPr>
          <w:p w:rsidR="00F46175" w:rsidRDefault="00F46175" w:rsidP="00CA0F7F">
            <w:pPr>
              <w:jc w:val="center"/>
            </w:pPr>
            <w:r>
              <w:t>1</w:t>
            </w:r>
          </w:p>
        </w:tc>
      </w:tr>
      <w:tr w:rsidR="00F46175" w:rsidTr="00CA0F7F">
        <w:tc>
          <w:tcPr>
            <w:tcW w:w="3085" w:type="dxa"/>
            <w:shd w:val="clear" w:color="auto" w:fill="FFC000"/>
          </w:tcPr>
          <w:p w:rsidR="00F46175" w:rsidRDefault="00F46175" w:rsidP="00CA0F7F">
            <w:r w:rsidRPr="00C35D7E">
              <w:t>Hamburg</w:t>
            </w:r>
          </w:p>
        </w:tc>
        <w:tc>
          <w:tcPr>
            <w:tcW w:w="1276" w:type="dxa"/>
            <w:shd w:val="clear" w:color="auto" w:fill="auto"/>
            <w:vAlign w:val="center"/>
          </w:tcPr>
          <w:p w:rsidR="00F46175" w:rsidRDefault="00F46175" w:rsidP="00CA0F7F">
            <w:pPr>
              <w:jc w:val="center"/>
            </w:pPr>
            <w:r>
              <w:t>1</w:t>
            </w:r>
          </w:p>
        </w:tc>
        <w:tc>
          <w:tcPr>
            <w:tcW w:w="1486" w:type="dxa"/>
            <w:shd w:val="clear" w:color="auto" w:fill="auto"/>
            <w:vAlign w:val="center"/>
          </w:tcPr>
          <w:p w:rsidR="00F46175" w:rsidRDefault="00F46175" w:rsidP="00CA0F7F">
            <w:pPr>
              <w:jc w:val="center"/>
            </w:pPr>
          </w:p>
        </w:tc>
        <w:tc>
          <w:tcPr>
            <w:tcW w:w="1486" w:type="dxa"/>
            <w:shd w:val="clear" w:color="auto" w:fill="auto"/>
            <w:vAlign w:val="center"/>
          </w:tcPr>
          <w:p w:rsidR="00F46175" w:rsidRDefault="00F46175" w:rsidP="00CA0F7F">
            <w:pPr>
              <w:jc w:val="center"/>
            </w:pPr>
          </w:p>
        </w:tc>
      </w:tr>
      <w:tr w:rsidR="00F46175" w:rsidTr="00CA0F7F">
        <w:tc>
          <w:tcPr>
            <w:tcW w:w="3085" w:type="dxa"/>
            <w:shd w:val="clear" w:color="auto" w:fill="FFC000"/>
          </w:tcPr>
          <w:p w:rsidR="00F46175" w:rsidRDefault="00F46175" w:rsidP="00CA0F7F">
            <w:r w:rsidRPr="009D6D9D">
              <w:rPr>
                <w:color w:val="000000"/>
              </w:rPr>
              <w:t>Hessen</w:t>
            </w:r>
          </w:p>
        </w:tc>
        <w:tc>
          <w:tcPr>
            <w:tcW w:w="1276" w:type="dxa"/>
            <w:shd w:val="clear" w:color="auto" w:fill="auto"/>
            <w:vAlign w:val="center"/>
          </w:tcPr>
          <w:p w:rsidR="00F46175" w:rsidRDefault="00F46175" w:rsidP="00CA0F7F">
            <w:pPr>
              <w:jc w:val="center"/>
            </w:pPr>
            <w:r>
              <w:t>1</w:t>
            </w:r>
          </w:p>
        </w:tc>
        <w:tc>
          <w:tcPr>
            <w:tcW w:w="1486" w:type="dxa"/>
            <w:shd w:val="clear" w:color="auto" w:fill="auto"/>
            <w:vAlign w:val="center"/>
          </w:tcPr>
          <w:p w:rsidR="00F46175" w:rsidRDefault="00F46175" w:rsidP="00CA0F7F">
            <w:pPr>
              <w:jc w:val="center"/>
            </w:pPr>
            <w:r>
              <w:t>18</w:t>
            </w:r>
          </w:p>
        </w:tc>
        <w:tc>
          <w:tcPr>
            <w:tcW w:w="1486" w:type="dxa"/>
            <w:shd w:val="clear" w:color="auto" w:fill="auto"/>
            <w:vAlign w:val="center"/>
          </w:tcPr>
          <w:p w:rsidR="00F46175" w:rsidRDefault="00F46175" w:rsidP="00CA0F7F">
            <w:pPr>
              <w:jc w:val="center"/>
            </w:pPr>
            <w:r>
              <w:t>4</w:t>
            </w:r>
          </w:p>
        </w:tc>
      </w:tr>
      <w:tr w:rsidR="00F46175" w:rsidTr="00CA0F7F">
        <w:tc>
          <w:tcPr>
            <w:tcW w:w="3085" w:type="dxa"/>
            <w:shd w:val="clear" w:color="auto" w:fill="FFC000"/>
          </w:tcPr>
          <w:p w:rsidR="00F46175" w:rsidRDefault="00F46175" w:rsidP="00CA0F7F">
            <w:r w:rsidRPr="00C35D7E">
              <w:t>Mecklenburg-Vorpommern</w:t>
            </w:r>
          </w:p>
        </w:tc>
        <w:tc>
          <w:tcPr>
            <w:tcW w:w="1276" w:type="dxa"/>
            <w:shd w:val="clear" w:color="auto" w:fill="auto"/>
            <w:vAlign w:val="center"/>
          </w:tcPr>
          <w:p w:rsidR="00F46175" w:rsidRDefault="00F46175" w:rsidP="00CA0F7F">
            <w:pPr>
              <w:jc w:val="center"/>
            </w:pPr>
            <w:r>
              <w:t>2</w:t>
            </w:r>
          </w:p>
        </w:tc>
        <w:tc>
          <w:tcPr>
            <w:tcW w:w="1486" w:type="dxa"/>
            <w:shd w:val="clear" w:color="auto" w:fill="auto"/>
            <w:vAlign w:val="center"/>
          </w:tcPr>
          <w:p w:rsidR="00F46175" w:rsidRDefault="00F46175" w:rsidP="00CA0F7F">
            <w:pPr>
              <w:jc w:val="center"/>
            </w:pPr>
            <w:r>
              <w:t>2</w:t>
            </w:r>
          </w:p>
        </w:tc>
        <w:tc>
          <w:tcPr>
            <w:tcW w:w="1486" w:type="dxa"/>
            <w:shd w:val="clear" w:color="auto" w:fill="auto"/>
            <w:vAlign w:val="center"/>
          </w:tcPr>
          <w:p w:rsidR="00F46175" w:rsidRDefault="00F46175" w:rsidP="00CA0F7F">
            <w:pPr>
              <w:jc w:val="center"/>
            </w:pPr>
          </w:p>
        </w:tc>
      </w:tr>
      <w:tr w:rsidR="00F46175" w:rsidTr="00CA0F7F">
        <w:tc>
          <w:tcPr>
            <w:tcW w:w="3085" w:type="dxa"/>
            <w:shd w:val="clear" w:color="auto" w:fill="FFC000"/>
          </w:tcPr>
          <w:p w:rsidR="00F46175" w:rsidRDefault="00F46175" w:rsidP="00CA0F7F">
            <w:r w:rsidRPr="00C35D7E">
              <w:t>Niedersachsen</w:t>
            </w:r>
          </w:p>
        </w:tc>
        <w:tc>
          <w:tcPr>
            <w:tcW w:w="1276" w:type="dxa"/>
            <w:shd w:val="clear" w:color="auto" w:fill="auto"/>
            <w:vAlign w:val="center"/>
          </w:tcPr>
          <w:p w:rsidR="00F46175" w:rsidRDefault="00F46175" w:rsidP="00CA0F7F">
            <w:pPr>
              <w:jc w:val="center"/>
            </w:pPr>
            <w:r>
              <w:t>11</w:t>
            </w:r>
          </w:p>
        </w:tc>
        <w:tc>
          <w:tcPr>
            <w:tcW w:w="1486" w:type="dxa"/>
            <w:shd w:val="clear" w:color="auto" w:fill="auto"/>
            <w:vAlign w:val="center"/>
          </w:tcPr>
          <w:p w:rsidR="00F46175" w:rsidRDefault="00F46175" w:rsidP="00CA0F7F">
            <w:pPr>
              <w:jc w:val="center"/>
            </w:pPr>
            <w:r>
              <w:t>14</w:t>
            </w:r>
          </w:p>
        </w:tc>
        <w:tc>
          <w:tcPr>
            <w:tcW w:w="1486" w:type="dxa"/>
            <w:shd w:val="clear" w:color="auto" w:fill="auto"/>
            <w:vAlign w:val="center"/>
          </w:tcPr>
          <w:p w:rsidR="00F46175" w:rsidRDefault="00F46175" w:rsidP="00CA0F7F">
            <w:pPr>
              <w:jc w:val="center"/>
            </w:pPr>
            <w:r>
              <w:t>9</w:t>
            </w:r>
          </w:p>
        </w:tc>
      </w:tr>
      <w:tr w:rsidR="00F46175" w:rsidTr="00CA0F7F">
        <w:tc>
          <w:tcPr>
            <w:tcW w:w="3085" w:type="dxa"/>
            <w:shd w:val="clear" w:color="auto" w:fill="FFC000"/>
          </w:tcPr>
          <w:p w:rsidR="00F46175" w:rsidRPr="00C35D7E" w:rsidRDefault="00F46175" w:rsidP="00CA0F7F">
            <w:r w:rsidRPr="00C35D7E">
              <w:t>Nordrhein-Westfalen</w:t>
            </w:r>
          </w:p>
        </w:tc>
        <w:tc>
          <w:tcPr>
            <w:tcW w:w="1276" w:type="dxa"/>
            <w:shd w:val="clear" w:color="auto" w:fill="auto"/>
            <w:vAlign w:val="center"/>
          </w:tcPr>
          <w:p w:rsidR="00F46175" w:rsidRDefault="00F46175" w:rsidP="00CA0F7F">
            <w:pPr>
              <w:jc w:val="center"/>
            </w:pPr>
            <w:r>
              <w:t>12</w:t>
            </w:r>
          </w:p>
        </w:tc>
        <w:tc>
          <w:tcPr>
            <w:tcW w:w="1486" w:type="dxa"/>
            <w:shd w:val="clear" w:color="auto" w:fill="auto"/>
            <w:vAlign w:val="center"/>
          </w:tcPr>
          <w:p w:rsidR="00F46175" w:rsidRDefault="00F46175" w:rsidP="00CA0F7F">
            <w:pPr>
              <w:jc w:val="center"/>
            </w:pPr>
            <w:r>
              <w:t>13</w:t>
            </w:r>
          </w:p>
        </w:tc>
        <w:tc>
          <w:tcPr>
            <w:tcW w:w="1486" w:type="dxa"/>
            <w:shd w:val="clear" w:color="auto" w:fill="auto"/>
            <w:vAlign w:val="center"/>
          </w:tcPr>
          <w:p w:rsidR="00F46175" w:rsidRDefault="00F46175" w:rsidP="00CA0F7F">
            <w:pPr>
              <w:jc w:val="center"/>
            </w:pPr>
            <w:r>
              <w:t>19</w:t>
            </w:r>
          </w:p>
        </w:tc>
      </w:tr>
      <w:tr w:rsidR="00F46175" w:rsidTr="00CA0F7F">
        <w:tc>
          <w:tcPr>
            <w:tcW w:w="3085" w:type="dxa"/>
            <w:shd w:val="clear" w:color="auto" w:fill="FFC000"/>
          </w:tcPr>
          <w:p w:rsidR="00F46175" w:rsidRPr="00C35D7E" w:rsidRDefault="00F46175" w:rsidP="00CA0F7F">
            <w:proofErr w:type="spellStart"/>
            <w:r w:rsidRPr="00A461A6">
              <w:t>Rheinland</w:t>
            </w:r>
            <w:proofErr w:type="spellEnd"/>
            <w:r w:rsidRPr="00A461A6">
              <w:t>-Pfalz</w:t>
            </w:r>
          </w:p>
        </w:tc>
        <w:tc>
          <w:tcPr>
            <w:tcW w:w="1276" w:type="dxa"/>
            <w:shd w:val="clear" w:color="auto" w:fill="auto"/>
            <w:vAlign w:val="center"/>
          </w:tcPr>
          <w:p w:rsidR="00F46175" w:rsidRDefault="00F46175" w:rsidP="00CA0F7F">
            <w:pPr>
              <w:jc w:val="center"/>
            </w:pPr>
            <w:r>
              <w:t>1</w:t>
            </w:r>
          </w:p>
        </w:tc>
        <w:tc>
          <w:tcPr>
            <w:tcW w:w="1486" w:type="dxa"/>
            <w:shd w:val="clear" w:color="auto" w:fill="auto"/>
            <w:vAlign w:val="center"/>
          </w:tcPr>
          <w:p w:rsidR="00F46175" w:rsidRDefault="00F46175" w:rsidP="00CA0F7F">
            <w:pPr>
              <w:jc w:val="center"/>
            </w:pPr>
            <w:r>
              <w:t>4</w:t>
            </w:r>
          </w:p>
        </w:tc>
        <w:tc>
          <w:tcPr>
            <w:tcW w:w="1486" w:type="dxa"/>
            <w:shd w:val="clear" w:color="auto" w:fill="auto"/>
            <w:vAlign w:val="center"/>
          </w:tcPr>
          <w:p w:rsidR="00F46175" w:rsidRDefault="00F46175" w:rsidP="00CA0F7F">
            <w:pPr>
              <w:jc w:val="center"/>
            </w:pPr>
          </w:p>
        </w:tc>
      </w:tr>
      <w:tr w:rsidR="00F46175" w:rsidTr="00CA0F7F">
        <w:tc>
          <w:tcPr>
            <w:tcW w:w="3085" w:type="dxa"/>
            <w:shd w:val="clear" w:color="auto" w:fill="FFC000"/>
          </w:tcPr>
          <w:p w:rsidR="00F46175" w:rsidRPr="00C35D7E" w:rsidRDefault="00F46175" w:rsidP="00CA0F7F">
            <w:r w:rsidRPr="00A461A6">
              <w:t>Sachsen</w:t>
            </w:r>
          </w:p>
        </w:tc>
        <w:tc>
          <w:tcPr>
            <w:tcW w:w="1276" w:type="dxa"/>
            <w:shd w:val="clear" w:color="auto" w:fill="auto"/>
            <w:vAlign w:val="center"/>
          </w:tcPr>
          <w:p w:rsidR="00F46175" w:rsidRDefault="00F46175" w:rsidP="00CA0F7F">
            <w:pPr>
              <w:jc w:val="center"/>
            </w:pPr>
            <w:r>
              <w:t>1</w:t>
            </w:r>
          </w:p>
        </w:tc>
        <w:tc>
          <w:tcPr>
            <w:tcW w:w="1486" w:type="dxa"/>
            <w:shd w:val="clear" w:color="auto" w:fill="auto"/>
            <w:vAlign w:val="center"/>
          </w:tcPr>
          <w:p w:rsidR="00F46175" w:rsidRDefault="00F46175" w:rsidP="00CA0F7F">
            <w:pPr>
              <w:jc w:val="center"/>
            </w:pPr>
            <w:r>
              <w:t>18</w:t>
            </w:r>
          </w:p>
        </w:tc>
        <w:tc>
          <w:tcPr>
            <w:tcW w:w="1486" w:type="dxa"/>
            <w:shd w:val="clear" w:color="auto" w:fill="auto"/>
            <w:vAlign w:val="center"/>
          </w:tcPr>
          <w:p w:rsidR="00F46175" w:rsidRDefault="00F46175" w:rsidP="00CA0F7F">
            <w:pPr>
              <w:jc w:val="center"/>
            </w:pPr>
            <w:r>
              <w:t>1</w:t>
            </w:r>
          </w:p>
        </w:tc>
      </w:tr>
      <w:tr w:rsidR="00F46175" w:rsidTr="00CA0F7F">
        <w:tc>
          <w:tcPr>
            <w:tcW w:w="3085" w:type="dxa"/>
            <w:shd w:val="clear" w:color="auto" w:fill="FFC000"/>
          </w:tcPr>
          <w:p w:rsidR="00F46175" w:rsidRPr="00C35D7E" w:rsidRDefault="00F46175" w:rsidP="00CA0F7F">
            <w:r w:rsidRPr="00A461A6">
              <w:t>Sachsen-Anhalt</w:t>
            </w:r>
          </w:p>
        </w:tc>
        <w:tc>
          <w:tcPr>
            <w:tcW w:w="1276" w:type="dxa"/>
            <w:shd w:val="clear" w:color="auto" w:fill="auto"/>
            <w:vAlign w:val="center"/>
          </w:tcPr>
          <w:p w:rsidR="00F46175" w:rsidRDefault="00F46175" w:rsidP="00CA0F7F">
            <w:pPr>
              <w:jc w:val="center"/>
            </w:pPr>
          </w:p>
        </w:tc>
        <w:tc>
          <w:tcPr>
            <w:tcW w:w="1486" w:type="dxa"/>
            <w:shd w:val="clear" w:color="auto" w:fill="auto"/>
            <w:vAlign w:val="center"/>
          </w:tcPr>
          <w:p w:rsidR="00F46175" w:rsidRDefault="00F46175" w:rsidP="00CA0F7F">
            <w:pPr>
              <w:jc w:val="center"/>
            </w:pPr>
            <w:r>
              <w:t>4</w:t>
            </w:r>
          </w:p>
        </w:tc>
        <w:tc>
          <w:tcPr>
            <w:tcW w:w="1486" w:type="dxa"/>
            <w:shd w:val="clear" w:color="auto" w:fill="auto"/>
            <w:vAlign w:val="center"/>
          </w:tcPr>
          <w:p w:rsidR="00F46175" w:rsidRDefault="00F46175" w:rsidP="00CA0F7F">
            <w:pPr>
              <w:jc w:val="center"/>
            </w:pPr>
            <w:r>
              <w:t>1</w:t>
            </w:r>
          </w:p>
        </w:tc>
      </w:tr>
      <w:tr w:rsidR="00F46175" w:rsidTr="00CA0F7F">
        <w:tc>
          <w:tcPr>
            <w:tcW w:w="3085" w:type="dxa"/>
            <w:shd w:val="clear" w:color="auto" w:fill="FFC000"/>
          </w:tcPr>
          <w:p w:rsidR="00F46175" w:rsidRPr="00C35D7E" w:rsidRDefault="00F46175" w:rsidP="00CA0F7F">
            <w:r w:rsidRPr="00A461A6">
              <w:t>Schleswig-Holstein</w:t>
            </w:r>
          </w:p>
        </w:tc>
        <w:tc>
          <w:tcPr>
            <w:tcW w:w="1276" w:type="dxa"/>
            <w:shd w:val="clear" w:color="auto" w:fill="auto"/>
            <w:vAlign w:val="center"/>
          </w:tcPr>
          <w:p w:rsidR="00F46175" w:rsidRDefault="00F46175" w:rsidP="00CA0F7F">
            <w:pPr>
              <w:jc w:val="center"/>
            </w:pPr>
            <w:r>
              <w:t>6</w:t>
            </w:r>
          </w:p>
        </w:tc>
        <w:tc>
          <w:tcPr>
            <w:tcW w:w="1486" w:type="dxa"/>
            <w:shd w:val="clear" w:color="auto" w:fill="auto"/>
            <w:vAlign w:val="center"/>
          </w:tcPr>
          <w:p w:rsidR="00F46175" w:rsidRDefault="00F46175" w:rsidP="00CA0F7F">
            <w:pPr>
              <w:jc w:val="center"/>
            </w:pPr>
            <w:r>
              <w:t>27</w:t>
            </w:r>
          </w:p>
        </w:tc>
        <w:tc>
          <w:tcPr>
            <w:tcW w:w="1486" w:type="dxa"/>
            <w:shd w:val="clear" w:color="auto" w:fill="auto"/>
            <w:vAlign w:val="center"/>
          </w:tcPr>
          <w:p w:rsidR="00F46175" w:rsidRDefault="00F46175" w:rsidP="00CA0F7F">
            <w:pPr>
              <w:jc w:val="center"/>
            </w:pPr>
            <w:r>
              <w:t>1</w:t>
            </w:r>
          </w:p>
        </w:tc>
      </w:tr>
      <w:tr w:rsidR="00F46175" w:rsidTr="00CA0F7F">
        <w:tc>
          <w:tcPr>
            <w:tcW w:w="3085" w:type="dxa"/>
            <w:shd w:val="clear" w:color="auto" w:fill="FFC000"/>
          </w:tcPr>
          <w:p w:rsidR="00F46175" w:rsidRPr="00C35D7E" w:rsidRDefault="00F46175" w:rsidP="00CA0F7F">
            <w:r w:rsidRPr="009D6D9D">
              <w:rPr>
                <w:color w:val="000000"/>
              </w:rPr>
              <w:t>Thüringen</w:t>
            </w:r>
          </w:p>
        </w:tc>
        <w:tc>
          <w:tcPr>
            <w:tcW w:w="1276" w:type="dxa"/>
            <w:shd w:val="clear" w:color="auto" w:fill="auto"/>
            <w:vAlign w:val="center"/>
          </w:tcPr>
          <w:p w:rsidR="00F46175" w:rsidRDefault="00F46175" w:rsidP="00CA0F7F">
            <w:pPr>
              <w:jc w:val="center"/>
            </w:pPr>
            <w:r>
              <w:t>1</w:t>
            </w:r>
          </w:p>
        </w:tc>
        <w:tc>
          <w:tcPr>
            <w:tcW w:w="1486" w:type="dxa"/>
            <w:shd w:val="clear" w:color="auto" w:fill="auto"/>
            <w:vAlign w:val="center"/>
          </w:tcPr>
          <w:p w:rsidR="00F46175" w:rsidRDefault="00F46175" w:rsidP="00CA0F7F">
            <w:pPr>
              <w:jc w:val="center"/>
            </w:pPr>
            <w:r>
              <w:t>16</w:t>
            </w:r>
          </w:p>
        </w:tc>
        <w:tc>
          <w:tcPr>
            <w:tcW w:w="1486" w:type="dxa"/>
            <w:shd w:val="clear" w:color="auto" w:fill="auto"/>
            <w:vAlign w:val="center"/>
          </w:tcPr>
          <w:p w:rsidR="00F46175" w:rsidRDefault="00F46175" w:rsidP="00CA0F7F">
            <w:pPr>
              <w:jc w:val="center"/>
            </w:pPr>
          </w:p>
        </w:tc>
      </w:tr>
      <w:tr w:rsidR="00F46175" w:rsidTr="00CA0F7F">
        <w:tc>
          <w:tcPr>
            <w:tcW w:w="3085" w:type="dxa"/>
            <w:shd w:val="clear" w:color="auto" w:fill="FFC000"/>
          </w:tcPr>
          <w:p w:rsidR="00F46175" w:rsidRPr="00C35D7E" w:rsidRDefault="00F46175" w:rsidP="00CA0F7F">
            <w:r>
              <w:t>TOTAL</w:t>
            </w:r>
          </w:p>
        </w:tc>
        <w:tc>
          <w:tcPr>
            <w:tcW w:w="1276" w:type="dxa"/>
            <w:shd w:val="clear" w:color="auto" w:fill="auto"/>
            <w:vAlign w:val="center"/>
          </w:tcPr>
          <w:p w:rsidR="00F46175" w:rsidRDefault="00F46175" w:rsidP="00CA0F7F">
            <w:pPr>
              <w:jc w:val="center"/>
            </w:pPr>
            <w:r>
              <w:t>63</w:t>
            </w:r>
          </w:p>
        </w:tc>
        <w:tc>
          <w:tcPr>
            <w:tcW w:w="1486" w:type="dxa"/>
            <w:shd w:val="clear" w:color="auto" w:fill="auto"/>
            <w:vAlign w:val="center"/>
          </w:tcPr>
          <w:p w:rsidR="00F46175" w:rsidRDefault="00F46175" w:rsidP="00CA0F7F">
            <w:pPr>
              <w:jc w:val="center"/>
            </w:pPr>
            <w:r>
              <w:t>192</w:t>
            </w:r>
          </w:p>
        </w:tc>
        <w:tc>
          <w:tcPr>
            <w:tcW w:w="1486" w:type="dxa"/>
            <w:shd w:val="clear" w:color="auto" w:fill="auto"/>
            <w:vAlign w:val="center"/>
          </w:tcPr>
          <w:p w:rsidR="00F46175" w:rsidRDefault="00F46175" w:rsidP="00CA0F7F">
            <w:pPr>
              <w:jc w:val="center"/>
            </w:pPr>
            <w:r>
              <w:t>57</w:t>
            </w:r>
          </w:p>
        </w:tc>
      </w:tr>
      <w:tr w:rsidR="00F46175" w:rsidTr="00CA0F7F">
        <w:tc>
          <w:tcPr>
            <w:tcW w:w="3085" w:type="dxa"/>
            <w:shd w:val="clear" w:color="auto" w:fill="FFC000"/>
          </w:tcPr>
          <w:p w:rsidR="00F46175" w:rsidRPr="00C35D7E" w:rsidRDefault="00F46175" w:rsidP="00CA0F7F"/>
        </w:tc>
        <w:tc>
          <w:tcPr>
            <w:tcW w:w="1276" w:type="dxa"/>
            <w:shd w:val="clear" w:color="auto" w:fill="auto"/>
            <w:vAlign w:val="center"/>
          </w:tcPr>
          <w:p w:rsidR="00F46175" w:rsidRDefault="00F46175" w:rsidP="00CA0F7F">
            <w:pPr>
              <w:jc w:val="center"/>
            </w:pPr>
          </w:p>
        </w:tc>
        <w:tc>
          <w:tcPr>
            <w:tcW w:w="1486" w:type="dxa"/>
            <w:shd w:val="clear" w:color="auto" w:fill="auto"/>
            <w:vAlign w:val="center"/>
          </w:tcPr>
          <w:p w:rsidR="00F46175" w:rsidRDefault="00F46175" w:rsidP="00CA0F7F">
            <w:pPr>
              <w:jc w:val="center"/>
            </w:pPr>
          </w:p>
        </w:tc>
        <w:tc>
          <w:tcPr>
            <w:tcW w:w="1486" w:type="dxa"/>
            <w:shd w:val="clear" w:color="auto" w:fill="auto"/>
            <w:vAlign w:val="center"/>
          </w:tcPr>
          <w:p w:rsidR="00F46175" w:rsidRDefault="00F46175" w:rsidP="00CA0F7F">
            <w:pPr>
              <w:jc w:val="center"/>
            </w:pPr>
          </w:p>
        </w:tc>
      </w:tr>
    </w:tbl>
    <w:p w:rsidR="00F46175" w:rsidRDefault="00F46175" w:rsidP="00F46175">
      <w:pPr>
        <w:rPr>
          <w:i/>
        </w:rPr>
      </w:pPr>
      <w:r w:rsidRPr="00293867">
        <w:rPr>
          <w:i/>
        </w:rPr>
        <w:t>Source: press reports, VKU</w:t>
      </w:r>
    </w:p>
    <w:p w:rsidR="00F46175" w:rsidRDefault="00F46175" w:rsidP="00F46175"/>
    <w:p w:rsidR="00F46175" w:rsidRDefault="00F46175" w:rsidP="00F46175">
      <w:r w:rsidRPr="00B21857">
        <w:t xml:space="preserve">German legislators and regulators have facilitated this </w:t>
      </w:r>
      <w:r>
        <w:t>re-munic</w:t>
      </w:r>
      <w:r w:rsidRPr="00B21857">
        <w:t xml:space="preserve">ipalisation. The energy framework law was criticised in parliamentary hearings for creating barriers to </w:t>
      </w:r>
      <w:r>
        <w:t>re-munic</w:t>
      </w:r>
      <w:r w:rsidRPr="00B21857">
        <w:t>ipalisation and public ownership of energy grids</w:t>
      </w:r>
      <w:r>
        <w:t xml:space="preserve">, </w:t>
      </w:r>
      <w:r w:rsidRPr="00B21857">
        <w:t>especially around the lack of legal clarity for the return of property by the previous concessionaire, requirements to make available necessary information for new tenders, and the price of buy-backs of networks (</w:t>
      </w:r>
      <w:proofErr w:type="spellStart"/>
      <w:r w:rsidRPr="00B21857">
        <w:t>Krischer</w:t>
      </w:r>
      <w:proofErr w:type="spellEnd"/>
      <w:r w:rsidRPr="00B21857">
        <w:t xml:space="preserve"> 2011). A law in the state of North Rhine Westphalia in December 2010 facilitated </w:t>
      </w:r>
      <w:r>
        <w:t>re-munic</w:t>
      </w:r>
      <w:r w:rsidRPr="00B21857">
        <w:t>ipalisation of previously privatised utilities</w:t>
      </w:r>
      <w:r>
        <w:t>,</w:t>
      </w:r>
      <w:r w:rsidRPr="00B21857">
        <w:t xml:space="preserve"> and also provides for the commercial expansion of communal </w:t>
      </w:r>
      <w:proofErr w:type="spellStart"/>
      <w:r w:rsidRPr="00B21857">
        <w:t>Stadtwerke</w:t>
      </w:r>
      <w:proofErr w:type="spellEnd"/>
      <w:r>
        <w:t xml:space="preserve">. One key motive was </w:t>
      </w:r>
      <w:r w:rsidRPr="00B21857">
        <w:t xml:space="preserve">to break up the existing oligopoly in the </w:t>
      </w:r>
      <w:r>
        <w:t xml:space="preserve"> electricity</w:t>
      </w:r>
      <w:r w:rsidRPr="00B21857">
        <w:t xml:space="preserve"> market, which since liberalization in 1999 has been dominated by four corporations (E.ON, RWE, </w:t>
      </w:r>
      <w:proofErr w:type="spellStart"/>
      <w:r w:rsidRPr="00B21857">
        <w:t>Vattenfall</w:t>
      </w:r>
      <w:proofErr w:type="spellEnd"/>
      <w:r w:rsidRPr="00B21857">
        <w:t xml:space="preserve"> and </w:t>
      </w:r>
      <w:proofErr w:type="spellStart"/>
      <w:r w:rsidRPr="00B21857">
        <w:t>EnBW</w:t>
      </w:r>
      <w:proofErr w:type="spellEnd"/>
      <w:r w:rsidRPr="00B21857">
        <w:t>)</w:t>
      </w:r>
      <w:r>
        <w:t>, as noted by the reports of the German monopoly commission which in 2009 gave the blunt analysis: “there is still no workable competition”</w:t>
      </w:r>
      <w:r w:rsidRPr="00B21857">
        <w:t xml:space="preserve">. </w:t>
      </w:r>
      <w:r>
        <w:rPr>
          <w:rStyle w:val="EndnoteReference"/>
        </w:rPr>
        <w:endnoteReference w:id="10"/>
      </w:r>
    </w:p>
    <w:p w:rsidR="00F46175" w:rsidRPr="00B21857" w:rsidRDefault="00F46175" w:rsidP="00F46175"/>
    <w:p w:rsidR="00F46175" w:rsidRDefault="00F46175" w:rsidP="00F46175">
      <w:r w:rsidRPr="00B21857">
        <w:t xml:space="preserve">As a result, the majority of </w:t>
      </w:r>
      <w:r>
        <w:t>electricity distribution</w:t>
      </w:r>
      <w:r w:rsidRPr="00B21857">
        <w:t xml:space="preserve"> in Germany </w:t>
      </w:r>
      <w:r>
        <w:t xml:space="preserve">is </w:t>
      </w:r>
      <w:r w:rsidRPr="00B21857">
        <w:t xml:space="preserve">now municipal, rather than private. As of 2011, </w:t>
      </w:r>
      <w:proofErr w:type="spellStart"/>
      <w:r w:rsidRPr="00B21857">
        <w:t>stadtwerke</w:t>
      </w:r>
      <w:proofErr w:type="spellEnd"/>
      <w:r w:rsidRPr="00B21857">
        <w:t xml:space="preserve"> already hold 57% of electricity consumption</w:t>
      </w:r>
      <w:r>
        <w:t xml:space="preserve"> (and the same dominance is visible in gas networks, where the municipalities hold </w:t>
      </w:r>
      <w:r w:rsidRPr="00B21857">
        <w:t xml:space="preserve">52%, </w:t>
      </w:r>
      <w:proofErr w:type="gramStart"/>
      <w:r w:rsidRPr="00B21857">
        <w:t>and  district</w:t>
      </w:r>
      <w:proofErr w:type="gramEnd"/>
      <w:r w:rsidRPr="00B21857">
        <w:t xml:space="preserve"> heating</w:t>
      </w:r>
      <w:r>
        <w:t>, of which they hold 50%</w:t>
      </w:r>
      <w:r w:rsidRPr="00B21857">
        <w:t xml:space="preserve">.  </w:t>
      </w:r>
      <w:r>
        <w:t>D</w:t>
      </w:r>
      <w:r w:rsidRPr="00B21857">
        <w:t>espite being the home of two of the largest private energy companies in Europe</w:t>
      </w:r>
      <w:proofErr w:type="gramStart"/>
      <w:r w:rsidRPr="00B21857">
        <w:t xml:space="preserve">, </w:t>
      </w:r>
      <w:r>
        <w:t xml:space="preserve"> electricity</w:t>
      </w:r>
      <w:proofErr w:type="gramEnd"/>
      <w:r>
        <w:t xml:space="preserve"> distribution </w:t>
      </w:r>
      <w:r w:rsidRPr="00B21857">
        <w:t xml:space="preserve">in Germany </w:t>
      </w:r>
      <w:r>
        <w:t>is now predominantly public</w:t>
      </w:r>
      <w:r w:rsidRPr="00B21857">
        <w:t xml:space="preserve">. </w:t>
      </w:r>
      <w:r>
        <w:t xml:space="preserve">The re-municipalisation of the distribution networks does not in itself give municipalities </w:t>
      </w:r>
      <w:proofErr w:type="gramStart"/>
      <w:r>
        <w:t>direct  control</w:t>
      </w:r>
      <w:proofErr w:type="gramEnd"/>
      <w:r>
        <w:t xml:space="preserve"> over the level of renewable  electricity used. Under the liberalised market required by EU law, distributors have to transmit </w:t>
      </w:r>
      <w:proofErr w:type="gramStart"/>
      <w:r>
        <w:t>whatever  electricity</w:t>
      </w:r>
      <w:proofErr w:type="gramEnd"/>
      <w:r>
        <w:t xml:space="preserve"> is being sold by supply companies to the final consumers. The new and re-municipalised </w:t>
      </w:r>
      <w:proofErr w:type="spellStart"/>
      <w:r>
        <w:t>stadtwerke</w:t>
      </w:r>
      <w:proofErr w:type="spellEnd"/>
      <w:r>
        <w:t xml:space="preserve">, however, are able to operate as supply companies, either buying or generating the mix of electricity they want. In generation, however, the level is much lower, with municipalities owning about 10% of total installed generating capacity. Over 80% of electricity generation in Germany remains in the hands of the 4 largest companies, although this is expected to fall as the companies phase out their nuclear power plants as required by new national policy following the Japanese earthquake. </w:t>
      </w:r>
      <w:r>
        <w:rPr>
          <w:rStyle w:val="EndnoteReference"/>
        </w:rPr>
        <w:endnoteReference w:id="11"/>
      </w:r>
    </w:p>
    <w:p w:rsidR="00F46175" w:rsidRDefault="00F46175" w:rsidP="00F46175"/>
    <w:p w:rsidR="00F46175" w:rsidRPr="00B21857" w:rsidRDefault="00F46175" w:rsidP="00F46175">
      <w:r>
        <w:t xml:space="preserve">Information about re-municipalisation has been disseminated </w:t>
      </w:r>
      <w:proofErr w:type="gramStart"/>
      <w:r>
        <w:t>by  a</w:t>
      </w:r>
      <w:proofErr w:type="gramEnd"/>
      <w:r>
        <w:t xml:space="preserve"> strong </w:t>
      </w:r>
      <w:r w:rsidRPr="00B21857">
        <w:t xml:space="preserve">national association of </w:t>
      </w:r>
      <w:proofErr w:type="spellStart"/>
      <w:r w:rsidRPr="00B21857">
        <w:t>stadtwerke</w:t>
      </w:r>
      <w:proofErr w:type="spellEnd"/>
      <w:r w:rsidRPr="00B21857">
        <w:t xml:space="preserve">, the VKU ( </w:t>
      </w:r>
      <w:proofErr w:type="spellStart"/>
      <w:r w:rsidRPr="00B21857">
        <w:t>Verbandkommunaler</w:t>
      </w:r>
      <w:proofErr w:type="spellEnd"/>
      <w:r>
        <w:t xml:space="preserve"> </w:t>
      </w:r>
      <w:proofErr w:type="spellStart"/>
      <w:r w:rsidRPr="00B21857">
        <w:t>Unternehmen</w:t>
      </w:r>
      <w:proofErr w:type="spellEnd"/>
      <w:r w:rsidRPr="00B21857">
        <w:t xml:space="preserve"> - the Association of Local Utilities), with over 1400 members</w:t>
      </w:r>
      <w:r>
        <w:t xml:space="preserve">, which actively promotes re-municipalisation and acts as a vehicle of  policy diffusion. It emphasises the distinctive feature of </w:t>
      </w:r>
      <w:proofErr w:type="spellStart"/>
      <w:r w:rsidRPr="00B21857">
        <w:t>stadtwerke</w:t>
      </w:r>
      <w:proofErr w:type="spellEnd"/>
      <w:r>
        <w:t xml:space="preserve"> as pursuing public interest </w:t>
      </w:r>
      <w:r w:rsidRPr="00B21857">
        <w:t>objectives: they “do not primarily pursue private commercial objectives but are guided by public welfare obligations. In our democratic system, they operate under local self-administration to serve "citizen value", i.e. to meet the needs of the local community. The type of capital they form and secure is a community-oriented asset [</w:t>
      </w:r>
      <w:proofErr w:type="spellStart"/>
      <w:r w:rsidRPr="00B21857">
        <w:t>eingemeinschaftlichorientiertes</w:t>
      </w:r>
      <w:proofErr w:type="spellEnd"/>
      <w:r>
        <w:t xml:space="preserve"> </w:t>
      </w:r>
      <w:proofErr w:type="spellStart"/>
      <w:r w:rsidRPr="00B21857">
        <w:t>Vermögen</w:t>
      </w:r>
      <w:proofErr w:type="spellEnd"/>
      <w:proofErr w:type="gramStart"/>
      <w:r w:rsidRPr="00B21857">
        <w:t>. ]</w:t>
      </w:r>
      <w:proofErr w:type="gramEnd"/>
      <w:r w:rsidRPr="00B21857">
        <w:t>" In May 2012 the VKU launched a public campaign to promote the superiority of municipal enterprises</w:t>
      </w:r>
      <w:r>
        <w:t xml:space="preserve">. </w:t>
      </w:r>
      <w:r>
        <w:rPr>
          <w:rStyle w:val="EndnoteReference"/>
        </w:rPr>
        <w:endnoteReference w:id="12"/>
      </w:r>
    </w:p>
    <w:p w:rsidR="00F46175" w:rsidRDefault="00F46175" w:rsidP="00F46175"/>
    <w:p w:rsidR="00F46175" w:rsidRDefault="00F46175" w:rsidP="00F46175">
      <w:r>
        <w:t xml:space="preserve">There is also a new collaboration to strengthen the role of municipalities in buying electricity and expanding their role as generators. </w:t>
      </w:r>
      <w:proofErr w:type="spellStart"/>
      <w:r w:rsidRPr="00B21857">
        <w:t>Trianel</w:t>
      </w:r>
      <w:proofErr w:type="spellEnd"/>
      <w:r>
        <w:t xml:space="preserve"> </w:t>
      </w:r>
      <w:r w:rsidRPr="00B21857">
        <w:t xml:space="preserve">is a joint venture of over 80 </w:t>
      </w:r>
      <w:proofErr w:type="spellStart"/>
      <w:r w:rsidRPr="00B21857">
        <w:t>stadtwerke</w:t>
      </w:r>
      <w:proofErr w:type="spellEnd"/>
      <w:r w:rsidRPr="00B21857">
        <w:t>, formed in 1999 to facilitate energy trading by German municipal companies in the liberalised electricity and gas markets. It has since extended its functions, building pumped-storage power stations, gas and coal-fired power stations, and wind energy farms, including an investment of €800million in the first municipal off-shore wind farm in the North Sea. In 2010 it had sales over €2.5 billion. It has also extended its membership internationally, so that it now includes municipal utilities in Switzerlan</w:t>
      </w:r>
      <w:r>
        <w:t xml:space="preserve">d, Austria, and Netherlands. </w:t>
      </w:r>
      <w:r w:rsidRPr="00B21857">
        <w:t xml:space="preserve">It also promotes the role of municipal energy companies, and joined the VKU campaign in May 2012, with a statement that: "Municipal companies have developed a historically sustainable business model, with a high level of public support, in contrast to the private power companies”. </w:t>
      </w:r>
      <w:r>
        <w:rPr>
          <w:rStyle w:val="EndnoteReference"/>
        </w:rPr>
        <w:endnoteReference w:id="13"/>
      </w:r>
    </w:p>
    <w:p w:rsidR="00F46175" w:rsidRPr="00464059" w:rsidRDefault="00F46175" w:rsidP="00F46175">
      <w:pPr>
        <w:rPr>
          <w:lang w:eastAsia="en-US"/>
        </w:rPr>
      </w:pPr>
    </w:p>
    <w:p w:rsidR="00F46175" w:rsidRPr="00464059" w:rsidRDefault="00F46175" w:rsidP="00F46175">
      <w:pPr>
        <w:rPr>
          <w:lang w:eastAsia="en-US"/>
        </w:rPr>
      </w:pPr>
      <w:r w:rsidRPr="00464059">
        <w:t xml:space="preserve">A key part of the background is the ambitious renewable energy policy objectives of the ‘Energy </w:t>
      </w:r>
      <w:r>
        <w:t>transformation’ [</w:t>
      </w:r>
      <w:proofErr w:type="spellStart"/>
      <w:r>
        <w:t>energiewende</w:t>
      </w:r>
      <w:proofErr w:type="spellEnd"/>
      <w:r>
        <w:t>], because the private companies are seen as failing to deliver. This is described in the separate paper on Renewable Energy.</w:t>
      </w:r>
    </w:p>
    <w:p w:rsidR="00F46175" w:rsidRDefault="00F46175" w:rsidP="00F46175">
      <w:pPr>
        <w:rPr>
          <w:rFonts w:ascii="Tahoma" w:hAnsi="Tahoma" w:cs="Tahoma"/>
          <w:sz w:val="20"/>
          <w:szCs w:val="20"/>
          <w:lang w:val="nl-BE"/>
        </w:rPr>
      </w:pPr>
      <w:r>
        <w:rPr>
          <w:rFonts w:ascii="Tahoma" w:hAnsi="Tahoma" w:cs="Tahoma"/>
          <w:sz w:val="20"/>
          <w:szCs w:val="20"/>
          <w:lang w:val="nl-BE"/>
        </w:rPr>
        <w:br w:type="page"/>
      </w:r>
    </w:p>
    <w:p w:rsidR="00F46175" w:rsidRDefault="00F46175" w:rsidP="00F46175">
      <w:pPr>
        <w:pStyle w:val="Heading2"/>
      </w:pPr>
      <w:bookmarkStart w:id="13" w:name="_Toc366776055"/>
      <w:r>
        <w:lastRenderedPageBreak/>
        <w:t>Other re-nationalisations</w:t>
      </w:r>
      <w:bookmarkEnd w:id="13"/>
    </w:p>
    <w:p w:rsidR="00F46175" w:rsidRDefault="00F46175" w:rsidP="00F46175">
      <w:pPr>
        <w:pStyle w:val="Heading7"/>
      </w:pPr>
      <w:bookmarkStart w:id="14" w:name="_Toc366776056"/>
      <w:r>
        <w:t>Re-nationalisations of electricity companies (excluding Germany)</w:t>
      </w:r>
      <w:bookmarkEnd w:id="14"/>
    </w:p>
    <w:tbl>
      <w:tblPr>
        <w:tblStyle w:val="TableGrid"/>
        <w:tblW w:w="0" w:type="auto"/>
        <w:tblLook w:val="04A0" w:firstRow="1" w:lastRow="0" w:firstColumn="1" w:lastColumn="0" w:noHBand="0" w:noVBand="1"/>
      </w:tblPr>
      <w:tblGrid>
        <w:gridCol w:w="1242"/>
        <w:gridCol w:w="1107"/>
        <w:gridCol w:w="5420"/>
        <w:gridCol w:w="2085"/>
      </w:tblGrid>
      <w:tr w:rsidR="00F46175" w:rsidRPr="00C7760D" w:rsidTr="00CA0F7F">
        <w:tc>
          <w:tcPr>
            <w:tcW w:w="1242" w:type="dxa"/>
          </w:tcPr>
          <w:p w:rsidR="00F46175" w:rsidRPr="00C7760D" w:rsidRDefault="00F46175" w:rsidP="00CA0F7F">
            <w:pPr>
              <w:rPr>
                <w:rFonts w:asciiTheme="minorHAnsi" w:hAnsiTheme="minorHAnsi"/>
                <w:sz w:val="20"/>
                <w:szCs w:val="20"/>
                <w:lang w:eastAsia="en-US"/>
              </w:rPr>
            </w:pPr>
            <w:r>
              <w:rPr>
                <w:rFonts w:asciiTheme="minorHAnsi" w:hAnsiTheme="minorHAnsi"/>
                <w:sz w:val="20"/>
                <w:szCs w:val="20"/>
                <w:lang w:eastAsia="en-US"/>
              </w:rPr>
              <w:t>Country</w:t>
            </w:r>
          </w:p>
        </w:tc>
        <w:tc>
          <w:tcPr>
            <w:tcW w:w="1107" w:type="dxa"/>
          </w:tcPr>
          <w:p w:rsidR="00F46175" w:rsidRPr="00C7760D" w:rsidRDefault="00F46175" w:rsidP="00CA0F7F">
            <w:pPr>
              <w:rPr>
                <w:rFonts w:asciiTheme="minorHAnsi" w:hAnsiTheme="minorHAnsi"/>
                <w:sz w:val="20"/>
                <w:szCs w:val="20"/>
                <w:lang w:eastAsia="en-US"/>
              </w:rPr>
            </w:pPr>
            <w:r>
              <w:rPr>
                <w:rFonts w:asciiTheme="minorHAnsi" w:hAnsiTheme="minorHAnsi"/>
                <w:sz w:val="20"/>
                <w:szCs w:val="20"/>
                <w:lang w:eastAsia="en-US"/>
              </w:rPr>
              <w:t>Date</w:t>
            </w:r>
          </w:p>
        </w:tc>
        <w:tc>
          <w:tcPr>
            <w:tcW w:w="5420" w:type="dxa"/>
          </w:tcPr>
          <w:p w:rsidR="00F46175" w:rsidRPr="00C7760D" w:rsidRDefault="00F46175" w:rsidP="00CA0F7F">
            <w:pPr>
              <w:rPr>
                <w:rFonts w:asciiTheme="minorHAnsi" w:hAnsiTheme="minorHAnsi"/>
                <w:sz w:val="20"/>
                <w:szCs w:val="20"/>
                <w:lang w:eastAsia="en-US"/>
              </w:rPr>
            </w:pPr>
          </w:p>
        </w:tc>
        <w:tc>
          <w:tcPr>
            <w:tcW w:w="2085" w:type="dxa"/>
          </w:tcPr>
          <w:p w:rsidR="00F46175" w:rsidRPr="00C7760D" w:rsidRDefault="00F46175" w:rsidP="00CA0F7F">
            <w:pPr>
              <w:rPr>
                <w:rFonts w:asciiTheme="minorHAnsi" w:hAnsiTheme="minorHAnsi"/>
                <w:sz w:val="20"/>
                <w:szCs w:val="20"/>
                <w:lang w:eastAsia="en-US"/>
              </w:rPr>
            </w:pPr>
          </w:p>
        </w:tc>
      </w:tr>
      <w:tr w:rsidR="00F46175" w:rsidRPr="00C7760D" w:rsidTr="00CA0F7F">
        <w:tc>
          <w:tcPr>
            <w:tcW w:w="1242" w:type="dxa"/>
          </w:tcPr>
          <w:p w:rsidR="00F46175" w:rsidRPr="00C7760D" w:rsidRDefault="00F46175" w:rsidP="00CA0F7F">
            <w:pPr>
              <w:rPr>
                <w:rFonts w:asciiTheme="minorHAnsi" w:hAnsiTheme="minorHAnsi"/>
                <w:sz w:val="20"/>
                <w:szCs w:val="20"/>
                <w:lang w:eastAsia="en-US"/>
              </w:rPr>
            </w:pPr>
            <w:r w:rsidRPr="00C7760D">
              <w:rPr>
                <w:rFonts w:asciiTheme="minorHAnsi" w:hAnsiTheme="minorHAnsi"/>
                <w:sz w:val="20"/>
                <w:szCs w:val="20"/>
                <w:lang w:eastAsia="en-US"/>
              </w:rPr>
              <w:t>Belize</w:t>
            </w:r>
          </w:p>
        </w:tc>
        <w:tc>
          <w:tcPr>
            <w:tcW w:w="1107" w:type="dxa"/>
          </w:tcPr>
          <w:p w:rsidR="00F46175" w:rsidRPr="00C7760D" w:rsidRDefault="00F46175" w:rsidP="00CA0F7F">
            <w:pPr>
              <w:rPr>
                <w:rFonts w:asciiTheme="minorHAnsi" w:hAnsiTheme="minorHAnsi"/>
                <w:sz w:val="20"/>
                <w:szCs w:val="20"/>
                <w:lang w:eastAsia="en-US"/>
              </w:rPr>
            </w:pPr>
            <w:r>
              <w:rPr>
                <w:rFonts w:asciiTheme="minorHAnsi" w:hAnsiTheme="minorHAnsi"/>
                <w:sz w:val="20"/>
                <w:szCs w:val="20"/>
                <w:lang w:eastAsia="en-US"/>
              </w:rPr>
              <w:t>2009</w:t>
            </w:r>
          </w:p>
        </w:tc>
        <w:tc>
          <w:tcPr>
            <w:tcW w:w="5420" w:type="dxa"/>
          </w:tcPr>
          <w:p w:rsidR="00F46175" w:rsidRPr="00C7760D" w:rsidRDefault="00F46175" w:rsidP="00CA0F7F">
            <w:pPr>
              <w:rPr>
                <w:rFonts w:asciiTheme="minorHAnsi" w:hAnsiTheme="minorHAnsi"/>
                <w:sz w:val="20"/>
                <w:szCs w:val="20"/>
                <w:lang w:eastAsia="en-US"/>
              </w:rPr>
            </w:pPr>
            <w:r w:rsidRPr="00C7760D">
              <w:rPr>
                <w:rFonts w:asciiTheme="minorHAnsi" w:hAnsiTheme="minorHAnsi"/>
                <w:sz w:val="20"/>
                <w:szCs w:val="20"/>
                <w:lang w:eastAsia="en-US"/>
              </w:rPr>
              <w:t xml:space="preserve">2 electricity distribution companies, Belize </w:t>
            </w:r>
            <w:proofErr w:type="spellStart"/>
            <w:r w:rsidRPr="00C7760D">
              <w:rPr>
                <w:rFonts w:asciiTheme="minorHAnsi" w:hAnsiTheme="minorHAnsi"/>
                <w:sz w:val="20"/>
                <w:szCs w:val="20"/>
                <w:lang w:eastAsia="en-US"/>
              </w:rPr>
              <w:t>Telemedia</w:t>
            </w:r>
            <w:proofErr w:type="spellEnd"/>
            <w:r w:rsidRPr="00C7760D">
              <w:rPr>
                <w:rFonts w:asciiTheme="minorHAnsi" w:hAnsiTheme="minorHAnsi"/>
                <w:sz w:val="20"/>
                <w:szCs w:val="20"/>
                <w:lang w:eastAsia="en-US"/>
              </w:rPr>
              <w:t xml:space="preserve"> Ltd (BTL) and Belize Electricity Ltd (BEL)</w:t>
            </w:r>
            <w:r w:rsidRPr="00C7760D">
              <w:rPr>
                <w:rFonts w:asciiTheme="minorHAnsi" w:hAnsiTheme="minorHAnsi"/>
                <w:sz w:val="20"/>
                <w:szCs w:val="20"/>
                <w:vertAlign w:val="superscript"/>
                <w:lang w:eastAsia="en-US"/>
              </w:rPr>
              <w:endnoteReference w:id="14"/>
            </w:r>
          </w:p>
        </w:tc>
        <w:tc>
          <w:tcPr>
            <w:tcW w:w="2085" w:type="dxa"/>
          </w:tcPr>
          <w:p w:rsidR="00F46175" w:rsidRPr="00C7760D" w:rsidRDefault="00F46175" w:rsidP="00CA0F7F">
            <w:pPr>
              <w:rPr>
                <w:rFonts w:asciiTheme="minorHAnsi" w:hAnsiTheme="minorHAnsi"/>
                <w:sz w:val="20"/>
                <w:szCs w:val="20"/>
                <w:lang w:eastAsia="en-US"/>
              </w:rPr>
            </w:pPr>
          </w:p>
        </w:tc>
      </w:tr>
      <w:tr w:rsidR="00F46175" w:rsidRPr="00F66C5F" w:rsidTr="00CA0F7F">
        <w:tc>
          <w:tcPr>
            <w:tcW w:w="1242" w:type="dxa"/>
          </w:tcPr>
          <w:p w:rsidR="00F46175" w:rsidRPr="00C7760D" w:rsidRDefault="00F46175" w:rsidP="00CA0F7F">
            <w:pPr>
              <w:rPr>
                <w:rFonts w:asciiTheme="minorHAnsi" w:hAnsiTheme="minorHAnsi"/>
                <w:sz w:val="20"/>
                <w:szCs w:val="20"/>
                <w:lang w:eastAsia="en-US"/>
              </w:rPr>
            </w:pPr>
            <w:r w:rsidRPr="00C7760D">
              <w:rPr>
                <w:rFonts w:asciiTheme="minorHAnsi" w:hAnsiTheme="minorHAnsi"/>
                <w:sz w:val="20"/>
                <w:szCs w:val="20"/>
                <w:lang w:eastAsia="en-US"/>
              </w:rPr>
              <w:t>Bolivia</w:t>
            </w:r>
          </w:p>
        </w:tc>
        <w:tc>
          <w:tcPr>
            <w:tcW w:w="1107" w:type="dxa"/>
          </w:tcPr>
          <w:p w:rsidR="00F46175" w:rsidRPr="00C7760D" w:rsidRDefault="00F46175" w:rsidP="00CA0F7F">
            <w:pPr>
              <w:rPr>
                <w:rFonts w:asciiTheme="minorHAnsi" w:hAnsiTheme="minorHAnsi"/>
                <w:sz w:val="20"/>
                <w:szCs w:val="20"/>
                <w:lang w:eastAsia="en-US"/>
              </w:rPr>
            </w:pPr>
            <w:r w:rsidRPr="00C7760D">
              <w:rPr>
                <w:rFonts w:asciiTheme="minorHAnsi" w:hAnsiTheme="minorHAnsi"/>
                <w:sz w:val="20"/>
                <w:szCs w:val="20"/>
                <w:lang w:eastAsia="en-US"/>
              </w:rPr>
              <w:t>2010 - 2013</w:t>
            </w:r>
          </w:p>
        </w:tc>
        <w:tc>
          <w:tcPr>
            <w:tcW w:w="5420" w:type="dxa"/>
          </w:tcPr>
          <w:p w:rsidR="00F46175" w:rsidRPr="00C7760D" w:rsidRDefault="00F46175" w:rsidP="00CA0F7F">
            <w:pPr>
              <w:rPr>
                <w:rFonts w:asciiTheme="minorHAnsi" w:hAnsiTheme="minorHAnsi"/>
                <w:sz w:val="20"/>
                <w:szCs w:val="20"/>
                <w:lang w:eastAsia="en-US"/>
              </w:rPr>
            </w:pPr>
            <w:r w:rsidRPr="00C7760D">
              <w:rPr>
                <w:rFonts w:asciiTheme="minorHAnsi" w:hAnsiTheme="minorHAnsi"/>
                <w:sz w:val="20"/>
                <w:szCs w:val="20"/>
                <w:lang w:eastAsia="en-US"/>
              </w:rPr>
              <w:t>2 electricity distribution companies, transmission company, and generating companies</w:t>
            </w:r>
          </w:p>
        </w:tc>
        <w:tc>
          <w:tcPr>
            <w:tcW w:w="2085" w:type="dxa"/>
          </w:tcPr>
          <w:p w:rsidR="00F46175" w:rsidRPr="00C7760D" w:rsidRDefault="00F46175" w:rsidP="00CA0F7F">
            <w:pPr>
              <w:rPr>
                <w:rFonts w:asciiTheme="minorHAnsi" w:hAnsiTheme="minorHAnsi"/>
                <w:sz w:val="20"/>
                <w:szCs w:val="20"/>
                <w:lang w:val="es-ES_tradnl" w:eastAsia="en-US"/>
              </w:rPr>
            </w:pPr>
            <w:r w:rsidRPr="00C7760D">
              <w:rPr>
                <w:rFonts w:asciiTheme="minorHAnsi" w:hAnsiTheme="minorHAnsi"/>
                <w:sz w:val="20"/>
                <w:szCs w:val="20"/>
                <w:lang w:val="es-ES_tradnl" w:eastAsia="en-US"/>
              </w:rPr>
              <w:t xml:space="preserve">Iberdrola, GDF-Suez, </w:t>
            </w:r>
            <w:proofErr w:type="spellStart"/>
            <w:r w:rsidRPr="00C7760D">
              <w:rPr>
                <w:rFonts w:asciiTheme="minorHAnsi" w:hAnsiTheme="minorHAnsi"/>
                <w:sz w:val="20"/>
                <w:szCs w:val="20"/>
                <w:lang w:val="es-ES_tradnl" w:eastAsia="en-US"/>
              </w:rPr>
              <w:t>Rurelec</w:t>
            </w:r>
            <w:proofErr w:type="spellEnd"/>
            <w:r w:rsidRPr="00C7760D">
              <w:rPr>
                <w:rFonts w:asciiTheme="minorHAnsi" w:hAnsiTheme="minorHAnsi"/>
                <w:sz w:val="20"/>
                <w:szCs w:val="20"/>
                <w:lang w:val="es-ES_tradnl" w:eastAsia="en-US"/>
              </w:rPr>
              <w:t>, R</w:t>
            </w:r>
            <w:r>
              <w:rPr>
                <w:rFonts w:asciiTheme="minorHAnsi" w:hAnsiTheme="minorHAnsi"/>
                <w:sz w:val="20"/>
                <w:szCs w:val="20"/>
                <w:lang w:val="es-ES_tradnl" w:eastAsia="en-US"/>
              </w:rPr>
              <w:t xml:space="preserve">ed </w:t>
            </w:r>
            <w:proofErr w:type="spellStart"/>
            <w:r>
              <w:rPr>
                <w:rFonts w:asciiTheme="minorHAnsi" w:hAnsiTheme="minorHAnsi"/>
                <w:sz w:val="20"/>
                <w:szCs w:val="20"/>
                <w:lang w:val="es-ES_tradnl" w:eastAsia="en-US"/>
              </w:rPr>
              <w:t>Electrica</w:t>
            </w:r>
            <w:proofErr w:type="spellEnd"/>
          </w:p>
        </w:tc>
      </w:tr>
      <w:tr w:rsidR="00F46175" w:rsidRPr="00C7760D" w:rsidTr="00CA0F7F">
        <w:tc>
          <w:tcPr>
            <w:tcW w:w="1242" w:type="dxa"/>
          </w:tcPr>
          <w:p w:rsidR="00F46175" w:rsidRPr="00C7760D" w:rsidRDefault="00F46175" w:rsidP="00CA0F7F">
            <w:pPr>
              <w:rPr>
                <w:rFonts w:asciiTheme="minorHAnsi" w:hAnsiTheme="minorHAnsi"/>
                <w:sz w:val="20"/>
                <w:szCs w:val="20"/>
                <w:lang w:eastAsia="en-US"/>
              </w:rPr>
            </w:pPr>
            <w:r w:rsidRPr="00C7760D">
              <w:rPr>
                <w:rFonts w:asciiTheme="minorHAnsi" w:hAnsiTheme="minorHAnsi"/>
                <w:sz w:val="20"/>
                <w:szCs w:val="20"/>
                <w:lang w:eastAsia="en-US"/>
              </w:rPr>
              <w:t>Argentina</w:t>
            </w:r>
          </w:p>
        </w:tc>
        <w:tc>
          <w:tcPr>
            <w:tcW w:w="1107" w:type="dxa"/>
          </w:tcPr>
          <w:p w:rsidR="00F46175" w:rsidRPr="00C7760D" w:rsidRDefault="00F46175" w:rsidP="00CA0F7F">
            <w:pPr>
              <w:rPr>
                <w:rFonts w:asciiTheme="minorHAnsi" w:hAnsiTheme="minorHAnsi"/>
                <w:sz w:val="20"/>
                <w:szCs w:val="20"/>
                <w:lang w:eastAsia="en-US"/>
              </w:rPr>
            </w:pPr>
            <w:r>
              <w:rPr>
                <w:rFonts w:asciiTheme="minorHAnsi" w:hAnsiTheme="minorHAnsi"/>
                <w:sz w:val="20"/>
                <w:szCs w:val="20"/>
                <w:lang w:eastAsia="en-US"/>
              </w:rPr>
              <w:t>2009-</w:t>
            </w:r>
            <w:r w:rsidRPr="00C7760D">
              <w:rPr>
                <w:rFonts w:asciiTheme="minorHAnsi" w:hAnsiTheme="minorHAnsi"/>
                <w:sz w:val="20"/>
                <w:szCs w:val="20"/>
                <w:lang w:eastAsia="en-US"/>
              </w:rPr>
              <w:t>2013</w:t>
            </w:r>
          </w:p>
        </w:tc>
        <w:tc>
          <w:tcPr>
            <w:tcW w:w="5420" w:type="dxa"/>
          </w:tcPr>
          <w:p w:rsidR="00F46175" w:rsidRPr="00C7760D" w:rsidRDefault="00F46175" w:rsidP="00CA0F7F">
            <w:pPr>
              <w:rPr>
                <w:rFonts w:asciiTheme="minorHAnsi" w:hAnsiTheme="minorHAnsi"/>
                <w:sz w:val="20"/>
                <w:szCs w:val="20"/>
                <w:lang w:eastAsia="en-US"/>
              </w:rPr>
            </w:pPr>
            <w:r w:rsidRPr="00C7760D">
              <w:rPr>
                <w:rFonts w:asciiTheme="minorHAnsi" w:hAnsiTheme="minorHAnsi"/>
                <w:sz w:val="20"/>
                <w:szCs w:val="20"/>
                <w:lang w:eastAsia="en-US"/>
              </w:rPr>
              <w:t>distribution compan</w:t>
            </w:r>
            <w:r>
              <w:rPr>
                <w:rFonts w:asciiTheme="minorHAnsi" w:hAnsiTheme="minorHAnsi"/>
                <w:sz w:val="20"/>
                <w:szCs w:val="20"/>
                <w:lang w:eastAsia="en-US"/>
              </w:rPr>
              <w:t xml:space="preserve">ies </w:t>
            </w:r>
            <w:proofErr w:type="spellStart"/>
            <w:r>
              <w:rPr>
                <w:rFonts w:asciiTheme="minorHAnsi" w:hAnsiTheme="minorHAnsi"/>
                <w:sz w:val="20"/>
                <w:szCs w:val="20"/>
                <w:lang w:eastAsia="en-US"/>
              </w:rPr>
              <w:t>Edecat</w:t>
            </w:r>
            <w:proofErr w:type="spellEnd"/>
            <w:r>
              <w:rPr>
                <w:rFonts w:asciiTheme="minorHAnsi" w:hAnsiTheme="minorHAnsi"/>
                <w:sz w:val="20"/>
                <w:szCs w:val="20"/>
                <w:lang w:eastAsia="en-US"/>
              </w:rPr>
              <w:t>,</w:t>
            </w:r>
            <w:r w:rsidRPr="00C7760D">
              <w:rPr>
                <w:rFonts w:asciiTheme="minorHAnsi" w:hAnsiTheme="minorHAnsi"/>
                <w:sz w:val="20"/>
                <w:szCs w:val="20"/>
                <w:lang w:eastAsia="en-US"/>
              </w:rPr>
              <w:t xml:space="preserve"> </w:t>
            </w:r>
            <w:proofErr w:type="spellStart"/>
            <w:r w:rsidRPr="00C7760D">
              <w:rPr>
                <w:rFonts w:asciiTheme="minorHAnsi" w:hAnsiTheme="minorHAnsi"/>
                <w:sz w:val="20"/>
                <w:szCs w:val="20"/>
                <w:lang w:eastAsia="en-US"/>
              </w:rPr>
              <w:t>Edelar</w:t>
            </w:r>
            <w:proofErr w:type="spellEnd"/>
            <w:r w:rsidRPr="00C7760D">
              <w:rPr>
                <w:rFonts w:asciiTheme="minorHAnsi" w:hAnsiTheme="minorHAnsi"/>
                <w:sz w:val="20"/>
                <w:szCs w:val="20"/>
                <w:lang w:eastAsia="en-US"/>
              </w:rPr>
              <w:t>,</w:t>
            </w:r>
            <w:r w:rsidRPr="00C7760D">
              <w:rPr>
                <w:rFonts w:asciiTheme="minorHAnsi" w:hAnsiTheme="minorHAnsi"/>
                <w:sz w:val="20"/>
                <w:szCs w:val="20"/>
                <w:vertAlign w:val="superscript"/>
                <w:lang w:eastAsia="en-US"/>
              </w:rPr>
              <w:endnoteReference w:id="15"/>
            </w:r>
          </w:p>
        </w:tc>
        <w:tc>
          <w:tcPr>
            <w:tcW w:w="2085" w:type="dxa"/>
          </w:tcPr>
          <w:p w:rsidR="00F46175" w:rsidRPr="00C7760D" w:rsidRDefault="00F46175" w:rsidP="00CA0F7F">
            <w:pPr>
              <w:rPr>
                <w:rFonts w:asciiTheme="minorHAnsi" w:hAnsiTheme="minorHAnsi"/>
                <w:sz w:val="20"/>
                <w:szCs w:val="20"/>
                <w:lang w:eastAsia="en-US"/>
              </w:rPr>
            </w:pPr>
            <w:r>
              <w:rPr>
                <w:rFonts w:asciiTheme="minorHAnsi" w:hAnsiTheme="minorHAnsi"/>
                <w:sz w:val="20"/>
                <w:szCs w:val="20"/>
                <w:lang w:eastAsia="en-US"/>
              </w:rPr>
              <w:t xml:space="preserve">Pampa </w:t>
            </w:r>
            <w:proofErr w:type="spellStart"/>
            <w:r>
              <w:rPr>
                <w:rFonts w:asciiTheme="minorHAnsi" w:hAnsiTheme="minorHAnsi"/>
                <w:sz w:val="20"/>
                <w:szCs w:val="20"/>
                <w:lang w:eastAsia="en-US"/>
              </w:rPr>
              <w:t>Energia</w:t>
            </w:r>
            <w:proofErr w:type="spellEnd"/>
          </w:p>
        </w:tc>
      </w:tr>
      <w:tr w:rsidR="00F46175" w:rsidRPr="00C7760D" w:rsidTr="00CA0F7F">
        <w:tc>
          <w:tcPr>
            <w:tcW w:w="1242" w:type="dxa"/>
          </w:tcPr>
          <w:p w:rsidR="00F46175" w:rsidRPr="00C7760D" w:rsidRDefault="00F46175" w:rsidP="00CA0F7F">
            <w:pPr>
              <w:rPr>
                <w:rFonts w:asciiTheme="minorHAnsi" w:hAnsiTheme="minorHAnsi"/>
                <w:sz w:val="20"/>
                <w:szCs w:val="20"/>
                <w:lang w:eastAsia="en-US"/>
              </w:rPr>
            </w:pPr>
            <w:r w:rsidRPr="00C7760D">
              <w:rPr>
                <w:rFonts w:asciiTheme="minorHAnsi" w:hAnsiTheme="minorHAnsi"/>
                <w:sz w:val="20"/>
                <w:szCs w:val="20"/>
                <w:lang w:eastAsia="en-US"/>
              </w:rPr>
              <w:t>Argentina</w:t>
            </w:r>
          </w:p>
        </w:tc>
        <w:tc>
          <w:tcPr>
            <w:tcW w:w="1107" w:type="dxa"/>
          </w:tcPr>
          <w:p w:rsidR="00F46175" w:rsidRPr="00C7760D" w:rsidRDefault="00F46175" w:rsidP="00CA0F7F">
            <w:pPr>
              <w:rPr>
                <w:rFonts w:asciiTheme="minorHAnsi" w:hAnsiTheme="minorHAnsi"/>
                <w:sz w:val="20"/>
                <w:szCs w:val="20"/>
                <w:lang w:eastAsia="en-US"/>
              </w:rPr>
            </w:pPr>
            <w:r w:rsidRPr="00C7760D">
              <w:rPr>
                <w:rFonts w:asciiTheme="minorHAnsi" w:hAnsiTheme="minorHAnsi"/>
                <w:sz w:val="20"/>
                <w:szCs w:val="20"/>
                <w:lang w:eastAsia="en-US"/>
              </w:rPr>
              <w:t>Jul 2013</w:t>
            </w:r>
          </w:p>
        </w:tc>
        <w:tc>
          <w:tcPr>
            <w:tcW w:w="5420" w:type="dxa"/>
          </w:tcPr>
          <w:p w:rsidR="00F46175" w:rsidRPr="00C7760D" w:rsidRDefault="00F46175" w:rsidP="00CA0F7F">
            <w:pPr>
              <w:rPr>
                <w:rFonts w:asciiTheme="minorHAnsi" w:hAnsiTheme="minorHAnsi"/>
                <w:sz w:val="20"/>
                <w:szCs w:val="20"/>
                <w:lang w:eastAsia="en-US"/>
              </w:rPr>
            </w:pPr>
            <w:proofErr w:type="spellStart"/>
            <w:r w:rsidRPr="00C7760D">
              <w:rPr>
                <w:rFonts w:asciiTheme="minorHAnsi" w:hAnsiTheme="minorHAnsi"/>
                <w:sz w:val="20"/>
                <w:szCs w:val="20"/>
                <w:lang w:eastAsia="en-US"/>
              </w:rPr>
              <w:t>Metrogas</w:t>
            </w:r>
            <w:proofErr w:type="spellEnd"/>
            <w:r w:rsidRPr="00C7760D">
              <w:rPr>
                <w:rFonts w:asciiTheme="minorHAnsi" w:hAnsiTheme="minorHAnsi"/>
                <w:sz w:val="20"/>
                <w:szCs w:val="20"/>
                <w:lang w:eastAsia="en-US"/>
              </w:rPr>
              <w:t>, gas distribution company</w:t>
            </w:r>
            <w:r w:rsidRPr="00C7760D">
              <w:rPr>
                <w:rFonts w:asciiTheme="minorHAnsi" w:hAnsiTheme="minorHAnsi"/>
                <w:sz w:val="20"/>
                <w:szCs w:val="20"/>
                <w:vertAlign w:val="superscript"/>
                <w:lang w:eastAsia="en-US"/>
              </w:rPr>
              <w:endnoteReference w:id="16"/>
            </w:r>
          </w:p>
        </w:tc>
        <w:tc>
          <w:tcPr>
            <w:tcW w:w="2085" w:type="dxa"/>
          </w:tcPr>
          <w:p w:rsidR="00F46175" w:rsidRPr="00C7760D" w:rsidRDefault="00F46175" w:rsidP="00CA0F7F">
            <w:pPr>
              <w:rPr>
                <w:rFonts w:asciiTheme="minorHAnsi" w:hAnsiTheme="minorHAnsi"/>
                <w:sz w:val="20"/>
                <w:szCs w:val="20"/>
                <w:lang w:eastAsia="en-US"/>
              </w:rPr>
            </w:pPr>
            <w:r>
              <w:rPr>
                <w:rFonts w:asciiTheme="minorHAnsi" w:hAnsiTheme="minorHAnsi"/>
                <w:sz w:val="20"/>
                <w:szCs w:val="20"/>
                <w:lang w:eastAsia="en-US"/>
              </w:rPr>
              <w:t>British Gas</w:t>
            </w:r>
          </w:p>
        </w:tc>
      </w:tr>
      <w:tr w:rsidR="00F46175" w:rsidRPr="00C7760D" w:rsidTr="00CA0F7F">
        <w:tc>
          <w:tcPr>
            <w:tcW w:w="1242" w:type="dxa"/>
          </w:tcPr>
          <w:p w:rsidR="00F46175" w:rsidRPr="00C7760D" w:rsidRDefault="00F46175" w:rsidP="00CA0F7F">
            <w:pPr>
              <w:rPr>
                <w:rFonts w:asciiTheme="minorHAnsi" w:hAnsiTheme="minorHAnsi"/>
                <w:sz w:val="20"/>
                <w:szCs w:val="20"/>
                <w:lang w:eastAsia="en-US"/>
              </w:rPr>
            </w:pPr>
            <w:r w:rsidRPr="00C7760D">
              <w:rPr>
                <w:rFonts w:asciiTheme="minorHAnsi" w:hAnsiTheme="minorHAnsi"/>
                <w:sz w:val="20"/>
                <w:szCs w:val="20"/>
                <w:lang w:eastAsia="en-US"/>
              </w:rPr>
              <w:t>Brazil</w:t>
            </w:r>
          </w:p>
        </w:tc>
        <w:tc>
          <w:tcPr>
            <w:tcW w:w="1107" w:type="dxa"/>
          </w:tcPr>
          <w:p w:rsidR="00F46175" w:rsidRPr="00C7760D" w:rsidRDefault="00F46175" w:rsidP="00CA0F7F">
            <w:pPr>
              <w:rPr>
                <w:rFonts w:asciiTheme="minorHAnsi" w:hAnsiTheme="minorHAnsi"/>
                <w:sz w:val="20"/>
                <w:szCs w:val="20"/>
                <w:lang w:eastAsia="en-US"/>
              </w:rPr>
            </w:pPr>
            <w:r w:rsidRPr="00C7760D">
              <w:rPr>
                <w:rFonts w:asciiTheme="minorHAnsi" w:hAnsiTheme="minorHAnsi"/>
                <w:sz w:val="20"/>
                <w:szCs w:val="20"/>
                <w:lang w:eastAsia="en-US"/>
              </w:rPr>
              <w:t>May 2007</w:t>
            </w:r>
          </w:p>
        </w:tc>
        <w:tc>
          <w:tcPr>
            <w:tcW w:w="5420" w:type="dxa"/>
          </w:tcPr>
          <w:p w:rsidR="00F46175" w:rsidRPr="00C7760D" w:rsidRDefault="00F46175" w:rsidP="00CA0F7F">
            <w:pPr>
              <w:rPr>
                <w:rFonts w:asciiTheme="minorHAnsi" w:hAnsiTheme="minorHAnsi"/>
                <w:sz w:val="20"/>
                <w:szCs w:val="20"/>
                <w:lang w:eastAsia="en-US"/>
              </w:rPr>
            </w:pPr>
            <w:r w:rsidRPr="00C7760D">
              <w:rPr>
                <w:rFonts w:asciiTheme="minorHAnsi" w:hAnsiTheme="minorHAnsi"/>
                <w:sz w:val="20"/>
                <w:szCs w:val="20"/>
                <w:lang w:eastAsia="en-US"/>
              </w:rPr>
              <w:t>Return to majority public ownership of distributor</w:t>
            </w:r>
            <w:r>
              <w:rPr>
                <w:rFonts w:asciiTheme="minorHAnsi" w:hAnsiTheme="minorHAnsi"/>
                <w:sz w:val="20"/>
                <w:szCs w:val="20"/>
                <w:lang w:eastAsia="en-US"/>
              </w:rPr>
              <w:t xml:space="preserve"> </w:t>
            </w:r>
            <w:r w:rsidRPr="00C7760D">
              <w:rPr>
                <w:rFonts w:asciiTheme="minorHAnsi" w:hAnsiTheme="minorHAnsi"/>
                <w:sz w:val="20"/>
                <w:szCs w:val="20"/>
                <w:lang w:eastAsia="en-US"/>
              </w:rPr>
              <w:t>Light</w:t>
            </w:r>
          </w:p>
        </w:tc>
        <w:tc>
          <w:tcPr>
            <w:tcW w:w="2085" w:type="dxa"/>
          </w:tcPr>
          <w:p w:rsidR="00F46175" w:rsidRPr="00C7760D" w:rsidRDefault="00F46175" w:rsidP="00CA0F7F">
            <w:pPr>
              <w:rPr>
                <w:rFonts w:asciiTheme="minorHAnsi" w:hAnsiTheme="minorHAnsi"/>
                <w:sz w:val="20"/>
                <w:szCs w:val="20"/>
                <w:lang w:eastAsia="en-US"/>
              </w:rPr>
            </w:pPr>
            <w:r>
              <w:rPr>
                <w:rFonts w:asciiTheme="minorHAnsi" w:hAnsiTheme="minorHAnsi"/>
                <w:sz w:val="20"/>
                <w:szCs w:val="20"/>
                <w:lang w:eastAsia="en-US"/>
              </w:rPr>
              <w:t>AES</w:t>
            </w:r>
          </w:p>
        </w:tc>
      </w:tr>
      <w:tr w:rsidR="00F46175" w:rsidRPr="00C7760D" w:rsidTr="00CA0F7F">
        <w:tc>
          <w:tcPr>
            <w:tcW w:w="1242" w:type="dxa"/>
          </w:tcPr>
          <w:p w:rsidR="00F46175" w:rsidRPr="00C7760D" w:rsidRDefault="00F46175" w:rsidP="00CA0F7F">
            <w:pPr>
              <w:rPr>
                <w:rFonts w:asciiTheme="minorHAnsi" w:hAnsiTheme="minorHAnsi"/>
                <w:sz w:val="20"/>
                <w:szCs w:val="20"/>
                <w:lang w:eastAsia="en-US"/>
              </w:rPr>
            </w:pPr>
            <w:r w:rsidRPr="00C7760D">
              <w:rPr>
                <w:rFonts w:asciiTheme="minorHAnsi" w:hAnsiTheme="minorHAnsi"/>
                <w:sz w:val="20"/>
                <w:szCs w:val="20"/>
                <w:lang w:eastAsia="en-US"/>
              </w:rPr>
              <w:t>Venezuela</w:t>
            </w:r>
          </w:p>
        </w:tc>
        <w:tc>
          <w:tcPr>
            <w:tcW w:w="1107" w:type="dxa"/>
          </w:tcPr>
          <w:p w:rsidR="00F46175" w:rsidRPr="00C7760D" w:rsidRDefault="00F46175" w:rsidP="00CA0F7F">
            <w:pPr>
              <w:rPr>
                <w:rFonts w:asciiTheme="minorHAnsi" w:hAnsiTheme="minorHAnsi"/>
                <w:sz w:val="20"/>
                <w:szCs w:val="20"/>
                <w:lang w:eastAsia="en-US"/>
              </w:rPr>
            </w:pPr>
            <w:r>
              <w:rPr>
                <w:rFonts w:asciiTheme="minorHAnsi" w:hAnsiTheme="minorHAnsi"/>
                <w:sz w:val="20"/>
                <w:szCs w:val="20"/>
                <w:lang w:eastAsia="en-US"/>
              </w:rPr>
              <w:t>2007</w:t>
            </w:r>
          </w:p>
        </w:tc>
        <w:tc>
          <w:tcPr>
            <w:tcW w:w="5420" w:type="dxa"/>
          </w:tcPr>
          <w:p w:rsidR="00F46175" w:rsidRPr="00C7760D" w:rsidRDefault="00F46175" w:rsidP="00CA0F7F">
            <w:pPr>
              <w:rPr>
                <w:rFonts w:asciiTheme="minorHAnsi" w:hAnsiTheme="minorHAnsi"/>
                <w:sz w:val="20"/>
                <w:szCs w:val="20"/>
                <w:lang w:eastAsia="en-US"/>
              </w:rPr>
            </w:pPr>
            <w:r>
              <w:rPr>
                <w:rFonts w:asciiTheme="minorHAnsi" w:hAnsiTheme="minorHAnsi"/>
                <w:sz w:val="20"/>
                <w:szCs w:val="20"/>
                <w:lang w:eastAsia="en-US"/>
              </w:rPr>
              <w:t xml:space="preserve">distributor </w:t>
            </w:r>
            <w:proofErr w:type="spellStart"/>
            <w:r>
              <w:rPr>
                <w:rFonts w:asciiTheme="minorHAnsi" w:hAnsiTheme="minorHAnsi"/>
                <w:sz w:val="20"/>
                <w:szCs w:val="20"/>
                <w:lang w:eastAsia="en-US"/>
              </w:rPr>
              <w:t>EdC</w:t>
            </w:r>
            <w:proofErr w:type="spellEnd"/>
            <w:r>
              <w:rPr>
                <w:rFonts w:asciiTheme="minorHAnsi" w:hAnsiTheme="minorHAnsi"/>
                <w:sz w:val="20"/>
                <w:szCs w:val="20"/>
                <w:lang w:eastAsia="en-US"/>
              </w:rPr>
              <w:t>, generation companies</w:t>
            </w:r>
          </w:p>
        </w:tc>
        <w:tc>
          <w:tcPr>
            <w:tcW w:w="2085" w:type="dxa"/>
          </w:tcPr>
          <w:p w:rsidR="00F46175" w:rsidRPr="00C7760D" w:rsidRDefault="00F46175" w:rsidP="00CA0F7F">
            <w:pPr>
              <w:rPr>
                <w:rFonts w:asciiTheme="minorHAnsi" w:hAnsiTheme="minorHAnsi"/>
                <w:sz w:val="20"/>
                <w:szCs w:val="20"/>
                <w:lang w:eastAsia="en-US"/>
              </w:rPr>
            </w:pPr>
            <w:r>
              <w:rPr>
                <w:rFonts w:asciiTheme="minorHAnsi" w:hAnsiTheme="minorHAnsi"/>
                <w:sz w:val="20"/>
                <w:szCs w:val="20"/>
                <w:lang w:eastAsia="en-US"/>
              </w:rPr>
              <w:t>AES, CMS</w:t>
            </w:r>
          </w:p>
        </w:tc>
      </w:tr>
      <w:tr w:rsidR="00F46175" w:rsidRPr="00C7760D" w:rsidTr="00CA0F7F">
        <w:tc>
          <w:tcPr>
            <w:tcW w:w="1242" w:type="dxa"/>
          </w:tcPr>
          <w:p w:rsidR="00F46175" w:rsidRPr="00C7760D" w:rsidRDefault="00F46175" w:rsidP="00CA0F7F">
            <w:pPr>
              <w:rPr>
                <w:rFonts w:asciiTheme="minorHAnsi" w:hAnsiTheme="minorHAnsi"/>
                <w:sz w:val="20"/>
                <w:szCs w:val="20"/>
                <w:lang w:eastAsia="en-US"/>
              </w:rPr>
            </w:pPr>
            <w:r>
              <w:rPr>
                <w:rFonts w:asciiTheme="minorHAnsi" w:hAnsiTheme="minorHAnsi"/>
                <w:sz w:val="20"/>
                <w:szCs w:val="20"/>
                <w:lang w:eastAsia="en-US"/>
              </w:rPr>
              <w:t>Dominican Republic</w:t>
            </w:r>
          </w:p>
        </w:tc>
        <w:tc>
          <w:tcPr>
            <w:tcW w:w="1107" w:type="dxa"/>
          </w:tcPr>
          <w:p w:rsidR="00F46175" w:rsidRPr="00C7760D" w:rsidRDefault="00F46175" w:rsidP="00CA0F7F">
            <w:pPr>
              <w:rPr>
                <w:rFonts w:asciiTheme="minorHAnsi" w:hAnsiTheme="minorHAnsi"/>
                <w:sz w:val="20"/>
                <w:szCs w:val="20"/>
                <w:lang w:eastAsia="en-US"/>
              </w:rPr>
            </w:pPr>
            <w:r>
              <w:rPr>
                <w:rFonts w:asciiTheme="minorHAnsi" w:hAnsiTheme="minorHAnsi"/>
                <w:sz w:val="20"/>
                <w:szCs w:val="20"/>
                <w:lang w:eastAsia="en-US"/>
              </w:rPr>
              <w:t>2003</w:t>
            </w:r>
          </w:p>
        </w:tc>
        <w:tc>
          <w:tcPr>
            <w:tcW w:w="5420" w:type="dxa"/>
          </w:tcPr>
          <w:p w:rsidR="00F46175" w:rsidRPr="00C7760D" w:rsidRDefault="00F46175" w:rsidP="00CA0F7F">
            <w:pPr>
              <w:rPr>
                <w:rFonts w:asciiTheme="minorHAnsi" w:hAnsiTheme="minorHAnsi"/>
                <w:sz w:val="20"/>
                <w:szCs w:val="20"/>
                <w:lang w:eastAsia="en-US"/>
              </w:rPr>
            </w:pPr>
            <w:proofErr w:type="gramStart"/>
            <w:r w:rsidRPr="00AD4389">
              <w:rPr>
                <w:rFonts w:asciiTheme="minorHAnsi" w:hAnsiTheme="minorHAnsi"/>
                <w:sz w:val="20"/>
                <w:szCs w:val="20"/>
                <w:lang w:eastAsia="en-US"/>
              </w:rPr>
              <w:t>distribution</w:t>
            </w:r>
            <w:proofErr w:type="gramEnd"/>
            <w:r w:rsidRPr="00AD4389">
              <w:rPr>
                <w:rFonts w:asciiTheme="minorHAnsi" w:hAnsiTheme="minorHAnsi"/>
                <w:sz w:val="20"/>
                <w:szCs w:val="20"/>
                <w:lang w:eastAsia="en-US"/>
              </w:rPr>
              <w:t xml:space="preserve"> companies </w:t>
            </w:r>
            <w:proofErr w:type="spellStart"/>
            <w:r w:rsidRPr="00AD4389">
              <w:rPr>
                <w:rFonts w:asciiTheme="minorHAnsi" w:hAnsiTheme="minorHAnsi"/>
                <w:sz w:val="20"/>
                <w:szCs w:val="20"/>
                <w:lang w:eastAsia="en-US"/>
              </w:rPr>
              <w:t>EdeNorte</w:t>
            </w:r>
            <w:proofErr w:type="spellEnd"/>
            <w:r w:rsidRPr="00AD4389">
              <w:rPr>
                <w:rFonts w:asciiTheme="minorHAnsi" w:hAnsiTheme="minorHAnsi"/>
                <w:sz w:val="20"/>
                <w:szCs w:val="20"/>
                <w:lang w:eastAsia="en-US"/>
              </w:rPr>
              <w:t xml:space="preserve"> and </w:t>
            </w:r>
            <w:proofErr w:type="spellStart"/>
            <w:r w:rsidRPr="00AD4389">
              <w:rPr>
                <w:rFonts w:asciiTheme="minorHAnsi" w:hAnsiTheme="minorHAnsi"/>
                <w:sz w:val="20"/>
                <w:szCs w:val="20"/>
                <w:lang w:eastAsia="en-US"/>
              </w:rPr>
              <w:t>EdeSur</w:t>
            </w:r>
            <w:proofErr w:type="spellEnd"/>
            <w:r w:rsidRPr="00AD4389">
              <w:rPr>
                <w:rFonts w:asciiTheme="minorHAnsi" w:hAnsiTheme="minorHAnsi"/>
                <w:sz w:val="20"/>
                <w:szCs w:val="20"/>
                <w:lang w:eastAsia="en-US"/>
              </w:rPr>
              <w:t>.</w:t>
            </w:r>
            <w:r>
              <w:rPr>
                <w:rFonts w:asciiTheme="minorHAnsi" w:hAnsiTheme="minorHAnsi"/>
                <w:sz w:val="20"/>
                <w:szCs w:val="20"/>
                <w:lang w:eastAsia="en-US"/>
              </w:rPr>
              <w:t xml:space="preserve"> </w:t>
            </w:r>
          </w:p>
        </w:tc>
        <w:tc>
          <w:tcPr>
            <w:tcW w:w="2085" w:type="dxa"/>
          </w:tcPr>
          <w:p w:rsidR="00F46175" w:rsidRPr="00C7760D" w:rsidRDefault="00F46175" w:rsidP="00CA0F7F">
            <w:pPr>
              <w:rPr>
                <w:rFonts w:asciiTheme="minorHAnsi" w:hAnsiTheme="minorHAnsi"/>
                <w:sz w:val="20"/>
                <w:szCs w:val="20"/>
                <w:lang w:eastAsia="en-US"/>
              </w:rPr>
            </w:pPr>
            <w:r>
              <w:rPr>
                <w:rFonts w:asciiTheme="minorHAnsi" w:hAnsiTheme="minorHAnsi"/>
                <w:sz w:val="20"/>
                <w:szCs w:val="20"/>
                <w:lang w:eastAsia="en-US"/>
              </w:rPr>
              <w:t xml:space="preserve">Union </w:t>
            </w:r>
            <w:proofErr w:type="spellStart"/>
            <w:r>
              <w:rPr>
                <w:rFonts w:asciiTheme="minorHAnsi" w:hAnsiTheme="minorHAnsi"/>
                <w:sz w:val="20"/>
                <w:szCs w:val="20"/>
                <w:lang w:eastAsia="en-US"/>
              </w:rPr>
              <w:t>Fenosa</w:t>
            </w:r>
            <w:proofErr w:type="spellEnd"/>
          </w:p>
        </w:tc>
      </w:tr>
      <w:tr w:rsidR="00F46175" w:rsidRPr="00C7760D" w:rsidTr="00CA0F7F">
        <w:tc>
          <w:tcPr>
            <w:tcW w:w="1242" w:type="dxa"/>
          </w:tcPr>
          <w:p w:rsidR="00F46175" w:rsidRDefault="00F46175" w:rsidP="00CA0F7F">
            <w:pPr>
              <w:rPr>
                <w:rFonts w:asciiTheme="minorHAnsi" w:hAnsiTheme="minorHAnsi"/>
                <w:sz w:val="20"/>
                <w:szCs w:val="20"/>
                <w:lang w:eastAsia="en-US"/>
              </w:rPr>
            </w:pPr>
            <w:r>
              <w:rPr>
                <w:rFonts w:asciiTheme="minorHAnsi" w:hAnsiTheme="minorHAnsi"/>
                <w:sz w:val="20"/>
                <w:szCs w:val="20"/>
                <w:lang w:eastAsia="en-US"/>
              </w:rPr>
              <w:t>Japan</w:t>
            </w:r>
          </w:p>
        </w:tc>
        <w:tc>
          <w:tcPr>
            <w:tcW w:w="1107" w:type="dxa"/>
          </w:tcPr>
          <w:p w:rsidR="00F46175" w:rsidRDefault="00F46175" w:rsidP="00CA0F7F">
            <w:pPr>
              <w:rPr>
                <w:rFonts w:asciiTheme="minorHAnsi" w:hAnsiTheme="minorHAnsi"/>
                <w:sz w:val="20"/>
                <w:szCs w:val="20"/>
                <w:lang w:eastAsia="en-US"/>
              </w:rPr>
            </w:pPr>
            <w:r>
              <w:rPr>
                <w:rFonts w:asciiTheme="minorHAnsi" w:hAnsiTheme="minorHAnsi"/>
                <w:sz w:val="20"/>
                <w:szCs w:val="20"/>
                <w:lang w:eastAsia="en-US"/>
              </w:rPr>
              <w:t>2012</w:t>
            </w:r>
          </w:p>
        </w:tc>
        <w:tc>
          <w:tcPr>
            <w:tcW w:w="5420" w:type="dxa"/>
          </w:tcPr>
          <w:p w:rsidR="00F46175" w:rsidRPr="00AD4389" w:rsidRDefault="00F46175" w:rsidP="00CA0F7F">
            <w:pPr>
              <w:rPr>
                <w:rFonts w:asciiTheme="minorHAnsi" w:hAnsiTheme="minorHAnsi"/>
                <w:sz w:val="20"/>
                <w:szCs w:val="20"/>
                <w:lang w:eastAsia="en-US"/>
              </w:rPr>
            </w:pPr>
            <w:r>
              <w:rPr>
                <w:rFonts w:asciiTheme="minorHAnsi" w:hAnsiTheme="minorHAnsi"/>
                <w:sz w:val="20"/>
                <w:szCs w:val="20"/>
                <w:lang w:eastAsia="en-US"/>
              </w:rPr>
              <w:t xml:space="preserve">Nationalisation of nuclear company </w:t>
            </w:r>
            <w:proofErr w:type="spellStart"/>
            <w:r>
              <w:rPr>
                <w:rFonts w:asciiTheme="minorHAnsi" w:hAnsiTheme="minorHAnsi"/>
                <w:sz w:val="20"/>
                <w:szCs w:val="20"/>
                <w:lang w:eastAsia="en-US"/>
              </w:rPr>
              <w:t>Tepco</w:t>
            </w:r>
            <w:proofErr w:type="spellEnd"/>
          </w:p>
        </w:tc>
        <w:tc>
          <w:tcPr>
            <w:tcW w:w="2085" w:type="dxa"/>
          </w:tcPr>
          <w:p w:rsidR="00F46175" w:rsidRDefault="00F46175" w:rsidP="00CA0F7F">
            <w:pPr>
              <w:rPr>
                <w:rFonts w:asciiTheme="minorHAnsi" w:hAnsiTheme="minorHAnsi"/>
                <w:sz w:val="20"/>
                <w:szCs w:val="20"/>
                <w:lang w:eastAsia="en-US"/>
              </w:rPr>
            </w:pPr>
          </w:p>
        </w:tc>
      </w:tr>
      <w:tr w:rsidR="00F46175" w:rsidRPr="00C7760D" w:rsidTr="00CA0F7F">
        <w:tc>
          <w:tcPr>
            <w:tcW w:w="1242" w:type="dxa"/>
          </w:tcPr>
          <w:p w:rsidR="00F46175" w:rsidRDefault="00F46175" w:rsidP="00CA0F7F">
            <w:pPr>
              <w:rPr>
                <w:rFonts w:asciiTheme="minorHAnsi" w:hAnsiTheme="minorHAnsi"/>
                <w:sz w:val="20"/>
                <w:szCs w:val="20"/>
                <w:lang w:eastAsia="en-US"/>
              </w:rPr>
            </w:pPr>
            <w:r>
              <w:rPr>
                <w:rFonts w:asciiTheme="minorHAnsi" w:hAnsiTheme="minorHAnsi"/>
                <w:sz w:val="20"/>
                <w:szCs w:val="20"/>
                <w:lang w:eastAsia="en-US"/>
              </w:rPr>
              <w:t>Egypt</w:t>
            </w:r>
          </w:p>
        </w:tc>
        <w:tc>
          <w:tcPr>
            <w:tcW w:w="1107" w:type="dxa"/>
          </w:tcPr>
          <w:p w:rsidR="00F46175" w:rsidRDefault="00F46175" w:rsidP="00CA0F7F">
            <w:pPr>
              <w:rPr>
                <w:rFonts w:asciiTheme="minorHAnsi" w:hAnsiTheme="minorHAnsi"/>
                <w:sz w:val="20"/>
                <w:szCs w:val="20"/>
                <w:lang w:eastAsia="en-US"/>
              </w:rPr>
            </w:pPr>
            <w:r>
              <w:rPr>
                <w:rFonts w:asciiTheme="minorHAnsi" w:hAnsiTheme="minorHAnsi"/>
                <w:sz w:val="20"/>
                <w:szCs w:val="20"/>
                <w:lang w:eastAsia="en-US"/>
              </w:rPr>
              <w:t>2005</w:t>
            </w:r>
          </w:p>
        </w:tc>
        <w:tc>
          <w:tcPr>
            <w:tcW w:w="5420" w:type="dxa"/>
          </w:tcPr>
          <w:p w:rsidR="00F46175" w:rsidRDefault="00F46175" w:rsidP="00CA0F7F">
            <w:pPr>
              <w:rPr>
                <w:rFonts w:asciiTheme="minorHAnsi" w:hAnsiTheme="minorHAnsi"/>
                <w:sz w:val="20"/>
                <w:szCs w:val="20"/>
                <w:lang w:eastAsia="en-US"/>
              </w:rPr>
            </w:pPr>
            <w:r>
              <w:rPr>
                <w:rFonts w:asciiTheme="minorHAnsi" w:hAnsiTheme="minorHAnsi"/>
                <w:sz w:val="20"/>
                <w:szCs w:val="20"/>
                <w:lang w:eastAsia="en-US"/>
              </w:rPr>
              <w:t>3 IPPs</w:t>
            </w:r>
          </w:p>
        </w:tc>
        <w:tc>
          <w:tcPr>
            <w:tcW w:w="2085" w:type="dxa"/>
          </w:tcPr>
          <w:p w:rsidR="00F46175" w:rsidRDefault="00F46175" w:rsidP="00CA0F7F">
            <w:pPr>
              <w:rPr>
                <w:rFonts w:asciiTheme="minorHAnsi" w:hAnsiTheme="minorHAnsi"/>
                <w:sz w:val="20"/>
                <w:szCs w:val="20"/>
                <w:lang w:eastAsia="en-US"/>
              </w:rPr>
            </w:pPr>
            <w:proofErr w:type="spellStart"/>
            <w:r>
              <w:rPr>
                <w:rFonts w:asciiTheme="minorHAnsi" w:hAnsiTheme="minorHAnsi"/>
                <w:sz w:val="20"/>
                <w:szCs w:val="20"/>
                <w:lang w:eastAsia="en-US"/>
              </w:rPr>
              <w:t>EdF</w:t>
            </w:r>
            <w:proofErr w:type="spellEnd"/>
          </w:p>
        </w:tc>
      </w:tr>
      <w:tr w:rsidR="00F46175" w:rsidRPr="00C7760D" w:rsidTr="00CA0F7F">
        <w:tc>
          <w:tcPr>
            <w:tcW w:w="1242" w:type="dxa"/>
          </w:tcPr>
          <w:p w:rsidR="00F46175" w:rsidRDefault="00F46175" w:rsidP="00CA0F7F">
            <w:pPr>
              <w:rPr>
                <w:rFonts w:asciiTheme="minorHAnsi" w:hAnsiTheme="minorHAnsi"/>
                <w:sz w:val="20"/>
                <w:szCs w:val="20"/>
                <w:lang w:eastAsia="en-US"/>
              </w:rPr>
            </w:pPr>
            <w:r>
              <w:rPr>
                <w:rFonts w:asciiTheme="minorHAnsi" w:hAnsiTheme="minorHAnsi"/>
                <w:sz w:val="20"/>
                <w:szCs w:val="20"/>
                <w:lang w:eastAsia="en-US"/>
              </w:rPr>
              <w:t>Lithuania</w:t>
            </w:r>
          </w:p>
        </w:tc>
        <w:tc>
          <w:tcPr>
            <w:tcW w:w="1107" w:type="dxa"/>
          </w:tcPr>
          <w:p w:rsidR="00F46175" w:rsidRDefault="00F46175" w:rsidP="00CA0F7F">
            <w:pPr>
              <w:rPr>
                <w:rFonts w:asciiTheme="minorHAnsi" w:hAnsiTheme="minorHAnsi"/>
                <w:sz w:val="20"/>
                <w:szCs w:val="20"/>
                <w:lang w:eastAsia="en-US"/>
              </w:rPr>
            </w:pPr>
            <w:r>
              <w:rPr>
                <w:rFonts w:asciiTheme="minorHAnsi" w:hAnsiTheme="minorHAnsi"/>
                <w:sz w:val="20"/>
                <w:szCs w:val="20"/>
                <w:lang w:eastAsia="en-US"/>
              </w:rPr>
              <w:t>2011</w:t>
            </w:r>
          </w:p>
        </w:tc>
        <w:tc>
          <w:tcPr>
            <w:tcW w:w="5420" w:type="dxa"/>
          </w:tcPr>
          <w:p w:rsidR="00F46175" w:rsidRDefault="00F46175" w:rsidP="00CA0F7F">
            <w:pPr>
              <w:rPr>
                <w:rFonts w:asciiTheme="minorHAnsi" w:hAnsiTheme="minorHAnsi"/>
                <w:sz w:val="20"/>
                <w:szCs w:val="20"/>
                <w:lang w:eastAsia="en-US"/>
              </w:rPr>
            </w:pPr>
            <w:r>
              <w:rPr>
                <w:rFonts w:asciiTheme="minorHAnsi" w:hAnsiTheme="minorHAnsi"/>
                <w:sz w:val="20"/>
                <w:szCs w:val="20"/>
                <w:lang w:eastAsia="en-US"/>
              </w:rPr>
              <w:t>Renationalisation and integration of  electricity companies privatised in 2000s</w:t>
            </w:r>
          </w:p>
        </w:tc>
        <w:tc>
          <w:tcPr>
            <w:tcW w:w="2085" w:type="dxa"/>
          </w:tcPr>
          <w:p w:rsidR="00F46175" w:rsidRDefault="00F46175" w:rsidP="00CA0F7F">
            <w:pPr>
              <w:rPr>
                <w:rFonts w:asciiTheme="minorHAnsi" w:hAnsiTheme="minorHAnsi"/>
                <w:sz w:val="20"/>
                <w:szCs w:val="20"/>
                <w:lang w:eastAsia="en-US"/>
              </w:rPr>
            </w:pPr>
          </w:p>
        </w:tc>
      </w:tr>
      <w:tr w:rsidR="00F46175" w:rsidRPr="00C7760D" w:rsidTr="00CA0F7F">
        <w:tc>
          <w:tcPr>
            <w:tcW w:w="1242" w:type="dxa"/>
          </w:tcPr>
          <w:p w:rsidR="00F46175" w:rsidRDefault="00F46175" w:rsidP="00CA0F7F">
            <w:pPr>
              <w:rPr>
                <w:rFonts w:asciiTheme="minorHAnsi" w:hAnsiTheme="minorHAnsi"/>
                <w:sz w:val="20"/>
                <w:szCs w:val="20"/>
                <w:lang w:eastAsia="en-US"/>
              </w:rPr>
            </w:pPr>
            <w:proofErr w:type="spellStart"/>
            <w:r>
              <w:rPr>
                <w:rFonts w:asciiTheme="minorHAnsi" w:hAnsiTheme="minorHAnsi"/>
                <w:sz w:val="20"/>
                <w:szCs w:val="20"/>
                <w:lang w:eastAsia="en-US"/>
              </w:rPr>
              <w:t>Finalnd</w:t>
            </w:r>
            <w:proofErr w:type="spellEnd"/>
          </w:p>
        </w:tc>
        <w:tc>
          <w:tcPr>
            <w:tcW w:w="1107" w:type="dxa"/>
          </w:tcPr>
          <w:p w:rsidR="00F46175" w:rsidRDefault="00F46175" w:rsidP="00CA0F7F">
            <w:pPr>
              <w:rPr>
                <w:rFonts w:asciiTheme="minorHAnsi" w:hAnsiTheme="minorHAnsi"/>
                <w:sz w:val="20"/>
                <w:szCs w:val="20"/>
                <w:lang w:eastAsia="en-US"/>
              </w:rPr>
            </w:pPr>
            <w:r>
              <w:rPr>
                <w:rFonts w:asciiTheme="minorHAnsi" w:hAnsiTheme="minorHAnsi"/>
                <w:sz w:val="20"/>
                <w:szCs w:val="20"/>
                <w:lang w:eastAsia="en-US"/>
              </w:rPr>
              <w:t>2011</w:t>
            </w:r>
          </w:p>
        </w:tc>
        <w:tc>
          <w:tcPr>
            <w:tcW w:w="5420" w:type="dxa"/>
          </w:tcPr>
          <w:p w:rsidR="00F46175" w:rsidRDefault="00F46175" w:rsidP="00CA0F7F">
            <w:pPr>
              <w:rPr>
                <w:rFonts w:asciiTheme="minorHAnsi" w:hAnsiTheme="minorHAnsi"/>
                <w:sz w:val="20"/>
                <w:szCs w:val="20"/>
                <w:lang w:eastAsia="en-US"/>
              </w:rPr>
            </w:pPr>
            <w:r>
              <w:rPr>
                <w:rFonts w:asciiTheme="minorHAnsi" w:hAnsiTheme="minorHAnsi"/>
                <w:sz w:val="20"/>
                <w:szCs w:val="20"/>
                <w:lang w:eastAsia="en-US"/>
              </w:rPr>
              <w:t xml:space="preserve">Bought out transmission company </w:t>
            </w:r>
            <w:proofErr w:type="spellStart"/>
            <w:r>
              <w:rPr>
                <w:rFonts w:asciiTheme="minorHAnsi" w:hAnsiTheme="minorHAnsi"/>
                <w:sz w:val="20"/>
                <w:szCs w:val="20"/>
                <w:lang w:eastAsia="en-US"/>
              </w:rPr>
              <w:t>Finngrid</w:t>
            </w:r>
            <w:proofErr w:type="spellEnd"/>
          </w:p>
        </w:tc>
        <w:tc>
          <w:tcPr>
            <w:tcW w:w="2085" w:type="dxa"/>
          </w:tcPr>
          <w:p w:rsidR="00F46175" w:rsidRDefault="00F46175" w:rsidP="00CA0F7F">
            <w:pPr>
              <w:rPr>
                <w:rFonts w:asciiTheme="minorHAnsi" w:hAnsiTheme="minorHAnsi"/>
                <w:sz w:val="20"/>
                <w:szCs w:val="20"/>
                <w:lang w:eastAsia="en-US"/>
              </w:rPr>
            </w:pPr>
          </w:p>
        </w:tc>
      </w:tr>
      <w:tr w:rsidR="00F46175" w:rsidRPr="00C7760D" w:rsidTr="00CA0F7F">
        <w:tc>
          <w:tcPr>
            <w:tcW w:w="1242" w:type="dxa"/>
          </w:tcPr>
          <w:p w:rsidR="00F46175" w:rsidRDefault="00F46175" w:rsidP="00CA0F7F">
            <w:pPr>
              <w:rPr>
                <w:rFonts w:asciiTheme="minorHAnsi" w:hAnsiTheme="minorHAnsi"/>
                <w:sz w:val="20"/>
                <w:szCs w:val="20"/>
                <w:lang w:eastAsia="en-US"/>
              </w:rPr>
            </w:pPr>
          </w:p>
        </w:tc>
        <w:tc>
          <w:tcPr>
            <w:tcW w:w="1107" w:type="dxa"/>
          </w:tcPr>
          <w:p w:rsidR="00F46175" w:rsidRDefault="00F46175" w:rsidP="00CA0F7F">
            <w:pPr>
              <w:rPr>
                <w:rFonts w:asciiTheme="minorHAnsi" w:hAnsiTheme="minorHAnsi"/>
                <w:sz w:val="20"/>
                <w:szCs w:val="20"/>
                <w:lang w:eastAsia="en-US"/>
              </w:rPr>
            </w:pPr>
          </w:p>
        </w:tc>
        <w:tc>
          <w:tcPr>
            <w:tcW w:w="5420" w:type="dxa"/>
          </w:tcPr>
          <w:p w:rsidR="00F46175" w:rsidRDefault="00F46175" w:rsidP="00CA0F7F">
            <w:pPr>
              <w:rPr>
                <w:rFonts w:asciiTheme="minorHAnsi" w:hAnsiTheme="minorHAnsi"/>
                <w:sz w:val="20"/>
                <w:szCs w:val="20"/>
                <w:lang w:eastAsia="en-US"/>
              </w:rPr>
            </w:pPr>
          </w:p>
        </w:tc>
        <w:tc>
          <w:tcPr>
            <w:tcW w:w="2085" w:type="dxa"/>
          </w:tcPr>
          <w:p w:rsidR="00F46175" w:rsidRDefault="00F46175" w:rsidP="00CA0F7F">
            <w:pPr>
              <w:rPr>
                <w:rFonts w:asciiTheme="minorHAnsi" w:hAnsiTheme="minorHAnsi"/>
                <w:sz w:val="20"/>
                <w:szCs w:val="20"/>
                <w:lang w:eastAsia="en-US"/>
              </w:rPr>
            </w:pPr>
          </w:p>
        </w:tc>
      </w:tr>
    </w:tbl>
    <w:p w:rsidR="00F46175" w:rsidRPr="00C7760D" w:rsidRDefault="00F46175" w:rsidP="00F46175">
      <w:pPr>
        <w:rPr>
          <w:lang w:eastAsia="en-US"/>
        </w:rPr>
      </w:pPr>
    </w:p>
    <w:p w:rsidR="00F46175" w:rsidRDefault="00F46175" w:rsidP="00F46175">
      <w:pPr>
        <w:rPr>
          <w:lang w:eastAsia="en-US"/>
        </w:rPr>
      </w:pPr>
      <w:r>
        <w:rPr>
          <w:lang w:eastAsia="en-US"/>
        </w:rPr>
        <w:t xml:space="preserve">Japan: In 2012 Japan finally nationalised </w:t>
      </w:r>
      <w:proofErr w:type="spellStart"/>
      <w:r>
        <w:rPr>
          <w:lang w:eastAsia="en-US"/>
        </w:rPr>
        <w:t>Tepco</w:t>
      </w:r>
      <w:proofErr w:type="spellEnd"/>
      <w:r>
        <w:rPr>
          <w:lang w:eastAsia="en-US"/>
        </w:rPr>
        <w:t xml:space="preserve">, the nuclear power company which had been hit by leaks of radioactive material as a result of the 2010 earthquake and tsunami. </w:t>
      </w:r>
    </w:p>
    <w:p w:rsidR="00F46175" w:rsidRDefault="00F46175" w:rsidP="00F46175">
      <w:pPr>
        <w:rPr>
          <w:lang w:eastAsia="en-US"/>
        </w:rPr>
      </w:pPr>
    </w:p>
    <w:p w:rsidR="00F46175" w:rsidRDefault="00F46175" w:rsidP="00F46175">
      <w:proofErr w:type="gramStart"/>
      <w:r w:rsidRPr="00546FA1">
        <w:t>Lithuania</w:t>
      </w:r>
      <w:r>
        <w:t xml:space="preserve"> :</w:t>
      </w:r>
      <w:proofErr w:type="gramEnd"/>
      <w:r>
        <w:t xml:space="preserve"> A</w:t>
      </w:r>
      <w:r w:rsidRPr="00546FA1">
        <w:t>t the end of 2011 Lithuania completed the renationalisation of its energy system, reversing the privatisation introduced in the early 2000s</w:t>
      </w:r>
    </w:p>
    <w:p w:rsidR="00F46175" w:rsidRDefault="00F46175" w:rsidP="00F46175"/>
    <w:p w:rsidR="00F46175" w:rsidRDefault="00F46175" w:rsidP="00F46175">
      <w:pPr>
        <w:rPr>
          <w:lang w:eastAsia="en-US"/>
        </w:rPr>
      </w:pPr>
      <w:r w:rsidRPr="00C7760D">
        <w:rPr>
          <w:lang w:eastAsia="en-US"/>
        </w:rPr>
        <w:t xml:space="preserve"> In Argentina, </w:t>
      </w:r>
      <w:r>
        <w:rPr>
          <w:lang w:eastAsia="en-US"/>
        </w:rPr>
        <w:t xml:space="preserve">the state has taken an increasing role in the sector since the economic crisis of 2000. </w:t>
      </w:r>
    </w:p>
    <w:p w:rsidR="00F46175" w:rsidRDefault="00F46175" w:rsidP="00F46175">
      <w:pPr>
        <w:pStyle w:val="ListParagraph"/>
        <w:numPr>
          <w:ilvl w:val="0"/>
          <w:numId w:val="20"/>
        </w:numPr>
        <w:rPr>
          <w:lang w:eastAsia="en-US"/>
        </w:rPr>
      </w:pPr>
      <w:r>
        <w:rPr>
          <w:lang w:eastAsia="en-US"/>
        </w:rPr>
        <w:t xml:space="preserve">The government intervened in the electricity sector between 2002 and 2007 by making public investments in additional generating </w:t>
      </w:r>
      <w:proofErr w:type="spellStart"/>
      <w:r>
        <w:rPr>
          <w:lang w:eastAsia="en-US"/>
        </w:rPr>
        <w:t>capoacity</w:t>
      </w:r>
      <w:proofErr w:type="spellEnd"/>
      <w:r>
        <w:rPr>
          <w:lang w:eastAsia="en-US"/>
        </w:rPr>
        <w:t>, and ending market-based pricing. An academic study found that this was very effective: “</w:t>
      </w:r>
      <w:r w:rsidRPr="004852CA">
        <w:rPr>
          <w:lang w:eastAsia="en-US"/>
        </w:rPr>
        <w:t>Public investment and investment through public-private participation (PPP) in the sector not only relieved the capacity constraints, but also allowed government to keep prices under control</w:t>
      </w:r>
      <w:r>
        <w:rPr>
          <w:lang w:eastAsia="en-US"/>
        </w:rPr>
        <w:t>….</w:t>
      </w:r>
      <w:r w:rsidRPr="004852CA">
        <w:rPr>
          <w:lang w:eastAsia="en-US"/>
        </w:rPr>
        <w:t xml:space="preserve"> On average, prices would have been 75% higher</w:t>
      </w:r>
      <w:r>
        <w:rPr>
          <w:lang w:eastAsia="en-US"/>
        </w:rPr>
        <w:t>,</w:t>
      </w:r>
      <w:r w:rsidRPr="004852CA">
        <w:rPr>
          <w:lang w:eastAsia="en-US"/>
        </w:rPr>
        <w:t xml:space="preserve"> had the Argentine government not taken price </w:t>
      </w:r>
      <w:r>
        <w:rPr>
          <w:lang w:eastAsia="en-US"/>
        </w:rPr>
        <w:t>and investment-related measures”</w:t>
      </w:r>
      <w:r>
        <w:rPr>
          <w:rStyle w:val="EndnoteReference"/>
          <w:lang w:eastAsia="en-US"/>
        </w:rPr>
        <w:endnoteReference w:id="17"/>
      </w:r>
    </w:p>
    <w:p w:rsidR="00F46175" w:rsidRDefault="00F46175" w:rsidP="00F46175">
      <w:pPr>
        <w:pStyle w:val="ListParagraph"/>
        <w:numPr>
          <w:ilvl w:val="0"/>
          <w:numId w:val="20"/>
        </w:numPr>
        <w:rPr>
          <w:lang w:eastAsia="en-US"/>
        </w:rPr>
      </w:pPr>
      <w:proofErr w:type="gramStart"/>
      <w:r>
        <w:rPr>
          <w:lang w:eastAsia="en-US"/>
        </w:rPr>
        <w:t>t</w:t>
      </w:r>
      <w:r w:rsidRPr="00C7760D">
        <w:rPr>
          <w:lang w:eastAsia="en-US"/>
        </w:rPr>
        <w:t>he</w:t>
      </w:r>
      <w:proofErr w:type="gramEnd"/>
      <w:r w:rsidRPr="00C7760D">
        <w:rPr>
          <w:lang w:eastAsia="en-US"/>
        </w:rPr>
        <w:t xml:space="preserve"> gas distributor </w:t>
      </w:r>
      <w:proofErr w:type="spellStart"/>
      <w:r w:rsidRPr="00C7760D">
        <w:rPr>
          <w:lang w:eastAsia="en-US"/>
        </w:rPr>
        <w:t>Metrogas</w:t>
      </w:r>
      <w:proofErr w:type="spellEnd"/>
      <w:r w:rsidRPr="00C7760D">
        <w:rPr>
          <w:lang w:eastAsia="en-US"/>
        </w:rPr>
        <w:t xml:space="preserve"> was effectively renationalised in May 2013 when YPF (the oil and gas company which was itself renationalised in 2012) bought the shares </w:t>
      </w:r>
      <w:r>
        <w:rPr>
          <w:lang w:eastAsia="en-US"/>
        </w:rPr>
        <w:t xml:space="preserve">which were still owned by </w:t>
      </w:r>
      <w:r w:rsidRPr="00C7760D">
        <w:rPr>
          <w:lang w:eastAsia="en-US"/>
        </w:rPr>
        <w:t xml:space="preserve">British Gas (BG) in Gas </w:t>
      </w:r>
      <w:proofErr w:type="spellStart"/>
      <w:r w:rsidRPr="00C7760D">
        <w:rPr>
          <w:lang w:eastAsia="en-US"/>
        </w:rPr>
        <w:t>Argentino</w:t>
      </w:r>
      <w:proofErr w:type="spellEnd"/>
      <w:r w:rsidRPr="00C7760D">
        <w:rPr>
          <w:lang w:eastAsia="en-US"/>
        </w:rPr>
        <w:t xml:space="preserve"> SA (GASA), the controller of 70% of capital in </w:t>
      </w:r>
      <w:bookmarkStart w:id="17" w:name="ORIGHIT_4"/>
      <w:bookmarkStart w:id="18" w:name="HIT_4"/>
      <w:bookmarkEnd w:id="17"/>
      <w:bookmarkEnd w:id="18"/>
      <w:proofErr w:type="spellStart"/>
      <w:r w:rsidRPr="00C7760D">
        <w:rPr>
          <w:lang w:eastAsia="en-US"/>
        </w:rPr>
        <w:t>Metrogas</w:t>
      </w:r>
      <w:proofErr w:type="spellEnd"/>
      <w:r w:rsidRPr="00C7760D">
        <w:rPr>
          <w:lang w:eastAsia="en-US"/>
        </w:rPr>
        <w:t xml:space="preserve">. YPF will have to resolve cash-flow problems that have laid </w:t>
      </w:r>
      <w:proofErr w:type="spellStart"/>
      <w:r w:rsidRPr="00C7760D">
        <w:rPr>
          <w:lang w:eastAsia="en-US"/>
        </w:rPr>
        <w:t>Metrogas</w:t>
      </w:r>
      <w:proofErr w:type="spellEnd"/>
      <w:r w:rsidRPr="00C7760D">
        <w:rPr>
          <w:lang w:eastAsia="en-US"/>
        </w:rPr>
        <w:t xml:space="preserve"> very low of late with tariffs long since frozen and costs rising.</w:t>
      </w:r>
      <w:r w:rsidRPr="00C7760D">
        <w:rPr>
          <w:vertAlign w:val="superscript"/>
          <w:lang w:eastAsia="en-US"/>
        </w:rPr>
        <w:endnoteReference w:id="18"/>
      </w:r>
      <w:r w:rsidRPr="00FF5CA5">
        <w:rPr>
          <w:lang w:eastAsia="en-US"/>
        </w:rPr>
        <w:t xml:space="preserve"> </w:t>
      </w:r>
    </w:p>
    <w:p w:rsidR="00F46175" w:rsidRPr="00C7760D" w:rsidRDefault="00F46175" w:rsidP="00F46175">
      <w:pPr>
        <w:pStyle w:val="ListParagraph"/>
        <w:numPr>
          <w:ilvl w:val="0"/>
          <w:numId w:val="20"/>
        </w:numPr>
        <w:rPr>
          <w:lang w:eastAsia="en-US"/>
        </w:rPr>
      </w:pPr>
      <w:r>
        <w:rPr>
          <w:lang w:eastAsia="en-US"/>
        </w:rPr>
        <w:t xml:space="preserve">The electricity distribution companies </w:t>
      </w:r>
      <w:proofErr w:type="spellStart"/>
      <w:r>
        <w:rPr>
          <w:lang w:eastAsia="en-US"/>
        </w:rPr>
        <w:t>Edecat</w:t>
      </w:r>
      <w:proofErr w:type="spellEnd"/>
      <w:r>
        <w:rPr>
          <w:lang w:eastAsia="en-US"/>
        </w:rPr>
        <w:t xml:space="preserve"> and </w:t>
      </w:r>
      <w:proofErr w:type="spellStart"/>
      <w:r>
        <w:rPr>
          <w:lang w:eastAsia="en-US"/>
        </w:rPr>
        <w:t>Edelar</w:t>
      </w:r>
      <w:proofErr w:type="spellEnd"/>
      <w:r>
        <w:rPr>
          <w:lang w:eastAsia="en-US"/>
        </w:rPr>
        <w:t xml:space="preserve"> were renationalised by provincial governments in 2009 and 2013, following problems of under-investment, labour disputes, and low prices. </w:t>
      </w:r>
      <w:r w:rsidRPr="00C7760D">
        <w:rPr>
          <w:vertAlign w:val="superscript"/>
          <w:lang w:eastAsia="en-US"/>
        </w:rPr>
        <w:endnoteReference w:id="19"/>
      </w:r>
    </w:p>
    <w:p w:rsidR="00F46175" w:rsidRPr="00C7760D" w:rsidRDefault="00F46175" w:rsidP="00F46175">
      <w:pPr>
        <w:rPr>
          <w:lang w:eastAsia="en-US"/>
        </w:rPr>
      </w:pPr>
    </w:p>
    <w:p w:rsidR="00F46175" w:rsidRPr="00C7760D" w:rsidRDefault="00F46175" w:rsidP="00F46175">
      <w:pPr>
        <w:rPr>
          <w:lang w:eastAsia="en-US"/>
        </w:rPr>
      </w:pPr>
      <w:r w:rsidRPr="00C7760D">
        <w:rPr>
          <w:lang w:eastAsia="en-US"/>
        </w:rPr>
        <w:t>Bolivia has systematically nationalised electricity generation, distribution and transmission companies</w:t>
      </w:r>
      <w:r>
        <w:rPr>
          <w:lang w:eastAsia="en-US"/>
        </w:rPr>
        <w:t xml:space="preserve"> since 2010. All of these had been</w:t>
      </w:r>
      <w:r w:rsidRPr="00C7760D">
        <w:rPr>
          <w:lang w:eastAsia="en-US"/>
        </w:rPr>
        <w:t xml:space="preserve"> privatised in the 1990s, as part of the unbundling and liberalisation programmes of the World Bank.    </w:t>
      </w:r>
    </w:p>
    <w:p w:rsidR="00F46175" w:rsidRPr="00C7760D" w:rsidRDefault="00F46175" w:rsidP="00F46175">
      <w:pPr>
        <w:numPr>
          <w:ilvl w:val="0"/>
          <w:numId w:val="19"/>
        </w:numPr>
        <w:rPr>
          <w:lang w:eastAsia="en-US"/>
        </w:rPr>
      </w:pPr>
      <w:r w:rsidRPr="00C7760D">
        <w:rPr>
          <w:lang w:eastAsia="en-US"/>
        </w:rPr>
        <w:t xml:space="preserve">In January 2013 Bolivia nationalised the two major electricity distributors </w:t>
      </w:r>
      <w:proofErr w:type="spellStart"/>
      <w:r w:rsidRPr="00C7760D">
        <w:rPr>
          <w:lang w:eastAsia="en-US"/>
        </w:rPr>
        <w:t>Electropaz</w:t>
      </w:r>
      <w:proofErr w:type="spellEnd"/>
      <w:r w:rsidRPr="00C7760D">
        <w:rPr>
          <w:lang w:eastAsia="en-US"/>
        </w:rPr>
        <w:t xml:space="preserve">, which supplies more than 470,000 customers in the area of La Paz, and </w:t>
      </w:r>
      <w:proofErr w:type="spellStart"/>
      <w:r w:rsidRPr="00C7760D">
        <w:rPr>
          <w:lang w:eastAsia="en-US"/>
        </w:rPr>
        <w:t>Elfeo</w:t>
      </w:r>
      <w:proofErr w:type="spellEnd"/>
      <w:r w:rsidRPr="00C7760D">
        <w:rPr>
          <w:lang w:eastAsia="en-US"/>
        </w:rPr>
        <w:t xml:space="preserve"> (more than 80,000 customers in the Oruro region), and the associated service companies </w:t>
      </w:r>
      <w:proofErr w:type="spellStart"/>
      <w:r w:rsidRPr="00C7760D">
        <w:rPr>
          <w:lang w:eastAsia="en-US"/>
        </w:rPr>
        <w:t>Compañía</w:t>
      </w:r>
      <w:proofErr w:type="spellEnd"/>
      <w:r w:rsidRPr="00C7760D">
        <w:rPr>
          <w:lang w:eastAsia="en-US"/>
        </w:rPr>
        <w:t xml:space="preserve"> </w:t>
      </w:r>
      <w:proofErr w:type="spellStart"/>
      <w:r w:rsidRPr="00C7760D">
        <w:rPr>
          <w:lang w:eastAsia="en-US"/>
        </w:rPr>
        <w:t>Administradora</w:t>
      </w:r>
      <w:proofErr w:type="spellEnd"/>
      <w:r w:rsidRPr="00C7760D">
        <w:rPr>
          <w:lang w:eastAsia="en-US"/>
        </w:rPr>
        <w:t xml:space="preserve"> de </w:t>
      </w:r>
      <w:proofErr w:type="spellStart"/>
      <w:r w:rsidRPr="00C7760D">
        <w:rPr>
          <w:lang w:eastAsia="en-US"/>
        </w:rPr>
        <w:t>Empresas</w:t>
      </w:r>
      <w:proofErr w:type="spellEnd"/>
      <w:r w:rsidRPr="00C7760D">
        <w:rPr>
          <w:lang w:eastAsia="en-US"/>
        </w:rPr>
        <w:t xml:space="preserve"> </w:t>
      </w:r>
      <w:proofErr w:type="spellStart"/>
      <w:r w:rsidRPr="00C7760D">
        <w:rPr>
          <w:lang w:eastAsia="en-US"/>
        </w:rPr>
        <w:t>Boliviana</w:t>
      </w:r>
      <w:proofErr w:type="spellEnd"/>
      <w:r w:rsidRPr="00C7760D">
        <w:rPr>
          <w:lang w:eastAsia="en-US"/>
        </w:rPr>
        <w:t xml:space="preserve"> and </w:t>
      </w:r>
      <w:proofErr w:type="spellStart"/>
      <w:r w:rsidRPr="00C7760D">
        <w:rPr>
          <w:lang w:eastAsia="en-US"/>
        </w:rPr>
        <w:t>Empresa</w:t>
      </w:r>
      <w:proofErr w:type="spellEnd"/>
      <w:r w:rsidRPr="00C7760D">
        <w:rPr>
          <w:lang w:eastAsia="en-US"/>
        </w:rPr>
        <w:t xml:space="preserve"> de </w:t>
      </w:r>
      <w:proofErr w:type="spellStart"/>
      <w:r w:rsidRPr="00C7760D">
        <w:rPr>
          <w:lang w:eastAsia="en-US"/>
        </w:rPr>
        <w:t>Servicios</w:t>
      </w:r>
      <w:proofErr w:type="spellEnd"/>
      <w:r w:rsidRPr="00C7760D">
        <w:rPr>
          <w:lang w:eastAsia="en-US"/>
        </w:rPr>
        <w:t xml:space="preserve"> </w:t>
      </w:r>
      <w:proofErr w:type="spellStart"/>
      <w:r w:rsidRPr="00C7760D">
        <w:rPr>
          <w:lang w:eastAsia="en-US"/>
        </w:rPr>
        <w:t>Edeser</w:t>
      </w:r>
      <w:proofErr w:type="spellEnd"/>
      <w:r w:rsidRPr="00C7760D">
        <w:rPr>
          <w:lang w:eastAsia="en-US"/>
        </w:rPr>
        <w:t xml:space="preserve">, all of which were owned by </w:t>
      </w:r>
      <w:proofErr w:type="spellStart"/>
      <w:r w:rsidRPr="00C7760D">
        <w:rPr>
          <w:lang w:eastAsia="en-US"/>
        </w:rPr>
        <w:t>Iberdrola</w:t>
      </w:r>
      <w:proofErr w:type="spellEnd"/>
      <w:r w:rsidRPr="00C7760D">
        <w:rPr>
          <w:lang w:eastAsia="en-US"/>
        </w:rPr>
        <w:t xml:space="preserve">. The companies will be taken over by the Bolivian </w:t>
      </w:r>
      <w:proofErr w:type="spellStart"/>
      <w:r w:rsidRPr="00C7760D">
        <w:rPr>
          <w:lang w:eastAsia="en-US"/>
        </w:rPr>
        <w:t>Empresa</w:t>
      </w:r>
      <w:proofErr w:type="spellEnd"/>
      <w:r w:rsidRPr="00C7760D">
        <w:rPr>
          <w:lang w:eastAsia="en-US"/>
        </w:rPr>
        <w:t xml:space="preserve"> </w:t>
      </w:r>
    </w:p>
    <w:p w:rsidR="00F46175" w:rsidRPr="00C7760D" w:rsidRDefault="00F46175" w:rsidP="00F46175">
      <w:pPr>
        <w:numPr>
          <w:ilvl w:val="0"/>
          <w:numId w:val="19"/>
        </w:numPr>
        <w:rPr>
          <w:lang w:eastAsia="en-US"/>
        </w:rPr>
      </w:pPr>
      <w:r w:rsidRPr="00C7760D">
        <w:rPr>
          <w:lang w:eastAsia="en-US"/>
        </w:rPr>
        <w:t xml:space="preserve">In May 2012, the transmission company </w:t>
      </w:r>
      <w:proofErr w:type="spellStart"/>
      <w:r w:rsidRPr="00C7760D">
        <w:rPr>
          <w:lang w:eastAsia="en-US"/>
        </w:rPr>
        <w:t>Transportadora</w:t>
      </w:r>
      <w:proofErr w:type="spellEnd"/>
      <w:r w:rsidRPr="00C7760D">
        <w:rPr>
          <w:lang w:eastAsia="en-US"/>
        </w:rPr>
        <w:t xml:space="preserve"> de </w:t>
      </w:r>
      <w:proofErr w:type="spellStart"/>
      <w:r w:rsidRPr="00C7760D">
        <w:rPr>
          <w:lang w:eastAsia="en-US"/>
        </w:rPr>
        <w:t>Electricidad</w:t>
      </w:r>
      <w:proofErr w:type="spellEnd"/>
      <w:r w:rsidRPr="00C7760D">
        <w:rPr>
          <w:lang w:eastAsia="en-US"/>
        </w:rPr>
        <w:t xml:space="preserve"> (TDE) was nationalised, which had been owned by the Spanish electrical transmission company REE. </w:t>
      </w:r>
    </w:p>
    <w:p w:rsidR="00F46175" w:rsidRDefault="00F46175" w:rsidP="00F46175">
      <w:pPr>
        <w:numPr>
          <w:ilvl w:val="0"/>
          <w:numId w:val="19"/>
        </w:numPr>
        <w:rPr>
          <w:lang w:eastAsia="en-US"/>
        </w:rPr>
      </w:pPr>
      <w:r w:rsidRPr="00C7760D">
        <w:rPr>
          <w:lang w:eastAsia="en-US"/>
        </w:rPr>
        <w:t xml:space="preserve">In 2010, four power generation companies were expropriated, including two subsidiaries of GDF SUEZ and </w:t>
      </w:r>
      <w:proofErr w:type="spellStart"/>
      <w:r w:rsidRPr="00C7760D">
        <w:rPr>
          <w:lang w:eastAsia="en-US"/>
        </w:rPr>
        <w:t>Rurelec</w:t>
      </w:r>
      <w:proofErr w:type="spellEnd"/>
      <w:r w:rsidRPr="00C7760D">
        <w:rPr>
          <w:lang w:eastAsia="en-US"/>
        </w:rPr>
        <w:t xml:space="preserve"> (UK). Nationalisations in the power sectors are based on articles 20 and 378 of the Bolivian constitution (energy production chain in the stages of generation, transmission and distribution may not be restricted solely to private interests). </w:t>
      </w:r>
      <w:r w:rsidRPr="00C7760D">
        <w:rPr>
          <w:vertAlign w:val="superscript"/>
          <w:lang w:eastAsia="en-US"/>
        </w:rPr>
        <w:endnoteReference w:id="20"/>
      </w:r>
    </w:p>
    <w:p w:rsidR="00F46175" w:rsidRPr="00C7760D" w:rsidRDefault="00F46175" w:rsidP="00F46175">
      <w:pPr>
        <w:numPr>
          <w:ilvl w:val="0"/>
          <w:numId w:val="19"/>
        </w:numPr>
        <w:rPr>
          <w:lang w:eastAsia="en-US"/>
        </w:rPr>
      </w:pPr>
      <w:r w:rsidRPr="00C7760D">
        <w:rPr>
          <w:lang w:eastAsia="en-US"/>
        </w:rPr>
        <w:lastRenderedPageBreak/>
        <w:t xml:space="preserve">Bolivia still plans further nationalisation in the sector, to establish 100% state ownership of </w:t>
      </w:r>
      <w:proofErr w:type="spellStart"/>
      <w:r w:rsidRPr="00C7760D">
        <w:rPr>
          <w:lang w:eastAsia="en-US"/>
        </w:rPr>
        <w:t>Empresa</w:t>
      </w:r>
      <w:proofErr w:type="spellEnd"/>
      <w:r w:rsidRPr="00C7760D">
        <w:rPr>
          <w:lang w:eastAsia="en-US"/>
        </w:rPr>
        <w:t xml:space="preserve"> </w:t>
      </w:r>
      <w:bookmarkStart w:id="19" w:name="ORIGHIT_2"/>
      <w:bookmarkStart w:id="20" w:name="HIT_2"/>
      <w:bookmarkEnd w:id="19"/>
      <w:bookmarkEnd w:id="20"/>
      <w:proofErr w:type="spellStart"/>
      <w:r w:rsidRPr="00C7760D">
        <w:rPr>
          <w:lang w:eastAsia="en-US"/>
        </w:rPr>
        <w:t>Electrica</w:t>
      </w:r>
      <w:proofErr w:type="spellEnd"/>
      <w:r w:rsidRPr="00C7760D">
        <w:rPr>
          <w:lang w:eastAsia="en-US"/>
        </w:rPr>
        <w:t xml:space="preserve"> Valle </w:t>
      </w:r>
      <w:proofErr w:type="spellStart"/>
      <w:r w:rsidRPr="00C7760D">
        <w:rPr>
          <w:lang w:eastAsia="en-US"/>
        </w:rPr>
        <w:t>Hermoso</w:t>
      </w:r>
      <w:proofErr w:type="spellEnd"/>
      <w:r w:rsidRPr="00C7760D">
        <w:rPr>
          <w:lang w:eastAsia="en-US"/>
        </w:rPr>
        <w:t xml:space="preserve">, </w:t>
      </w:r>
      <w:proofErr w:type="spellStart"/>
      <w:r w:rsidRPr="00C7760D">
        <w:rPr>
          <w:lang w:eastAsia="en-US"/>
        </w:rPr>
        <w:t>Empresa</w:t>
      </w:r>
      <w:proofErr w:type="spellEnd"/>
      <w:r w:rsidRPr="00C7760D">
        <w:rPr>
          <w:lang w:eastAsia="en-US"/>
        </w:rPr>
        <w:t xml:space="preserve"> </w:t>
      </w:r>
      <w:proofErr w:type="spellStart"/>
      <w:r w:rsidRPr="00C7760D">
        <w:rPr>
          <w:lang w:eastAsia="en-US"/>
        </w:rPr>
        <w:t>Guaracachi</w:t>
      </w:r>
      <w:proofErr w:type="spellEnd"/>
      <w:r w:rsidRPr="00C7760D">
        <w:rPr>
          <w:lang w:eastAsia="en-US"/>
        </w:rPr>
        <w:t xml:space="preserve">, </w:t>
      </w:r>
      <w:proofErr w:type="spellStart"/>
      <w:r w:rsidRPr="00C7760D">
        <w:rPr>
          <w:lang w:eastAsia="en-US"/>
        </w:rPr>
        <w:t>Transportadora</w:t>
      </w:r>
      <w:proofErr w:type="spellEnd"/>
      <w:r w:rsidRPr="00C7760D">
        <w:rPr>
          <w:lang w:eastAsia="en-US"/>
        </w:rPr>
        <w:t xml:space="preserve"> de </w:t>
      </w:r>
      <w:bookmarkStart w:id="21" w:name="ORIGHIT_3"/>
      <w:bookmarkStart w:id="22" w:name="HIT_3"/>
      <w:bookmarkEnd w:id="21"/>
      <w:bookmarkEnd w:id="22"/>
      <w:proofErr w:type="spellStart"/>
      <w:r w:rsidRPr="00C7760D">
        <w:rPr>
          <w:lang w:eastAsia="en-US"/>
        </w:rPr>
        <w:t>Electricidad</w:t>
      </w:r>
      <w:proofErr w:type="spellEnd"/>
      <w:r w:rsidRPr="00C7760D">
        <w:rPr>
          <w:lang w:eastAsia="en-US"/>
        </w:rPr>
        <w:t xml:space="preserve"> (TDE) and </w:t>
      </w:r>
      <w:proofErr w:type="spellStart"/>
      <w:r w:rsidRPr="00C7760D">
        <w:rPr>
          <w:lang w:eastAsia="en-US"/>
        </w:rPr>
        <w:t>Empresa</w:t>
      </w:r>
      <w:proofErr w:type="spellEnd"/>
      <w:r w:rsidRPr="00C7760D">
        <w:rPr>
          <w:lang w:eastAsia="en-US"/>
        </w:rPr>
        <w:t xml:space="preserve"> de </w:t>
      </w:r>
      <w:proofErr w:type="spellStart"/>
      <w:r w:rsidRPr="00C7760D">
        <w:rPr>
          <w:lang w:eastAsia="en-US"/>
        </w:rPr>
        <w:t>Distribucion</w:t>
      </w:r>
      <w:proofErr w:type="spellEnd"/>
      <w:r w:rsidRPr="00C7760D">
        <w:rPr>
          <w:lang w:eastAsia="en-US"/>
        </w:rPr>
        <w:t xml:space="preserve"> </w:t>
      </w:r>
      <w:proofErr w:type="spellStart"/>
      <w:r w:rsidRPr="00C7760D">
        <w:rPr>
          <w:lang w:eastAsia="en-US"/>
        </w:rPr>
        <w:t>Larecaja</w:t>
      </w:r>
      <w:proofErr w:type="spellEnd"/>
      <w:r w:rsidRPr="00C7760D">
        <w:rPr>
          <w:lang w:eastAsia="en-US"/>
        </w:rPr>
        <w:t xml:space="preserve"> SAM </w:t>
      </w:r>
      <w:r w:rsidRPr="00C7760D">
        <w:rPr>
          <w:vertAlign w:val="superscript"/>
          <w:lang w:eastAsia="en-US"/>
        </w:rPr>
        <w:endnoteReference w:id="21"/>
      </w:r>
    </w:p>
    <w:p w:rsidR="00F46175" w:rsidRPr="00C7760D" w:rsidRDefault="00F46175" w:rsidP="00F46175">
      <w:pPr>
        <w:rPr>
          <w:lang w:eastAsia="en-US"/>
        </w:rPr>
      </w:pPr>
    </w:p>
    <w:p w:rsidR="00F46175" w:rsidRPr="00C7760D" w:rsidRDefault="00F46175" w:rsidP="00F46175">
      <w:pPr>
        <w:rPr>
          <w:lang w:eastAsia="en-US"/>
        </w:rPr>
      </w:pPr>
      <w:r w:rsidRPr="00C7760D">
        <w:rPr>
          <w:lang w:eastAsia="en-US"/>
        </w:rPr>
        <w:t>Belize: Dean Barrow's administration nationalised Belize Telecoms Limited (BTL) and Belize Electricity Limited (BEL) in 2009. Legal cases regarding the nationalisations of BTL and BEL remain ongoing.</w:t>
      </w:r>
      <w:r w:rsidRPr="00C7760D">
        <w:rPr>
          <w:vertAlign w:val="superscript"/>
          <w:lang w:eastAsia="en-US"/>
        </w:rPr>
        <w:endnoteReference w:id="22"/>
      </w:r>
    </w:p>
    <w:p w:rsidR="00F46175" w:rsidRDefault="00F46175" w:rsidP="00F46175">
      <w:pPr>
        <w:rPr>
          <w:lang w:eastAsia="en-US"/>
        </w:rPr>
      </w:pPr>
    </w:p>
    <w:p w:rsidR="00F46175" w:rsidRDefault="00F46175" w:rsidP="00F46175">
      <w:pPr>
        <w:rPr>
          <w:lang w:eastAsia="en-US"/>
        </w:rPr>
      </w:pPr>
      <w:r>
        <w:rPr>
          <w:lang w:eastAsia="en-US"/>
        </w:rPr>
        <w:t>Dominican Republic renationalised its distribution companies in 2003, five years after privatisation, because of increasing public unrest over prices.</w:t>
      </w:r>
    </w:p>
    <w:p w:rsidR="00F46175" w:rsidRPr="00C7760D" w:rsidRDefault="00F46175" w:rsidP="00F46175">
      <w:pPr>
        <w:rPr>
          <w:lang w:eastAsia="en-US"/>
        </w:rPr>
      </w:pPr>
    </w:p>
    <w:p w:rsidR="00F46175" w:rsidRPr="00C7760D" w:rsidRDefault="00F46175" w:rsidP="00F46175">
      <w:pPr>
        <w:rPr>
          <w:lang w:eastAsia="en-US"/>
        </w:rPr>
      </w:pPr>
      <w:r>
        <w:rPr>
          <w:lang w:eastAsia="en-US"/>
        </w:rPr>
        <w:t xml:space="preserve">Brazil: the distribution companies owned by the </w:t>
      </w:r>
      <w:proofErr w:type="spellStart"/>
      <w:r>
        <w:rPr>
          <w:lang w:eastAsia="en-US"/>
        </w:rPr>
        <w:t>Rede</w:t>
      </w:r>
      <w:proofErr w:type="spellEnd"/>
      <w:r>
        <w:rPr>
          <w:lang w:eastAsia="en-US"/>
        </w:rPr>
        <w:t xml:space="preserve"> group were taken over by the regulatory body </w:t>
      </w:r>
      <w:proofErr w:type="spellStart"/>
      <w:r>
        <w:rPr>
          <w:lang w:eastAsia="en-US"/>
        </w:rPr>
        <w:t>Aneel</w:t>
      </w:r>
      <w:proofErr w:type="spellEnd"/>
      <w:r>
        <w:rPr>
          <w:lang w:eastAsia="en-US"/>
        </w:rPr>
        <w:t xml:space="preserve"> in 2012 because the danger of bankruptcy threatened the power supply in 5 states. In 2013 a court agreed the company would be taken over by another Brazilian private group</w:t>
      </w:r>
      <w:proofErr w:type="gramStart"/>
      <w:r>
        <w:rPr>
          <w:lang w:eastAsia="en-US"/>
        </w:rPr>
        <w:t xml:space="preserve">,  </w:t>
      </w:r>
      <w:proofErr w:type="spellStart"/>
      <w:r>
        <w:rPr>
          <w:lang w:eastAsia="en-US"/>
        </w:rPr>
        <w:t>Energisa</w:t>
      </w:r>
      <w:proofErr w:type="spellEnd"/>
      <w:proofErr w:type="gramEnd"/>
      <w:r>
        <w:rPr>
          <w:lang w:eastAsia="en-US"/>
        </w:rPr>
        <w:t>.</w:t>
      </w:r>
      <w:r>
        <w:rPr>
          <w:rStyle w:val="EndnoteReference"/>
          <w:lang w:eastAsia="en-US"/>
        </w:rPr>
        <w:endnoteReference w:id="23"/>
      </w:r>
    </w:p>
    <w:p w:rsidR="00F46175" w:rsidRDefault="00F46175" w:rsidP="00F46175">
      <w:pPr>
        <w:rPr>
          <w:lang w:eastAsia="en-US"/>
        </w:rPr>
      </w:pPr>
    </w:p>
    <w:p w:rsidR="00E51BF6" w:rsidRPr="00C94E24" w:rsidRDefault="00235804" w:rsidP="00E51BF6">
      <w:pPr>
        <w:pStyle w:val="Heading1"/>
        <w:rPr>
          <w:lang w:val="nl-BE"/>
        </w:rPr>
      </w:pPr>
      <w:bookmarkStart w:id="23" w:name="_Toc366776057"/>
      <w:r w:rsidRPr="00C94E24">
        <w:rPr>
          <w:lang w:val="nl-BE"/>
        </w:rPr>
        <w:t xml:space="preserve">Current </w:t>
      </w:r>
      <w:r w:rsidR="00C94E24" w:rsidRPr="00C94E24">
        <w:rPr>
          <w:lang w:val="nl-BE"/>
        </w:rPr>
        <w:t>conflicts over privatisation</w:t>
      </w:r>
      <w:bookmarkEnd w:id="23"/>
    </w:p>
    <w:p w:rsidR="005D26ED" w:rsidRDefault="005D26ED" w:rsidP="005D26ED">
      <w:pPr>
        <w:pStyle w:val="Heading2"/>
        <w:rPr>
          <w:lang w:val="nl-BE"/>
        </w:rPr>
      </w:pPr>
      <w:bookmarkStart w:id="24" w:name="_Toc366776058"/>
      <w:r>
        <w:rPr>
          <w:lang w:val="nl-BE"/>
        </w:rPr>
        <w:t>Indonesia</w:t>
      </w:r>
      <w:bookmarkEnd w:id="24"/>
    </w:p>
    <w:p w:rsidR="005D26ED" w:rsidRDefault="005D26ED" w:rsidP="005D26ED">
      <w:pPr>
        <w:rPr>
          <w:lang w:val="nl-BE" w:eastAsia="en-US"/>
        </w:rPr>
      </w:pPr>
      <w:r>
        <w:rPr>
          <w:lang w:val="nl-BE" w:eastAsia="en-US"/>
        </w:rPr>
        <w:t xml:space="preserve">Indonesia has been attempting to unbundle nand privatise its public sector utility PLN since the early 2000s. There are also a number of IPPs, many set up in the 1990s with corrupt agreements which force PLN to buy power at excessive prices. The union has fought a long battle, including a victory in the constitutional court against a 2003 law, but a new law enables various forms of privatisation, including outsourcing.  </w:t>
      </w:r>
    </w:p>
    <w:p w:rsidR="00661C19" w:rsidRDefault="00661C19" w:rsidP="00B249B2">
      <w:pPr>
        <w:pStyle w:val="Heading2"/>
        <w:rPr>
          <w:lang w:val="nl-BE"/>
        </w:rPr>
      </w:pPr>
      <w:bookmarkStart w:id="25" w:name="_Toc366776059"/>
      <w:r>
        <w:rPr>
          <w:lang w:val="nl-BE"/>
        </w:rPr>
        <w:t>Kenya</w:t>
      </w:r>
      <w:bookmarkEnd w:id="25"/>
    </w:p>
    <w:p w:rsidR="00B249B2" w:rsidRDefault="00B249B2" w:rsidP="00661C19">
      <w:pPr>
        <w:rPr>
          <w:lang w:val="nl-BE" w:eastAsia="en-US"/>
        </w:rPr>
      </w:pPr>
      <w:r>
        <w:rPr>
          <w:lang w:val="nl-BE" w:eastAsia="en-US"/>
        </w:rPr>
        <w:t>The Kenyan electricity sector has already been subjected to unbundling, and partial privatisation through IPPs, most of which have been corrupt and expensive problems, and the partial privatisation of Kenya Power</w:t>
      </w:r>
      <w:r w:rsidR="003044F4">
        <w:rPr>
          <w:lang w:val="nl-BE" w:eastAsia="en-US"/>
        </w:rPr>
        <w:t xml:space="preserve"> and Light</w:t>
      </w:r>
      <w:r>
        <w:rPr>
          <w:lang w:val="nl-BE" w:eastAsia="en-US"/>
        </w:rPr>
        <w:t>. There are continuing attempts at privatisation in various forms, including outsourcing</w:t>
      </w:r>
      <w:r w:rsidR="0051585F">
        <w:rPr>
          <w:lang w:val="nl-BE" w:eastAsia="en-US"/>
        </w:rPr>
        <w:t xml:space="preserve">, and the possible use of private companies to take over some distribution. </w:t>
      </w:r>
      <w:r w:rsidR="003044F4">
        <w:rPr>
          <w:lang w:val="nl-BE" w:eastAsia="en-US"/>
        </w:rPr>
        <w:t xml:space="preserve">The union KETAWU has threatened strike action over the dismissal of workers and their replacement by contractors using casual staff, and also insisted on formalising the employment status of casual day labourers employed by the  </w:t>
      </w:r>
      <w:r>
        <w:rPr>
          <w:rStyle w:val="EndnoteReference"/>
          <w:lang w:val="nl-BE" w:eastAsia="en-US"/>
        </w:rPr>
        <w:endnoteReference w:id="24"/>
      </w:r>
    </w:p>
    <w:p w:rsidR="00661C19" w:rsidRPr="00661C19" w:rsidRDefault="00661C19" w:rsidP="00661C19">
      <w:pPr>
        <w:rPr>
          <w:lang w:val="nl-BE" w:eastAsia="en-US"/>
        </w:rPr>
      </w:pPr>
    </w:p>
    <w:p w:rsidR="00661C19" w:rsidRDefault="00661C19" w:rsidP="00B249B2">
      <w:pPr>
        <w:pStyle w:val="Heading2"/>
        <w:rPr>
          <w:lang w:val="nl-BE"/>
        </w:rPr>
      </w:pPr>
      <w:bookmarkStart w:id="26" w:name="_Toc366776060"/>
      <w:r>
        <w:rPr>
          <w:lang w:val="nl-BE"/>
        </w:rPr>
        <w:t>Korea</w:t>
      </w:r>
      <w:bookmarkEnd w:id="26"/>
    </w:p>
    <w:p w:rsidR="00661C19" w:rsidRDefault="00661C19" w:rsidP="00661C19">
      <w:pPr>
        <w:rPr>
          <w:lang w:val="nl-BE"/>
        </w:rPr>
      </w:pPr>
      <w:r>
        <w:rPr>
          <w:lang w:val="nl-BE"/>
        </w:rPr>
        <w:t xml:space="preserve">Three nuclear reactors have been shut down as a result of safety concerns, after safety equipment was found to be inadequate as a result of bribes paid by the nuclear power industry. The government has started discussing further liberalisation as a way of dealing with the crisis, despite the fact that this option was dropped 8 years ago after strong campaigns by unions and others. </w:t>
      </w:r>
    </w:p>
    <w:p w:rsidR="005D26ED" w:rsidRDefault="005D26ED" w:rsidP="005D26ED">
      <w:pPr>
        <w:pStyle w:val="Heading2"/>
        <w:rPr>
          <w:lang w:val="nl-BE"/>
        </w:rPr>
      </w:pPr>
      <w:bookmarkStart w:id="27" w:name="_Toc366776061"/>
      <w:r w:rsidRPr="008D3EC1">
        <w:rPr>
          <w:lang w:val="nl-BE"/>
        </w:rPr>
        <w:t>Nigeria</w:t>
      </w:r>
      <w:bookmarkEnd w:id="27"/>
    </w:p>
    <w:p w:rsidR="00661C19" w:rsidRPr="00661C19" w:rsidRDefault="00661C19" w:rsidP="00661C19">
      <w:pPr>
        <w:rPr>
          <w:lang w:val="nl-BE" w:eastAsia="en-US"/>
        </w:rPr>
      </w:pPr>
    </w:p>
    <w:p w:rsidR="005D26ED" w:rsidRDefault="005D26ED" w:rsidP="005D26ED">
      <w:pPr>
        <w:pStyle w:val="Heading2"/>
        <w:rPr>
          <w:lang w:val="nl-BE"/>
        </w:rPr>
      </w:pPr>
      <w:bookmarkStart w:id="28" w:name="_Toc366776062"/>
      <w:r>
        <w:rPr>
          <w:lang w:val="nl-BE"/>
        </w:rPr>
        <w:t>Pakistan</w:t>
      </w:r>
      <w:bookmarkEnd w:id="28"/>
    </w:p>
    <w:p w:rsidR="005D26ED" w:rsidRDefault="005D26ED" w:rsidP="005D26ED">
      <w:pPr>
        <w:rPr>
          <w:lang w:val="nl-BE" w:eastAsia="en-US"/>
        </w:rPr>
      </w:pPr>
      <w:r>
        <w:rPr>
          <w:lang w:val="nl-BE" w:eastAsia="en-US"/>
        </w:rPr>
        <w:t>There have been attempts to privatise the national electricity utility, WAPDA, for over 15 years. For some years it was taken over by the military. The campaign against its privatisation remains strong, led by the union.  WAPDA is under great financial pressure because the introduction of private power generators (IPPs) in the 1990s forced WAPDA to pay much higher prices to the new private companies, while being unable to raise the prices charged to citizens.</w:t>
      </w:r>
    </w:p>
    <w:p w:rsidR="005D26ED" w:rsidRDefault="005D26ED" w:rsidP="005D26ED">
      <w:pPr>
        <w:rPr>
          <w:lang w:val="nl-BE" w:eastAsia="en-US"/>
        </w:rPr>
      </w:pPr>
    </w:p>
    <w:p w:rsidR="005D26ED" w:rsidRDefault="005D26ED" w:rsidP="005D26ED">
      <w:pPr>
        <w:rPr>
          <w:lang w:val="nl-BE" w:eastAsia="en-US"/>
        </w:rPr>
      </w:pPr>
      <w:r>
        <w:rPr>
          <w:lang w:val="nl-BE" w:eastAsia="en-US"/>
        </w:rPr>
        <w:t>The Karachi electricity utility, KESC, was privatised in 2005 to a Saudi company, which has since sold it to the Abraaj group, a private equity company, which gets 24% of its finance from DFIs and IFIs. It is still regarded as a disaster by both workers, consumers, and Karachi City Council, all of whom have repeatedly demanded its renationalisation, and continue to do so in late 2013.</w:t>
      </w:r>
      <w:r>
        <w:rPr>
          <w:rStyle w:val="EndnoteReference"/>
        </w:rPr>
        <w:endnoteReference w:id="25"/>
      </w:r>
    </w:p>
    <w:p w:rsidR="008D3EC1" w:rsidRDefault="00235804" w:rsidP="00B249B2">
      <w:pPr>
        <w:pStyle w:val="Heading2"/>
        <w:rPr>
          <w:lang w:val="nl-BE"/>
        </w:rPr>
      </w:pPr>
      <w:bookmarkStart w:id="29" w:name="_Toc366776063"/>
      <w:r w:rsidRPr="008D3EC1">
        <w:rPr>
          <w:lang w:val="nl-BE"/>
        </w:rPr>
        <w:t>Paraguay</w:t>
      </w:r>
      <w:bookmarkEnd w:id="29"/>
    </w:p>
    <w:p w:rsidR="003044F4" w:rsidRDefault="003044F4" w:rsidP="008D3EC1">
      <w:pPr>
        <w:rPr>
          <w:lang w:val="nl-BE" w:eastAsia="en-US"/>
        </w:rPr>
      </w:pPr>
    </w:p>
    <w:p w:rsidR="008D3EC1" w:rsidRDefault="003044F4" w:rsidP="008D3EC1">
      <w:pPr>
        <w:rPr>
          <w:lang w:val="nl-BE" w:eastAsia="en-US"/>
        </w:rPr>
      </w:pPr>
      <w:r w:rsidRPr="003044F4">
        <w:rPr>
          <w:lang w:val="nl-BE" w:eastAsia="en-US"/>
        </w:rPr>
        <w:lastRenderedPageBreak/>
        <w:t xml:space="preserve">The government of Paraguay has announced plans to privatise the state energy company, ANDE. The probable buyer is the mining multinational Rio Tinto, which recently announced plans to build an aluminium smelter in the country </w:t>
      </w:r>
      <w:r w:rsidR="005D26ED">
        <w:rPr>
          <w:lang w:val="nl-BE" w:eastAsia="en-US"/>
        </w:rPr>
        <w:t>. The union, SITRANDE, has launched a campaign against this.</w:t>
      </w:r>
      <w:r w:rsidRPr="003044F4">
        <w:rPr>
          <w:lang w:val="nl-BE" w:eastAsia="en-US"/>
        </w:rPr>
        <w:t>(see Annexe for further information)</w:t>
      </w:r>
    </w:p>
    <w:p w:rsidR="005D26ED" w:rsidRDefault="005D26ED" w:rsidP="005D26ED">
      <w:pPr>
        <w:pStyle w:val="Heading2"/>
        <w:rPr>
          <w:lang w:val="nl-BE"/>
        </w:rPr>
      </w:pPr>
      <w:bookmarkStart w:id="30" w:name="_Toc366776064"/>
      <w:r>
        <w:rPr>
          <w:lang w:val="nl-BE"/>
        </w:rPr>
        <w:t>Philippines</w:t>
      </w:r>
      <w:bookmarkEnd w:id="30"/>
    </w:p>
    <w:p w:rsidR="005D26ED" w:rsidRDefault="005D26ED" w:rsidP="005D26ED">
      <w:pPr>
        <w:rPr>
          <w:lang w:val="en" w:eastAsia="en-US"/>
        </w:rPr>
      </w:pPr>
      <w:r>
        <w:rPr>
          <w:lang w:val="nl-BE" w:eastAsia="en-US"/>
        </w:rPr>
        <w:t xml:space="preserve">The government and the privatised National Power Grid Company have tried to force the provinvce of Alpay to agree to the privatisation of its electricity cooperative, </w:t>
      </w:r>
      <w:proofErr w:type="spellStart"/>
      <w:r w:rsidRPr="001512A0">
        <w:rPr>
          <w:lang w:val="en" w:eastAsia="en-US"/>
        </w:rPr>
        <w:t>Albay</w:t>
      </w:r>
      <w:proofErr w:type="spellEnd"/>
      <w:r w:rsidRPr="001512A0">
        <w:rPr>
          <w:lang w:val="en" w:eastAsia="en-US"/>
        </w:rPr>
        <w:t xml:space="preserve"> Electric Cooperative (ALECO)</w:t>
      </w:r>
      <w:r>
        <w:rPr>
          <w:lang w:val="en" w:eastAsia="en-US"/>
        </w:rPr>
        <w:t>, which is in debt.  T</w:t>
      </w:r>
      <w:r w:rsidRPr="001E4E00">
        <w:rPr>
          <w:lang w:val="en" w:eastAsia="en-US"/>
        </w:rPr>
        <w:t xml:space="preserve">he member-consumers in ALECO led by its labor unions have already proposed </w:t>
      </w:r>
      <w:r>
        <w:rPr>
          <w:lang w:val="en" w:eastAsia="en-US"/>
        </w:rPr>
        <w:t xml:space="preserve">a </w:t>
      </w:r>
      <w:r w:rsidRPr="001E4E00">
        <w:rPr>
          <w:lang w:val="en" w:eastAsia="en-US"/>
        </w:rPr>
        <w:t>viable solution</w:t>
      </w:r>
      <w:r>
        <w:rPr>
          <w:lang w:val="en" w:eastAsia="en-US"/>
        </w:rPr>
        <w:t xml:space="preserve"> based on continued public control, but the government reject this.</w:t>
      </w:r>
    </w:p>
    <w:p w:rsidR="005D26ED" w:rsidRDefault="005D26ED" w:rsidP="005D26ED">
      <w:pPr>
        <w:rPr>
          <w:lang w:val="en" w:eastAsia="en-US"/>
        </w:rPr>
      </w:pPr>
    </w:p>
    <w:p w:rsidR="005D26ED" w:rsidRDefault="005D26ED" w:rsidP="005D26ED">
      <w:pPr>
        <w:ind w:left="720"/>
        <w:rPr>
          <w:lang w:val="nl-BE" w:eastAsia="en-US"/>
        </w:rPr>
      </w:pPr>
      <w:r>
        <w:rPr>
          <w:lang w:val="en" w:eastAsia="en-US"/>
        </w:rPr>
        <w:t>“</w:t>
      </w:r>
      <w:r w:rsidRPr="001512A0">
        <w:rPr>
          <w:lang w:val="en" w:eastAsia="en-US"/>
        </w:rPr>
        <w:t xml:space="preserve">On July 30th, 2013, the National Power Grid Corporation shut off power to 1.2 million people in the Philippine province of </w:t>
      </w:r>
      <w:proofErr w:type="spellStart"/>
      <w:r w:rsidRPr="001512A0">
        <w:rPr>
          <w:lang w:val="en" w:eastAsia="en-US"/>
        </w:rPr>
        <w:t>Albay</w:t>
      </w:r>
      <w:proofErr w:type="spellEnd"/>
      <w:r w:rsidRPr="001512A0">
        <w:rPr>
          <w:lang w:val="en" w:eastAsia="en-US"/>
        </w:rPr>
        <w:t>, citing millions in unpaid bills. 160,000 households had no power, and hospitals and other emergency facilities used generators to operate and maintain critical services</w:t>
      </w:r>
      <w:r>
        <w:rPr>
          <w:lang w:val="en" w:eastAsia="en-US"/>
        </w:rPr>
        <w:t>…..</w:t>
      </w:r>
      <w:r w:rsidRPr="001512A0">
        <w:rPr>
          <w:rFonts w:ascii="Helvetica" w:hAnsi="Helvetica" w:cs="Helvetica"/>
          <w:sz w:val="23"/>
          <w:szCs w:val="23"/>
          <w:lang w:val="en"/>
        </w:rPr>
        <w:t xml:space="preserve"> </w:t>
      </w:r>
      <w:r w:rsidRPr="001512A0">
        <w:rPr>
          <w:lang w:val="en" w:eastAsia="en-US"/>
        </w:rPr>
        <w:t xml:space="preserve">Local citizens group and the employee union of ALECO argued that the power outage was blackmail to force </w:t>
      </w:r>
      <w:proofErr w:type="spellStart"/>
      <w:r w:rsidRPr="001512A0">
        <w:rPr>
          <w:lang w:val="en" w:eastAsia="en-US"/>
        </w:rPr>
        <w:t>Albay</w:t>
      </w:r>
      <w:proofErr w:type="spellEnd"/>
      <w:r w:rsidRPr="001512A0">
        <w:rPr>
          <w:lang w:val="en" w:eastAsia="en-US"/>
        </w:rPr>
        <w:t xml:space="preserve"> citizens to accept privatization of the local power cooperative.</w:t>
      </w:r>
      <w:r>
        <w:rPr>
          <w:lang w:val="en" w:eastAsia="en-US"/>
        </w:rPr>
        <w:t xml:space="preserve">” </w:t>
      </w:r>
      <w:r>
        <w:rPr>
          <w:rStyle w:val="EndnoteReference"/>
          <w:lang w:val="nl-BE" w:eastAsia="en-US"/>
        </w:rPr>
        <w:endnoteReference w:id="26"/>
      </w:r>
    </w:p>
    <w:p w:rsidR="005D26ED" w:rsidRDefault="005D26ED" w:rsidP="005D26ED">
      <w:pPr>
        <w:rPr>
          <w:lang w:val="nl-BE" w:eastAsia="en-US"/>
        </w:rPr>
      </w:pPr>
    </w:p>
    <w:p w:rsidR="005D26ED" w:rsidRDefault="005D26ED" w:rsidP="005D26ED">
      <w:pPr>
        <w:rPr>
          <w:lang w:val="nl-BE" w:eastAsia="en-US"/>
        </w:rPr>
      </w:pPr>
      <w:r>
        <w:rPr>
          <w:lang w:val="nl-BE" w:eastAsia="en-US"/>
        </w:rPr>
        <w:t>The Philippine unions have been fighting privatisation and its consequences for many years. They recently won a long-running court case to claim back pay or reinstatement for over 5,000 workers who were illegally dismissed when the national utility, Napocor, was privatised in 2003.  The supreme court has ruled in favour of the workers, that they are entitled to back pay worth USD $1.3 billion dollars, though this has still not been paid.</w:t>
      </w:r>
      <w:r>
        <w:rPr>
          <w:rStyle w:val="EndnoteReference"/>
          <w:lang w:val="nl-BE" w:eastAsia="en-US"/>
        </w:rPr>
        <w:endnoteReference w:id="27"/>
      </w:r>
    </w:p>
    <w:p w:rsidR="00661C19" w:rsidRPr="008D3EC1" w:rsidRDefault="00661C19" w:rsidP="008D3EC1">
      <w:pPr>
        <w:rPr>
          <w:lang w:val="nl-BE" w:eastAsia="en-US"/>
        </w:rPr>
      </w:pPr>
    </w:p>
    <w:p w:rsidR="00661C19" w:rsidRDefault="00661C19" w:rsidP="00B249B2">
      <w:pPr>
        <w:pStyle w:val="Heading2"/>
        <w:rPr>
          <w:lang w:val="nl-BE"/>
        </w:rPr>
      </w:pPr>
      <w:bookmarkStart w:id="31" w:name="_Toc366776065"/>
      <w:r>
        <w:rPr>
          <w:lang w:val="nl-BE"/>
        </w:rPr>
        <w:t>Tunisia</w:t>
      </w:r>
      <w:bookmarkEnd w:id="31"/>
    </w:p>
    <w:p w:rsidR="00661C19" w:rsidRDefault="007A7D94" w:rsidP="00661C19">
      <w:pPr>
        <w:rPr>
          <w:lang w:val="nl-BE" w:eastAsia="en-US"/>
        </w:rPr>
      </w:pPr>
      <w:r>
        <w:rPr>
          <w:lang w:val="nl-BE" w:eastAsia="en-US"/>
        </w:rPr>
        <w:t>Tunisia has a strong public sector electricity company, but private companies from Europe and the Middle East want to profit from the possible solar energy from the Sahara desert, as well as other forms of privatisation. The private consortium promoting the Desertec project has now collapsed, but a recent visit by French businesses, GdF-Suez told the Tunisian government that they want to see PPPs created.</w:t>
      </w:r>
      <w:r>
        <w:rPr>
          <w:rStyle w:val="EndnoteReference"/>
          <w:lang w:val="nl-BE" w:eastAsia="en-US"/>
        </w:rPr>
        <w:endnoteReference w:id="28"/>
      </w:r>
    </w:p>
    <w:p w:rsidR="00661C19" w:rsidRPr="00661C19" w:rsidRDefault="00661C19" w:rsidP="00661C19">
      <w:pPr>
        <w:rPr>
          <w:lang w:val="nl-BE" w:eastAsia="en-US"/>
        </w:rPr>
      </w:pPr>
    </w:p>
    <w:p w:rsidR="008D3EC1" w:rsidRDefault="008D3EC1" w:rsidP="008D3EC1">
      <w:pPr>
        <w:rPr>
          <w:lang w:val="nl-BE" w:eastAsia="en-US"/>
        </w:rPr>
      </w:pPr>
    </w:p>
    <w:p w:rsidR="00661C19" w:rsidRDefault="00661C19" w:rsidP="008D3EC1">
      <w:pPr>
        <w:rPr>
          <w:lang w:val="nl-BE" w:eastAsia="en-US"/>
        </w:rPr>
      </w:pPr>
    </w:p>
    <w:p w:rsidR="0069124C" w:rsidRPr="0069124C" w:rsidRDefault="0069124C" w:rsidP="0069124C">
      <w:pPr>
        <w:rPr>
          <w:lang w:val="nl-BE" w:eastAsia="en-US"/>
        </w:rPr>
      </w:pPr>
    </w:p>
    <w:p w:rsidR="001512A0" w:rsidRPr="001512A0" w:rsidRDefault="001512A0" w:rsidP="001512A0">
      <w:pPr>
        <w:rPr>
          <w:lang w:val="nl-BE" w:eastAsia="en-US"/>
        </w:rPr>
      </w:pPr>
    </w:p>
    <w:p w:rsidR="001E4E00" w:rsidRDefault="001E4E00" w:rsidP="006B26BC">
      <w:pPr>
        <w:rPr>
          <w:lang w:val="nl-BE" w:eastAsia="en-US"/>
        </w:rPr>
      </w:pPr>
      <w:bookmarkStart w:id="32" w:name="_Toc358975645"/>
    </w:p>
    <w:bookmarkEnd w:id="32"/>
    <w:p w:rsidR="00C3119B" w:rsidRPr="00C3119B" w:rsidRDefault="00C3119B" w:rsidP="00C3119B">
      <w:pPr>
        <w:rPr>
          <w:lang w:eastAsia="en-US"/>
        </w:rPr>
      </w:pPr>
    </w:p>
    <w:sectPr w:rsidR="00C3119B" w:rsidRPr="00C3119B" w:rsidSect="00602135">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168" w:rsidRDefault="00481168">
      <w:r>
        <w:separator/>
      </w:r>
    </w:p>
  </w:endnote>
  <w:endnote w:type="continuationSeparator" w:id="0">
    <w:p w:rsidR="00481168" w:rsidRDefault="00481168">
      <w:r>
        <w:continuationSeparator/>
      </w:r>
    </w:p>
  </w:endnote>
  <w:endnote w:id="1">
    <w:p w:rsidR="00CA0F7F" w:rsidRPr="00306CD2" w:rsidRDefault="00CA0F7F">
      <w:pPr>
        <w:pStyle w:val="EndnoteText"/>
      </w:pPr>
      <w:r w:rsidRPr="00306CD2">
        <w:rPr>
          <w:rStyle w:val="EndnoteReference"/>
        </w:rPr>
        <w:endnoteRef/>
      </w:r>
      <w:r w:rsidRPr="00306CD2">
        <w:t xml:space="preserve"> </w:t>
      </w:r>
      <w:r w:rsidRPr="00306CD2">
        <w:rPr>
          <w:bCs/>
        </w:rPr>
        <w:t xml:space="preserve">Global Trends in Electricity Transmission System Operation: Where does the future lie? </w:t>
      </w:r>
      <w:proofErr w:type="spellStart"/>
      <w:r w:rsidRPr="00306CD2">
        <w:t>Mallika</w:t>
      </w:r>
      <w:proofErr w:type="spellEnd"/>
      <w:r w:rsidRPr="00306CD2">
        <w:t xml:space="preserve"> Chawla and Michael G. Pollitt;  PSIRU 2012 </w:t>
      </w:r>
      <w:r w:rsidRPr="00306CD2">
        <w:rPr>
          <w:bCs/>
        </w:rPr>
        <w:t>Overview of energy in Africa</w:t>
      </w:r>
      <w:r w:rsidRPr="00306CD2">
        <w:t xml:space="preserve"> </w:t>
      </w:r>
      <w:hyperlink r:id="rId1" w:history="1">
        <w:r w:rsidRPr="00306CD2">
          <w:rPr>
            <w:rStyle w:val="Hyperlink"/>
          </w:rPr>
          <w:t>http://www.psiru.org/sites/default/files/2013-01-E-Africa.docx</w:t>
        </w:r>
      </w:hyperlink>
      <w:r w:rsidRPr="00306CD2">
        <w:t xml:space="preserve"> </w:t>
      </w:r>
    </w:p>
  </w:endnote>
  <w:endnote w:id="2">
    <w:p w:rsidR="00CA0F7F" w:rsidRDefault="00CA0F7F" w:rsidP="00F46175">
      <w:r>
        <w:rPr>
          <w:rStyle w:val="EndnoteReference"/>
        </w:rPr>
        <w:endnoteRef/>
      </w:r>
      <w:r>
        <w:t xml:space="preserve"> PSIRU </w:t>
      </w:r>
      <w:proofErr w:type="gramStart"/>
      <w:r>
        <w:t xml:space="preserve">2013  </w:t>
      </w:r>
      <w:r w:rsidRPr="00F46175">
        <w:t>Electricity</w:t>
      </w:r>
      <w:proofErr w:type="gramEnd"/>
      <w:r w:rsidRPr="00F46175">
        <w:t xml:space="preserve"> Sector in Vietnam: Is Competition the answer?</w:t>
      </w:r>
      <w:r>
        <w:t xml:space="preserve">    </w:t>
      </w:r>
      <w:hyperlink r:id="rId2" w:history="1">
        <w:r w:rsidRPr="00BD3BDC">
          <w:rPr>
            <w:rStyle w:val="Hyperlink"/>
          </w:rPr>
          <w:t>http://www.psiru.org/reports/electricity-sector-vietnam-competition-answer</w:t>
        </w:r>
      </w:hyperlink>
      <w:r>
        <w:t xml:space="preserve"> </w:t>
      </w:r>
    </w:p>
  </w:endnote>
  <w:endnote w:id="3">
    <w:p w:rsidR="00CA0F7F" w:rsidRPr="00C83D9A" w:rsidRDefault="00CA0F7F" w:rsidP="004C38FC">
      <w:pPr>
        <w:pStyle w:val="EndnoteText"/>
      </w:pPr>
      <w:r w:rsidRPr="00C83D9A">
        <w:rPr>
          <w:rStyle w:val="EndnoteReference"/>
        </w:rPr>
        <w:endnoteRef/>
      </w:r>
      <w:r w:rsidRPr="00C83D9A">
        <w:t xml:space="preserve">  La </w:t>
      </w:r>
      <w:proofErr w:type="spellStart"/>
      <w:r w:rsidRPr="00C83D9A">
        <w:t>Republica</w:t>
      </w:r>
      <w:proofErr w:type="spellEnd"/>
      <w:r w:rsidRPr="00C83D9A">
        <w:t xml:space="preserve"> (Colombia) July 31, 2013 Colombia: </w:t>
      </w:r>
      <w:proofErr w:type="spellStart"/>
      <w:r w:rsidRPr="00C83D9A">
        <w:t>Celsia</w:t>
      </w:r>
      <w:proofErr w:type="spellEnd"/>
      <w:r w:rsidRPr="00C83D9A">
        <w:t xml:space="preserve">, AES, Duke and GDF Suez are potential candidates for </w:t>
      </w:r>
      <w:proofErr w:type="spellStart"/>
      <w:r w:rsidRPr="00C83D9A">
        <w:t>Isagen</w:t>
      </w:r>
      <w:proofErr w:type="spellEnd"/>
    </w:p>
  </w:endnote>
  <w:endnote w:id="4">
    <w:p w:rsidR="00CA0F7F" w:rsidRPr="00C83D9A" w:rsidRDefault="00CA0F7F" w:rsidP="004C38FC">
      <w:pPr>
        <w:pStyle w:val="EndnoteText"/>
      </w:pPr>
      <w:r w:rsidRPr="00C83D9A">
        <w:rPr>
          <w:rStyle w:val="EndnoteReference"/>
        </w:rPr>
        <w:endnoteRef/>
      </w:r>
      <w:r w:rsidRPr="00C83D9A">
        <w:t xml:space="preserve"> </w:t>
      </w:r>
      <w:hyperlink r:id="rId3" w:tgtFrame="_parent" w:history="1">
        <w:r w:rsidRPr="00C83D9A">
          <w:rPr>
            <w:rStyle w:val="Hyperlink"/>
          </w:rPr>
          <w:t>Panama: Bill allowing share sales passes second debate</w:t>
        </w:r>
      </w:hyperlink>
      <w:r w:rsidRPr="00C83D9A">
        <w:t xml:space="preserve"> La </w:t>
      </w:r>
      <w:proofErr w:type="spellStart"/>
      <w:r w:rsidRPr="00C83D9A">
        <w:t>Prensa</w:t>
      </w:r>
      <w:proofErr w:type="spellEnd"/>
      <w:r w:rsidRPr="00C83D9A">
        <w:t xml:space="preserve"> de Panama, July 31, 2013</w:t>
      </w:r>
    </w:p>
  </w:endnote>
  <w:endnote w:id="5">
    <w:p w:rsidR="00CA0F7F" w:rsidRPr="00C83D9A" w:rsidRDefault="00CA0F7F" w:rsidP="004C38FC">
      <w:pPr>
        <w:pStyle w:val="EndnoteText"/>
      </w:pPr>
      <w:r w:rsidRPr="00C83D9A">
        <w:rPr>
          <w:rStyle w:val="EndnoteReference"/>
        </w:rPr>
        <w:endnoteRef/>
      </w:r>
      <w:r w:rsidRPr="00C83D9A">
        <w:t xml:space="preserve"> La </w:t>
      </w:r>
      <w:proofErr w:type="spellStart"/>
      <w:r w:rsidRPr="00C83D9A">
        <w:t>Prensa</w:t>
      </w:r>
      <w:proofErr w:type="spellEnd"/>
      <w:r w:rsidRPr="00C83D9A">
        <w:t xml:space="preserve"> (Honduras)</w:t>
      </w:r>
      <w:r>
        <w:t xml:space="preserve"> </w:t>
      </w:r>
      <w:r w:rsidRPr="00C83D9A">
        <w:t>July 30, 2013 Tuesday</w:t>
      </w:r>
      <w:r>
        <w:t xml:space="preserve"> </w:t>
      </w:r>
      <w:r w:rsidRPr="00C83D9A">
        <w:t>Honduras: ENEE will outsource various services via PPPs</w:t>
      </w:r>
    </w:p>
  </w:endnote>
  <w:endnote w:id="6">
    <w:p w:rsidR="00CA0F7F" w:rsidRDefault="00CA0F7F" w:rsidP="004C38FC">
      <w:pPr>
        <w:pStyle w:val="EndnoteText"/>
      </w:pPr>
      <w:r>
        <w:rPr>
          <w:rStyle w:val="EndnoteReference"/>
        </w:rPr>
        <w:endnoteRef/>
      </w:r>
      <w:r>
        <w:t xml:space="preserve"> G20 2013 </w:t>
      </w:r>
      <w:r w:rsidRPr="0092180E">
        <w:t>Long-Term Financing of Growth and Development</w:t>
      </w:r>
      <w:r>
        <w:t xml:space="preserve"> </w:t>
      </w:r>
      <w:hyperlink r:id="rId4" w:history="1">
        <w:r>
          <w:rPr>
            <w:rStyle w:val="Hyperlink"/>
          </w:rPr>
          <w:t>http://www.g20.org/news/20130228/781245645.html</w:t>
        </w:r>
      </w:hyperlink>
      <w:r>
        <w:t xml:space="preserve"> ;  WEF 2013 </w:t>
      </w:r>
      <w:r w:rsidRPr="0092180E">
        <w:t>Strategic Infrastructure; Steps to Prepare and Accelerate Public-Private Partnerships</w:t>
      </w:r>
      <w:r>
        <w:t xml:space="preserve"> </w:t>
      </w:r>
      <w:hyperlink r:id="rId5" w:history="1">
        <w:r>
          <w:rPr>
            <w:rStyle w:val="Hyperlink"/>
          </w:rPr>
          <w:t>http://www.weforum.org/reports/strategic-infrastructure-steps-prioritize-and-deliver-infrastructure-effectively-and-efficie</w:t>
        </w:r>
      </w:hyperlink>
    </w:p>
  </w:endnote>
  <w:endnote w:id="7">
    <w:p w:rsidR="00CA0F7F" w:rsidRPr="00557749" w:rsidRDefault="00CA0F7F" w:rsidP="00EE100A">
      <w:r>
        <w:rPr>
          <w:rStyle w:val="EndnoteReference"/>
        </w:rPr>
        <w:endnoteRef/>
      </w:r>
      <w:r>
        <w:t xml:space="preserve">   </w:t>
      </w:r>
      <w:r w:rsidRPr="00557749">
        <w:t>Responsible Investment in Infrastructure</w:t>
      </w:r>
      <w:r>
        <w:t>: r</w:t>
      </w:r>
      <w:r w:rsidRPr="00557749">
        <w:t>ecommendations for the G20</w:t>
      </w:r>
    </w:p>
    <w:p w:rsidR="00CA0F7F" w:rsidRDefault="00481168" w:rsidP="00EE100A">
      <w:hyperlink r:id="rId6" w:history="1">
        <w:r w:rsidR="00CA0F7F" w:rsidRPr="00BD3BDC">
          <w:rPr>
            <w:rStyle w:val="Hyperlink"/>
          </w:rPr>
          <w:t>http://www.g20civil.com/documents/196/1546/</w:t>
        </w:r>
      </w:hyperlink>
      <w:r w:rsidR="00CA0F7F">
        <w:t xml:space="preserve"> </w:t>
      </w:r>
    </w:p>
  </w:endnote>
  <w:endnote w:id="8">
    <w:p w:rsidR="00CA0F7F" w:rsidRDefault="00CA0F7F">
      <w:pPr>
        <w:pStyle w:val="EndnoteText"/>
      </w:pPr>
      <w:r>
        <w:rPr>
          <w:rStyle w:val="EndnoteReference"/>
        </w:rPr>
        <w:endnoteRef/>
      </w:r>
      <w:r>
        <w:t xml:space="preserve"> </w:t>
      </w:r>
      <w:r>
        <w:rPr>
          <w:noProof/>
        </w:rPr>
        <w:t xml:space="preserve">World Bank March 2013 </w:t>
      </w:r>
      <w:r w:rsidRPr="00CD5602">
        <w:rPr>
          <w:noProof/>
        </w:rPr>
        <w:t>Revisiting Public-Private Partnerships in the Power Sector</w:t>
      </w:r>
      <w:r>
        <w:rPr>
          <w:noProof/>
        </w:rPr>
        <w:t xml:space="preserve"> </w:t>
      </w:r>
      <w:hyperlink r:id="rId7" w:history="1">
        <w:r w:rsidRPr="00CD5602">
          <w:rPr>
            <w:rStyle w:val="Hyperlink"/>
            <w:noProof/>
          </w:rPr>
          <w:t>http://go.worldbank.org/69VJOM9P90</w:t>
        </w:r>
      </w:hyperlink>
      <w:r>
        <w:rPr>
          <w:noProof/>
        </w:rPr>
        <w:t xml:space="preserve"> </w:t>
      </w:r>
    </w:p>
  </w:endnote>
  <w:endnote w:id="9">
    <w:p w:rsidR="00CA0F7F" w:rsidRPr="00A559E6" w:rsidRDefault="00CA0F7F" w:rsidP="00F46175">
      <w:pPr>
        <w:rPr>
          <w:sz w:val="20"/>
          <w:szCs w:val="20"/>
        </w:rPr>
      </w:pPr>
      <w:r w:rsidRPr="00A559E6">
        <w:rPr>
          <w:rStyle w:val="EndnoteReference"/>
          <w:sz w:val="20"/>
          <w:szCs w:val="20"/>
        </w:rPr>
        <w:endnoteRef/>
      </w:r>
      <w:r w:rsidRPr="00A559E6">
        <w:rPr>
          <w:sz w:val="20"/>
          <w:szCs w:val="20"/>
        </w:rPr>
        <w:t xml:space="preserve"> VKU 2011 The Local Public Utility Sector - Infrastructure partner for a capable Europe </w:t>
      </w:r>
      <w:hyperlink r:id="rId8" w:history="1">
        <w:r w:rsidRPr="00A559E6">
          <w:rPr>
            <w:rStyle w:val="Hyperlink"/>
            <w:sz w:val="20"/>
            <w:szCs w:val="20"/>
          </w:rPr>
          <w:t>http://www.vku.de/en/presse/publikationen/position-paper-of-the-german-association-of-local-utilities-vku-for-the-eu-legislative-period-2009-2014.html</w:t>
        </w:r>
      </w:hyperlink>
      <w:r w:rsidRPr="00A559E6">
        <w:rPr>
          <w:sz w:val="20"/>
          <w:szCs w:val="20"/>
        </w:rPr>
        <w:t xml:space="preserve"> ; EPSU November 2011 Germany: Trend toward re-municipalisation of energy sector </w:t>
      </w:r>
      <w:hyperlink r:id="rId9" w:history="1">
        <w:r w:rsidRPr="00A559E6">
          <w:rPr>
            <w:rStyle w:val="Hyperlink"/>
            <w:sz w:val="20"/>
            <w:szCs w:val="20"/>
          </w:rPr>
          <w:t>http://www.epsu.org/a/8107</w:t>
        </w:r>
      </w:hyperlink>
    </w:p>
  </w:endnote>
  <w:endnote w:id="10">
    <w:p w:rsidR="00CA0F7F" w:rsidRPr="00293867" w:rsidRDefault="00CA0F7F" w:rsidP="00F46175">
      <w:pPr>
        <w:rPr>
          <w:sz w:val="20"/>
          <w:szCs w:val="20"/>
          <w:lang w:val="pt-BR"/>
        </w:rPr>
      </w:pPr>
      <w:r w:rsidRPr="00A559E6">
        <w:rPr>
          <w:rStyle w:val="EndnoteReference"/>
          <w:sz w:val="20"/>
          <w:szCs w:val="20"/>
        </w:rPr>
        <w:endnoteRef/>
      </w:r>
      <w:r w:rsidRPr="00293867">
        <w:rPr>
          <w:sz w:val="20"/>
          <w:szCs w:val="20"/>
          <w:lang w:val="pt-BR"/>
        </w:rPr>
        <w:t xml:space="preserve">Stadtwerke: Umkehrung des Zeitgeistes — Der Freitag 2011   ;   </w:t>
      </w:r>
      <w:hyperlink r:id="rId10" w:history="1">
        <w:r w:rsidRPr="00293867">
          <w:rPr>
            <w:rStyle w:val="Hyperlink"/>
            <w:sz w:val="20"/>
            <w:szCs w:val="20"/>
            <w:lang w:val="pt-BR"/>
          </w:rPr>
          <w:t>http://www.vku.de/energie/veroeffentlichungen-gutachten/gutachten-der-monopolkommission/gutachten-der-monopolkommission.html</w:t>
        </w:r>
      </w:hyperlink>
    </w:p>
  </w:endnote>
  <w:endnote w:id="11">
    <w:p w:rsidR="00CA0F7F" w:rsidRPr="00A559E6" w:rsidRDefault="00CA0F7F" w:rsidP="00F46175">
      <w:pPr>
        <w:rPr>
          <w:sz w:val="20"/>
          <w:szCs w:val="20"/>
        </w:rPr>
      </w:pPr>
      <w:r w:rsidRPr="00A559E6">
        <w:rPr>
          <w:rStyle w:val="EndnoteReference"/>
          <w:sz w:val="20"/>
          <w:szCs w:val="20"/>
        </w:rPr>
        <w:endnoteRef/>
      </w:r>
      <w:r w:rsidRPr="00A559E6">
        <w:rPr>
          <w:sz w:val="20"/>
          <w:szCs w:val="20"/>
        </w:rPr>
        <w:t xml:space="preserve"> VKU     </w:t>
      </w:r>
      <w:hyperlink r:id="rId11" w:history="1">
        <w:r w:rsidRPr="00A559E6">
          <w:rPr>
            <w:rStyle w:val="Hyperlink"/>
            <w:sz w:val="20"/>
            <w:szCs w:val="20"/>
          </w:rPr>
          <w:t>http://www.vku.de/energie/energieerzeugung/kommunale-kraftwerkskapazitaeten/kommunale-kraftwerkskapazitaeten.html</w:t>
        </w:r>
      </w:hyperlink>
      <w:r w:rsidRPr="00A559E6">
        <w:rPr>
          <w:sz w:val="20"/>
          <w:szCs w:val="20"/>
        </w:rPr>
        <w:t xml:space="preserve"> ; </w:t>
      </w:r>
      <w:proofErr w:type="spellStart"/>
      <w:r w:rsidRPr="00A559E6">
        <w:rPr>
          <w:sz w:val="20"/>
          <w:szCs w:val="20"/>
        </w:rPr>
        <w:t>Monopolkomission</w:t>
      </w:r>
      <w:proofErr w:type="spellEnd"/>
      <w:r w:rsidRPr="00A559E6">
        <w:rPr>
          <w:sz w:val="20"/>
          <w:szCs w:val="20"/>
        </w:rPr>
        <w:t xml:space="preserve"> 2012 </w:t>
      </w:r>
      <w:proofErr w:type="spellStart"/>
      <w:r w:rsidRPr="00A559E6">
        <w:rPr>
          <w:sz w:val="20"/>
          <w:szCs w:val="20"/>
        </w:rPr>
        <w:t>Energie</w:t>
      </w:r>
      <w:proofErr w:type="spellEnd"/>
      <w:r w:rsidRPr="00A559E6">
        <w:rPr>
          <w:sz w:val="20"/>
          <w:szCs w:val="20"/>
        </w:rPr>
        <w:t xml:space="preserve"> 2011: </w:t>
      </w:r>
      <w:proofErr w:type="spellStart"/>
      <w:r w:rsidRPr="00A559E6">
        <w:rPr>
          <w:sz w:val="20"/>
          <w:szCs w:val="20"/>
        </w:rPr>
        <w:t>WettbewerbsentwicklungmitLicht</w:t>
      </w:r>
      <w:proofErr w:type="spellEnd"/>
      <w:r w:rsidRPr="00A559E6">
        <w:rPr>
          <w:sz w:val="20"/>
          <w:szCs w:val="20"/>
        </w:rPr>
        <w:t xml:space="preserve"> und </w:t>
      </w:r>
      <w:proofErr w:type="spellStart"/>
      <w:r w:rsidRPr="00A559E6">
        <w:rPr>
          <w:sz w:val="20"/>
          <w:szCs w:val="20"/>
        </w:rPr>
        <w:t>Schatten</w:t>
      </w:r>
      <w:proofErr w:type="spellEnd"/>
    </w:p>
    <w:p w:rsidR="00CA0F7F" w:rsidRPr="00A559E6" w:rsidRDefault="00481168" w:rsidP="00F46175">
      <w:pPr>
        <w:rPr>
          <w:sz w:val="20"/>
          <w:szCs w:val="20"/>
        </w:rPr>
      </w:pPr>
      <w:hyperlink r:id="rId12" w:history="1">
        <w:r w:rsidR="00CA0F7F" w:rsidRPr="00A559E6">
          <w:rPr>
            <w:rStyle w:val="Hyperlink"/>
            <w:sz w:val="20"/>
            <w:szCs w:val="20"/>
          </w:rPr>
          <w:t>http://www.monopolkommission.de/aktuell_sg59.html</w:t>
        </w:r>
      </w:hyperlink>
    </w:p>
  </w:endnote>
  <w:endnote w:id="12">
    <w:p w:rsidR="00CA0F7F" w:rsidRPr="00A559E6" w:rsidRDefault="00CA0F7F" w:rsidP="00F46175">
      <w:pPr>
        <w:rPr>
          <w:sz w:val="20"/>
          <w:szCs w:val="20"/>
        </w:rPr>
      </w:pPr>
      <w:r w:rsidRPr="00A559E6">
        <w:rPr>
          <w:rStyle w:val="EndnoteReference"/>
          <w:sz w:val="20"/>
          <w:szCs w:val="20"/>
        </w:rPr>
        <w:endnoteRef/>
      </w:r>
      <w:r w:rsidRPr="00A559E6">
        <w:rPr>
          <w:sz w:val="20"/>
          <w:szCs w:val="20"/>
        </w:rPr>
        <w:t xml:space="preserve"> VKU Who we are </w:t>
      </w:r>
      <w:hyperlink r:id="rId13" w:history="1">
        <w:r w:rsidRPr="00A559E6">
          <w:rPr>
            <w:rStyle w:val="Hyperlink"/>
            <w:sz w:val="20"/>
            <w:szCs w:val="20"/>
          </w:rPr>
          <w:t>http://www.vku.de/en/ueber-uns.html</w:t>
        </w:r>
      </w:hyperlink>
      <w:r w:rsidRPr="00A559E6">
        <w:rPr>
          <w:sz w:val="20"/>
          <w:szCs w:val="20"/>
        </w:rPr>
        <w:t xml:space="preserve">  ; for the campaign, see </w:t>
      </w:r>
      <w:hyperlink r:id="rId14" w:history="1">
        <w:r w:rsidRPr="00A559E6">
          <w:rPr>
            <w:rStyle w:val="Hyperlink"/>
            <w:sz w:val="20"/>
            <w:szCs w:val="20"/>
          </w:rPr>
          <w:t>http://www.meine-stadtwerke.de/</w:t>
        </w:r>
      </w:hyperlink>
    </w:p>
  </w:endnote>
  <w:endnote w:id="13">
    <w:p w:rsidR="00CA0F7F" w:rsidRPr="00A559E6" w:rsidRDefault="00CA0F7F" w:rsidP="00F46175">
      <w:pPr>
        <w:rPr>
          <w:sz w:val="20"/>
          <w:szCs w:val="20"/>
        </w:rPr>
      </w:pPr>
      <w:r w:rsidRPr="00A559E6">
        <w:rPr>
          <w:rStyle w:val="EndnoteReference"/>
          <w:sz w:val="20"/>
          <w:szCs w:val="20"/>
        </w:rPr>
        <w:endnoteRef/>
      </w:r>
      <w:r w:rsidRPr="00A559E6">
        <w:rPr>
          <w:sz w:val="20"/>
          <w:szCs w:val="20"/>
        </w:rPr>
        <w:t xml:space="preserve"> Global Power Report September 8, 2011 German muni </w:t>
      </w:r>
      <w:proofErr w:type="spellStart"/>
      <w:r w:rsidRPr="00A559E6">
        <w:rPr>
          <w:sz w:val="20"/>
          <w:szCs w:val="20"/>
        </w:rPr>
        <w:t>Trianel</w:t>
      </w:r>
      <w:proofErr w:type="spellEnd"/>
      <w:r w:rsidRPr="00A559E6">
        <w:rPr>
          <w:sz w:val="20"/>
          <w:szCs w:val="20"/>
        </w:rPr>
        <w:t xml:space="preserve"> starts construction of 200-MW offshore wind farm in North Sea ; 11.05.2012 TrianelbeteiligtsichanbundesweiterStadtwerkekampagneStadtwerkegestalten die Energiewende</w:t>
      </w:r>
      <w:hyperlink r:id="rId15" w:history="1">
        <w:r w:rsidRPr="00A559E6">
          <w:rPr>
            <w:rStyle w:val="Hyperlink"/>
            <w:sz w:val="20"/>
            <w:szCs w:val="20"/>
          </w:rPr>
          <w:t>www.trianel.com/de/pressemeldungen/details/article//stadtwerke-gestalten-die-energ.html</w:t>
        </w:r>
      </w:hyperlink>
    </w:p>
  </w:endnote>
  <w:endnote w:id="14">
    <w:p w:rsidR="00CA0F7F" w:rsidRPr="00C83D9A" w:rsidRDefault="00CA0F7F" w:rsidP="00F46175">
      <w:pPr>
        <w:pStyle w:val="EndnoteText"/>
      </w:pPr>
      <w:r w:rsidRPr="00C83D9A">
        <w:rPr>
          <w:rStyle w:val="EndnoteReference"/>
        </w:rPr>
        <w:endnoteRef/>
      </w:r>
      <w:r w:rsidRPr="00C83D9A">
        <w:t xml:space="preserve"> States News Service, July 16, 2013 International Monetary Fund concludes Article IV consultation with Belize</w:t>
      </w:r>
    </w:p>
  </w:endnote>
  <w:endnote w:id="15">
    <w:p w:rsidR="00CA0F7F" w:rsidRPr="00C83D9A" w:rsidRDefault="00CA0F7F" w:rsidP="00F46175">
      <w:pPr>
        <w:pStyle w:val="EndnoteText"/>
      </w:pPr>
      <w:r w:rsidRPr="00C83D9A">
        <w:rPr>
          <w:rStyle w:val="EndnoteReference"/>
        </w:rPr>
        <w:endnoteRef/>
      </w:r>
      <w:r w:rsidRPr="00C83D9A">
        <w:t xml:space="preserve"> </w:t>
      </w:r>
      <w:r w:rsidRPr="00FF5CA5">
        <w:t xml:space="preserve">La </w:t>
      </w:r>
      <w:proofErr w:type="spellStart"/>
      <w:r w:rsidRPr="00FF5CA5">
        <w:t>Nacion</w:t>
      </w:r>
      <w:proofErr w:type="spellEnd"/>
      <w:r w:rsidRPr="00FF5CA5">
        <w:t xml:space="preserve"> (Argentina)</w:t>
      </w:r>
      <w:r>
        <w:t xml:space="preserve"> </w:t>
      </w:r>
      <w:bookmarkStart w:id="15" w:name="ORIGHIT_1"/>
      <w:bookmarkStart w:id="16" w:name="HIT_1"/>
      <w:bookmarkEnd w:id="15"/>
      <w:bookmarkEnd w:id="16"/>
      <w:r w:rsidRPr="00FF5CA5">
        <w:t>September 2, 2009 Wednesday</w:t>
      </w:r>
      <w:r>
        <w:t xml:space="preserve"> </w:t>
      </w:r>
      <w:r w:rsidRPr="00FF5CA5">
        <w:t>Argentina: Catamarca nationalises energy company</w:t>
      </w:r>
      <w:r>
        <w:t xml:space="preserve">; </w:t>
      </w:r>
      <w:proofErr w:type="spellStart"/>
      <w:r w:rsidRPr="00C83D9A">
        <w:t>Diario</w:t>
      </w:r>
      <w:proofErr w:type="spellEnd"/>
      <w:r w:rsidRPr="00C83D9A">
        <w:t xml:space="preserve"> de </w:t>
      </w:r>
      <w:proofErr w:type="spellStart"/>
      <w:r w:rsidRPr="00C83D9A">
        <w:t>Cuyo</w:t>
      </w:r>
      <w:proofErr w:type="spellEnd"/>
      <w:r w:rsidRPr="00C83D9A">
        <w:t xml:space="preserve"> July 29, 2013 Monday Argentina: </w:t>
      </w:r>
      <w:proofErr w:type="spellStart"/>
      <w:r w:rsidRPr="00C83D9A">
        <w:t>Edelar</w:t>
      </w:r>
      <w:proofErr w:type="spellEnd"/>
      <w:r w:rsidRPr="00C83D9A">
        <w:t xml:space="preserve"> is nationalised</w:t>
      </w:r>
    </w:p>
  </w:endnote>
  <w:endnote w:id="16">
    <w:p w:rsidR="00CA0F7F" w:rsidRPr="00C83D9A" w:rsidRDefault="00CA0F7F" w:rsidP="00F46175">
      <w:pPr>
        <w:pStyle w:val="EndnoteText"/>
      </w:pPr>
      <w:r w:rsidRPr="00C83D9A">
        <w:rPr>
          <w:rStyle w:val="EndnoteReference"/>
        </w:rPr>
        <w:endnoteRef/>
      </w:r>
      <w:r w:rsidRPr="00C83D9A">
        <w:t xml:space="preserve"> </w:t>
      </w:r>
      <w:proofErr w:type="spellStart"/>
      <w:r w:rsidRPr="00C83D9A">
        <w:t>SeeNews</w:t>
      </w:r>
      <w:proofErr w:type="spellEnd"/>
      <w:r w:rsidRPr="00C83D9A">
        <w:t xml:space="preserve"> Latin America</w:t>
      </w:r>
      <w:r>
        <w:t xml:space="preserve"> </w:t>
      </w:r>
      <w:r w:rsidRPr="00C83D9A">
        <w:t xml:space="preserve">June 5, 2013 Wednesday 6:43 PM EEST </w:t>
      </w:r>
      <w:r>
        <w:t xml:space="preserve"> </w:t>
      </w:r>
      <w:r w:rsidRPr="00C83D9A">
        <w:t xml:space="preserve">Argentine regulator stops monitoring </w:t>
      </w:r>
      <w:proofErr w:type="spellStart"/>
      <w:r w:rsidRPr="00C83D9A">
        <w:t>Metrogas</w:t>
      </w:r>
      <w:proofErr w:type="spellEnd"/>
    </w:p>
  </w:endnote>
  <w:endnote w:id="17">
    <w:p w:rsidR="00CA0F7F" w:rsidRDefault="00CA0F7F" w:rsidP="00F46175">
      <w:pPr>
        <w:pStyle w:val="EndnoteText"/>
      </w:pPr>
      <w:r>
        <w:rPr>
          <w:rStyle w:val="EndnoteReference"/>
        </w:rPr>
        <w:endnoteRef/>
      </w:r>
      <w:r>
        <w:t xml:space="preserve"> </w:t>
      </w:r>
      <w:proofErr w:type="spellStart"/>
      <w:r w:rsidRPr="00B742CE">
        <w:t>Dagdeviren</w:t>
      </w:r>
      <w:proofErr w:type="spellEnd"/>
      <w:r w:rsidRPr="00B742CE">
        <w:t xml:space="preserve">, </w:t>
      </w:r>
      <w:proofErr w:type="spellStart"/>
      <w:r w:rsidRPr="00B742CE">
        <w:t>Hulya</w:t>
      </w:r>
      <w:proofErr w:type="spellEnd"/>
      <w:r w:rsidRPr="00B742CE">
        <w:t>. 2011. ‘Crisis, Sustainability of Electricity Prices and State Interventions in Argentina’.</w:t>
      </w:r>
      <w:r>
        <w:t xml:space="preserve"> </w:t>
      </w:r>
      <w:r w:rsidRPr="00B742CE">
        <w:rPr>
          <w:i/>
          <w:iCs/>
        </w:rPr>
        <w:t>Industrial and Corporate Change</w:t>
      </w:r>
      <w:r w:rsidRPr="00B742CE">
        <w:t xml:space="preserve"> (August 3): dtr044. doi:10.1093/</w:t>
      </w:r>
      <w:proofErr w:type="spellStart"/>
      <w:r w:rsidRPr="00B742CE">
        <w:t>icc</w:t>
      </w:r>
      <w:proofErr w:type="spellEnd"/>
      <w:r w:rsidRPr="00B742CE">
        <w:t>/dtr044.</w:t>
      </w:r>
      <w:r>
        <w:t xml:space="preserve"> </w:t>
      </w:r>
      <w:hyperlink r:id="rId16" w:history="1">
        <w:r w:rsidRPr="00E64A0C">
          <w:rPr>
            <w:rStyle w:val="Hyperlink"/>
          </w:rPr>
          <w:t>http://icc.oxfordjournals.org/content/early/2011/08/03/icc.dtr044</w:t>
        </w:r>
      </w:hyperlink>
      <w:r>
        <w:t xml:space="preserve"> </w:t>
      </w:r>
    </w:p>
  </w:endnote>
  <w:endnote w:id="18">
    <w:p w:rsidR="00CA0F7F" w:rsidRPr="00C83D9A" w:rsidRDefault="00CA0F7F" w:rsidP="00F46175">
      <w:pPr>
        <w:pStyle w:val="EndnoteText"/>
      </w:pPr>
      <w:r w:rsidRPr="00C83D9A">
        <w:rPr>
          <w:rStyle w:val="EndnoteReference"/>
        </w:rPr>
        <w:endnoteRef/>
      </w:r>
      <w:r w:rsidRPr="00C83D9A">
        <w:t xml:space="preserve"> El </w:t>
      </w:r>
      <w:proofErr w:type="spellStart"/>
      <w:r w:rsidRPr="00C83D9A">
        <w:t>Cronista</w:t>
      </w:r>
      <w:proofErr w:type="spellEnd"/>
      <w:r>
        <w:t xml:space="preserve"> </w:t>
      </w:r>
      <w:r w:rsidRPr="00C83D9A">
        <w:t xml:space="preserve">May 7, 2013 </w:t>
      </w:r>
      <w:proofErr w:type="spellStart"/>
      <w:r w:rsidRPr="00C83D9A">
        <w:t>TuesdayArgentina</w:t>
      </w:r>
      <w:proofErr w:type="spellEnd"/>
      <w:r w:rsidRPr="00C83D9A">
        <w:t xml:space="preserve">: YPF gets its hands on all of </w:t>
      </w:r>
      <w:proofErr w:type="spellStart"/>
      <w:r w:rsidRPr="00C83D9A">
        <w:t>Metrogas</w:t>
      </w:r>
      <w:proofErr w:type="spellEnd"/>
      <w:r w:rsidRPr="00C83D9A">
        <w:t xml:space="preserve"> at last</w:t>
      </w:r>
    </w:p>
  </w:endnote>
  <w:endnote w:id="19">
    <w:p w:rsidR="00CA0F7F" w:rsidRPr="00C83D9A" w:rsidRDefault="00CA0F7F" w:rsidP="00F46175">
      <w:pPr>
        <w:pStyle w:val="EndnoteText"/>
      </w:pPr>
      <w:r w:rsidRPr="00C83D9A">
        <w:rPr>
          <w:rStyle w:val="EndnoteReference"/>
        </w:rPr>
        <w:endnoteRef/>
      </w:r>
      <w:r w:rsidRPr="00C83D9A">
        <w:t xml:space="preserve"> </w:t>
      </w:r>
      <w:proofErr w:type="spellStart"/>
      <w:r w:rsidRPr="00C83D9A">
        <w:t>Diario</w:t>
      </w:r>
      <w:proofErr w:type="spellEnd"/>
      <w:r w:rsidRPr="00C83D9A">
        <w:t xml:space="preserve"> de </w:t>
      </w:r>
      <w:proofErr w:type="spellStart"/>
      <w:r w:rsidRPr="00C83D9A">
        <w:t>Cuyo</w:t>
      </w:r>
      <w:proofErr w:type="spellEnd"/>
      <w:r w:rsidRPr="00C83D9A">
        <w:t xml:space="preserve"> </w:t>
      </w:r>
      <w:r w:rsidRPr="00C83D9A">
        <w:br/>
        <w:t xml:space="preserve">July 29, 2013 Monday </w:t>
      </w:r>
      <w:r w:rsidRPr="00C83D9A">
        <w:br/>
        <w:t xml:space="preserve">Argentina: </w:t>
      </w:r>
      <w:proofErr w:type="spellStart"/>
      <w:r w:rsidRPr="00C83D9A">
        <w:t>Edelar</w:t>
      </w:r>
      <w:proofErr w:type="spellEnd"/>
      <w:r w:rsidRPr="00C83D9A">
        <w:t xml:space="preserve"> is nationalised</w:t>
      </w:r>
    </w:p>
  </w:endnote>
  <w:endnote w:id="20">
    <w:p w:rsidR="00CA0F7F" w:rsidRPr="00C83D9A" w:rsidRDefault="00CA0F7F" w:rsidP="00F46175">
      <w:pPr>
        <w:pStyle w:val="EndnoteText"/>
      </w:pPr>
      <w:r w:rsidRPr="00C83D9A">
        <w:rPr>
          <w:rStyle w:val="EndnoteReference"/>
        </w:rPr>
        <w:endnoteRef/>
      </w:r>
      <w:r w:rsidRPr="00C83D9A">
        <w:t xml:space="preserve"> </w:t>
      </w:r>
      <w:proofErr w:type="spellStart"/>
      <w:r w:rsidRPr="00C83D9A">
        <w:t>Enerdata</w:t>
      </w:r>
      <w:proofErr w:type="spellEnd"/>
      <w:r w:rsidRPr="00C83D9A">
        <w:t xml:space="preserve"> 03 January 2013 - Bolivia nationalises </w:t>
      </w:r>
      <w:proofErr w:type="spellStart"/>
      <w:r w:rsidRPr="00C83D9A">
        <w:t>Iberdrola's</w:t>
      </w:r>
      <w:proofErr w:type="spellEnd"/>
      <w:r w:rsidRPr="00C83D9A">
        <w:t xml:space="preserve"> power distribution subsidiaries </w:t>
      </w:r>
      <w:hyperlink r:id="rId17" w:history="1">
        <w:r w:rsidRPr="00C83D9A">
          <w:rPr>
            <w:rStyle w:val="Hyperlink"/>
          </w:rPr>
          <w:t>http://www.enerdata.net/enerdatauk/press-and-publication/energy-news-001/bolivia-nationalises-iberdrolas-power-distribution-subsidiaries_15444.html</w:t>
        </w:r>
      </w:hyperlink>
      <w:r w:rsidRPr="00C83D9A">
        <w:t xml:space="preserve"> </w:t>
      </w:r>
    </w:p>
  </w:endnote>
  <w:endnote w:id="21">
    <w:p w:rsidR="00CA0F7F" w:rsidRPr="00C83D9A" w:rsidRDefault="00CA0F7F" w:rsidP="00F46175">
      <w:pPr>
        <w:pStyle w:val="EndnoteText"/>
      </w:pPr>
      <w:r w:rsidRPr="00C83D9A">
        <w:rPr>
          <w:rStyle w:val="EndnoteReference"/>
        </w:rPr>
        <w:endnoteRef/>
      </w:r>
      <w:r w:rsidRPr="00C83D9A">
        <w:t xml:space="preserve"> El </w:t>
      </w:r>
      <w:proofErr w:type="spellStart"/>
      <w:r w:rsidRPr="00C83D9A">
        <w:t>Deber</w:t>
      </w:r>
      <w:proofErr w:type="spellEnd"/>
      <w:r>
        <w:t xml:space="preserve"> </w:t>
      </w:r>
      <w:r w:rsidRPr="00C83D9A">
        <w:t>July 8, 2013 Monday</w:t>
      </w:r>
      <w:r>
        <w:t xml:space="preserve"> </w:t>
      </w:r>
      <w:r w:rsidRPr="00C83D9A">
        <w:t>Bolivia: Governments wants full control of eight firms</w:t>
      </w:r>
      <w:r>
        <w:t xml:space="preserve"> </w:t>
      </w:r>
    </w:p>
  </w:endnote>
  <w:endnote w:id="22">
    <w:p w:rsidR="00CA0F7F" w:rsidRPr="00C83D9A" w:rsidRDefault="00CA0F7F" w:rsidP="00F46175">
      <w:pPr>
        <w:pStyle w:val="EndnoteText"/>
      </w:pPr>
      <w:r w:rsidRPr="00C83D9A">
        <w:rPr>
          <w:rStyle w:val="EndnoteReference"/>
        </w:rPr>
        <w:endnoteRef/>
      </w:r>
      <w:r w:rsidRPr="00C83D9A">
        <w:t xml:space="preserve"> IHS Global Insight</w:t>
      </w:r>
      <w:r>
        <w:t xml:space="preserve"> </w:t>
      </w:r>
      <w:r w:rsidRPr="00C83D9A">
        <w:t>June 13, 2013</w:t>
      </w:r>
      <w:r>
        <w:t xml:space="preserve"> </w:t>
      </w:r>
      <w:r w:rsidRPr="00C83D9A">
        <w:t>Government of Belize assumes control of offshore company registries</w:t>
      </w:r>
    </w:p>
  </w:endnote>
  <w:endnote w:id="23">
    <w:p w:rsidR="00CA0F7F" w:rsidRDefault="00CA0F7F" w:rsidP="00F46175">
      <w:pPr>
        <w:pStyle w:val="EndnoteText"/>
      </w:pPr>
      <w:r>
        <w:rPr>
          <w:rStyle w:val="EndnoteReference"/>
        </w:rPr>
        <w:endnoteRef/>
      </w:r>
      <w:r>
        <w:t xml:space="preserve"> </w:t>
      </w:r>
      <w:proofErr w:type="spellStart"/>
      <w:r w:rsidRPr="000321C8">
        <w:t>Valor</w:t>
      </w:r>
      <w:proofErr w:type="spellEnd"/>
      <w:r w:rsidRPr="000321C8">
        <w:t xml:space="preserve"> </w:t>
      </w:r>
      <w:proofErr w:type="spellStart"/>
      <w:r w:rsidRPr="000321C8">
        <w:t>Economico</w:t>
      </w:r>
      <w:proofErr w:type="spellEnd"/>
      <w:r>
        <w:t xml:space="preserve"> </w:t>
      </w:r>
      <w:r w:rsidRPr="000321C8">
        <w:t>September 10, 2013 Tuesday</w:t>
      </w:r>
      <w:r>
        <w:t xml:space="preserve"> </w:t>
      </w:r>
      <w:r w:rsidRPr="000321C8">
        <w:t xml:space="preserve">Brazil: Court approves </w:t>
      </w:r>
      <w:proofErr w:type="spellStart"/>
      <w:r w:rsidRPr="000321C8">
        <w:t>Energisa's</w:t>
      </w:r>
      <w:proofErr w:type="spellEnd"/>
      <w:r w:rsidRPr="000321C8">
        <w:t xml:space="preserve"> acquisition plan for </w:t>
      </w:r>
      <w:proofErr w:type="spellStart"/>
      <w:r w:rsidRPr="000321C8">
        <w:t>Rede</w:t>
      </w:r>
      <w:proofErr w:type="spellEnd"/>
      <w:r w:rsidRPr="000321C8">
        <w:t xml:space="preserve"> </w:t>
      </w:r>
      <w:proofErr w:type="spellStart"/>
      <w:r w:rsidRPr="000321C8">
        <w:t>Energia</w:t>
      </w:r>
      <w:proofErr w:type="spellEnd"/>
      <w:r>
        <w:t xml:space="preserve">; </w:t>
      </w:r>
      <w:proofErr w:type="spellStart"/>
      <w:r w:rsidRPr="000321C8">
        <w:t>Valor</w:t>
      </w:r>
      <w:proofErr w:type="spellEnd"/>
      <w:r w:rsidRPr="000321C8">
        <w:t xml:space="preserve"> </w:t>
      </w:r>
      <w:proofErr w:type="spellStart"/>
      <w:r w:rsidRPr="000321C8">
        <w:t>Economico</w:t>
      </w:r>
      <w:proofErr w:type="spellEnd"/>
      <w:r>
        <w:t xml:space="preserve"> </w:t>
      </w:r>
      <w:r w:rsidRPr="000321C8">
        <w:t>September 3, 2012 Monday</w:t>
      </w:r>
      <w:r>
        <w:t xml:space="preserve"> </w:t>
      </w:r>
      <w:r w:rsidRPr="000321C8">
        <w:t xml:space="preserve">Brazil: </w:t>
      </w:r>
      <w:proofErr w:type="spellStart"/>
      <w:r w:rsidRPr="000321C8">
        <w:t>Aneel</w:t>
      </w:r>
      <w:proofErr w:type="spellEnd"/>
      <w:r w:rsidRPr="000321C8">
        <w:t xml:space="preserve"> takes over management of </w:t>
      </w:r>
      <w:proofErr w:type="spellStart"/>
      <w:r w:rsidRPr="000321C8">
        <w:t>Rede</w:t>
      </w:r>
      <w:proofErr w:type="spellEnd"/>
      <w:r w:rsidRPr="000321C8">
        <w:t xml:space="preserve"> operators</w:t>
      </w:r>
    </w:p>
  </w:endnote>
  <w:endnote w:id="24">
    <w:p w:rsidR="00CA0F7F" w:rsidRPr="00B249B2" w:rsidRDefault="00CA0F7F" w:rsidP="003044F4">
      <w:pPr>
        <w:pStyle w:val="EndnoteText"/>
      </w:pPr>
      <w:r>
        <w:rPr>
          <w:rStyle w:val="EndnoteReference"/>
        </w:rPr>
        <w:endnoteRef/>
      </w:r>
      <w:r w:rsidRPr="00B249B2">
        <w:t xml:space="preserve"> </w:t>
      </w:r>
      <w:hyperlink r:id="rId18" w:history="1">
        <w:r w:rsidRPr="00B249B2">
          <w:rPr>
            <w:rStyle w:val="Hyperlink"/>
          </w:rPr>
          <w:t>http://library.prospect.org.uk/id/2012/00717</w:t>
        </w:r>
      </w:hyperlink>
      <w:r w:rsidRPr="00B249B2">
        <w:t xml:space="preserve"> ;   </w:t>
      </w:r>
      <w:hyperlink r:id="rId19" w:history="1">
        <w:r w:rsidRPr="00B249B2">
          <w:rPr>
            <w:rStyle w:val="Hyperlink"/>
          </w:rPr>
          <w:t>http://www.the-star.co.ke/news/article-46087/ketawu-issues-strike-notice-over-hiring-casuals</w:t>
        </w:r>
      </w:hyperlink>
      <w:r w:rsidRPr="00B249B2">
        <w:t xml:space="preserve"> ; Daily Nation (Kenya)</w:t>
      </w:r>
      <w:r>
        <w:t xml:space="preserve"> </w:t>
      </w:r>
      <w:r w:rsidRPr="00B249B2">
        <w:t>September 11, 2013 Wednesday</w:t>
      </w:r>
      <w:r>
        <w:t xml:space="preserve"> </w:t>
      </w:r>
      <w:r w:rsidRPr="00B249B2">
        <w:t>Kenya Power seeks users of planned 5,000MW</w:t>
      </w:r>
      <w:r>
        <w:t xml:space="preserve"> ; 3</w:t>
      </w:r>
      <w:r w:rsidRPr="003044F4">
        <w:rPr>
          <w:vertAlign w:val="superscript"/>
        </w:rPr>
        <w:t>rd</w:t>
      </w:r>
      <w:r>
        <w:t xml:space="preserve"> Draft Republic of Kenya </w:t>
      </w:r>
      <w:r w:rsidRPr="003044F4">
        <w:t xml:space="preserve"> </w:t>
      </w:r>
      <w:r w:rsidRPr="003044F4">
        <w:rPr>
          <w:b/>
          <w:bCs/>
        </w:rPr>
        <w:t xml:space="preserve">NATIONAL ENERGY POLICY </w:t>
      </w:r>
      <w:r>
        <w:rPr>
          <w:b/>
          <w:bCs/>
        </w:rPr>
        <w:t xml:space="preserve"> </w:t>
      </w:r>
      <w:r w:rsidRPr="003044F4">
        <w:rPr>
          <w:b/>
          <w:bCs/>
        </w:rPr>
        <w:t>MAY 11, 2012</w:t>
      </w:r>
    </w:p>
  </w:endnote>
  <w:endnote w:id="25">
    <w:p w:rsidR="00CA0F7F" w:rsidRDefault="00CA0F7F" w:rsidP="005D26ED">
      <w:pPr>
        <w:pStyle w:val="EndnoteText"/>
      </w:pPr>
      <w:r>
        <w:rPr>
          <w:rStyle w:val="EndnoteReference"/>
        </w:rPr>
        <w:endnoteRef/>
      </w:r>
      <w:r>
        <w:t xml:space="preserve"> Pakistan The Nation </w:t>
      </w:r>
      <w:r w:rsidRPr="0069124C">
        <w:t>October 27, 2011</w:t>
      </w:r>
      <w:r>
        <w:t xml:space="preserve"> </w:t>
      </w:r>
      <w:r w:rsidRPr="0069124C">
        <w:t xml:space="preserve">KESC nationalisation to end power outages </w:t>
      </w:r>
      <w:hyperlink r:id="rId20" w:history="1">
        <w:r w:rsidRPr="00E64A0C">
          <w:rPr>
            <w:rStyle w:val="Hyperlink"/>
          </w:rPr>
          <w:t>http://www.nation.com.pk/pakistan-news-newspaper-daily-english-online/national/27-Oct-2011/KESC-nationalisation-to--end-power-outages</w:t>
        </w:r>
      </w:hyperlink>
      <w:r>
        <w:t xml:space="preserve"> ; </w:t>
      </w:r>
      <w:hyperlink r:id="rId21" w:history="1">
        <w:r w:rsidRPr="00E64A0C">
          <w:rPr>
            <w:rStyle w:val="Hyperlink"/>
          </w:rPr>
          <w:t>http://www.abraaj.com/about-us/our-investors</w:t>
        </w:r>
      </w:hyperlink>
    </w:p>
  </w:endnote>
  <w:endnote w:id="26">
    <w:p w:rsidR="00CA0F7F" w:rsidRPr="001512A0" w:rsidRDefault="00CA0F7F" w:rsidP="005D26ED">
      <w:pPr>
        <w:pStyle w:val="EndnoteText"/>
        <w:rPr>
          <w:lang w:val="nl-BE"/>
        </w:rPr>
      </w:pPr>
      <w:r>
        <w:rPr>
          <w:rStyle w:val="EndnoteReference"/>
        </w:rPr>
        <w:endnoteRef/>
      </w:r>
      <w:r>
        <w:t xml:space="preserve"> </w:t>
      </w:r>
      <w:r w:rsidRPr="001512A0">
        <w:rPr>
          <w:lang w:val="en"/>
        </w:rPr>
        <w:t>TUED August 2013 Massive Blackout in Philippines to Force Privatization Backfires, say Unions and Community Groups</w:t>
      </w:r>
      <w:r>
        <w:rPr>
          <w:lang w:val="en"/>
        </w:rPr>
        <w:t xml:space="preserve"> </w:t>
      </w:r>
      <w:hyperlink r:id="rId22" w:history="1">
        <w:r w:rsidRPr="001512A0">
          <w:rPr>
            <w:rStyle w:val="Hyperlink"/>
            <w:lang w:val="nl-BE"/>
          </w:rPr>
          <w:t>http://energydemocracyinitiative.org/massive-blackout-in-philippines-to-force-privatization-backfires-say-unions-and-community-groups/</w:t>
        </w:r>
      </w:hyperlink>
      <w:r w:rsidRPr="001512A0">
        <w:rPr>
          <w:lang w:val="nl-BE"/>
        </w:rPr>
        <w:t xml:space="preserve"> </w:t>
      </w:r>
    </w:p>
  </w:endnote>
  <w:endnote w:id="27">
    <w:p w:rsidR="00CA0F7F" w:rsidRPr="001512A0" w:rsidRDefault="00CA0F7F" w:rsidP="005D26ED">
      <w:pPr>
        <w:pStyle w:val="EndnoteText"/>
        <w:rPr>
          <w:i/>
        </w:rPr>
      </w:pPr>
      <w:r>
        <w:rPr>
          <w:rStyle w:val="EndnoteReference"/>
        </w:rPr>
        <w:endnoteRef/>
      </w:r>
      <w:r>
        <w:t xml:space="preserve"> </w:t>
      </w:r>
      <w:r w:rsidRPr="001512A0">
        <w:rPr>
          <w:b/>
          <w:bCs/>
          <w:i/>
        </w:rPr>
        <w:t xml:space="preserve">Supreme Court Resolution, Third Division (G.R. No. 156208, 02 December 2009) </w:t>
      </w:r>
      <w:hyperlink r:id="rId23" w:history="1">
        <w:r w:rsidRPr="001512A0">
          <w:rPr>
            <w:rStyle w:val="Hyperlink"/>
            <w:i/>
          </w:rPr>
          <w:t>http://sc.judiciary.gov.ph/jurisprudence/2009/december2009/156208.htm</w:t>
        </w:r>
      </w:hyperlink>
      <w:r w:rsidRPr="001512A0">
        <w:rPr>
          <w:i/>
        </w:rPr>
        <w:t xml:space="preserve"> ;  PSALM needs P34.7-B to settle, Claims of terminated </w:t>
      </w:r>
      <w:proofErr w:type="spellStart"/>
      <w:r w:rsidRPr="001512A0">
        <w:rPr>
          <w:i/>
        </w:rPr>
        <w:t>Napocor</w:t>
      </w:r>
      <w:proofErr w:type="spellEnd"/>
      <w:r w:rsidRPr="001512A0">
        <w:rPr>
          <w:i/>
        </w:rPr>
        <w:t xml:space="preserve"> employees, Myrna M. Velasco, Manila Bulletin, January 12, 2012 </w:t>
      </w:r>
    </w:p>
  </w:endnote>
  <w:endnote w:id="28">
    <w:p w:rsidR="00CA0F7F" w:rsidRPr="00F077B0" w:rsidRDefault="00CA0F7F" w:rsidP="00F077B0">
      <w:pPr>
        <w:pStyle w:val="EndnoteText"/>
        <w:rPr>
          <w:bCs/>
          <w:lang w:val="fr-FR"/>
        </w:rPr>
      </w:pPr>
      <w:r>
        <w:rPr>
          <w:rStyle w:val="EndnoteReference"/>
        </w:rPr>
        <w:endnoteRef/>
      </w:r>
      <w:r w:rsidRPr="00F077B0">
        <w:rPr>
          <w:lang w:val="fr-FR"/>
        </w:rPr>
        <w:t xml:space="preserve"> </w:t>
      </w:r>
      <w:r w:rsidRPr="00F077B0">
        <w:rPr>
          <w:bCs/>
          <w:lang w:val="fr-FR"/>
        </w:rPr>
        <w:t>Leaders 2013-07-05</w:t>
      </w:r>
      <w:r w:rsidRPr="00F077B0">
        <w:rPr>
          <w:lang w:val="fr-FR"/>
        </w:rPr>
        <w:t xml:space="preserve"> Ce que les chefs d'entreprise français demandent à la Tunisie</w:t>
      </w:r>
    </w:p>
    <w:p w:rsidR="00CA0F7F" w:rsidRPr="00B249B2" w:rsidRDefault="00481168" w:rsidP="00F077B0">
      <w:pPr>
        <w:pStyle w:val="EndnoteText"/>
        <w:rPr>
          <w:lang w:val="fr-FR"/>
        </w:rPr>
      </w:pPr>
      <w:r>
        <w:fldChar w:fldCharType="begin"/>
      </w:r>
      <w:r w:rsidRPr="00F66C5F">
        <w:rPr>
          <w:lang w:val="fr-FR"/>
        </w:rPr>
        <w:instrText xml:space="preserve"> HYPERLINK "http://www.leaders.com.tn/article/ce-que-les-chefs-d-entreprise-francais-ont-demande-a-la-tunisie?id=11783&amp;nuid=46646&amp;did=146" </w:instrText>
      </w:r>
      <w:r>
        <w:fldChar w:fldCharType="separate"/>
      </w:r>
      <w:r w:rsidR="00CA0F7F" w:rsidRPr="00F077B0">
        <w:rPr>
          <w:rStyle w:val="Hyperlink"/>
          <w:lang w:val="fr-FR"/>
        </w:rPr>
        <w:t>http://www.leaders.com.tn/article/ce-que-les-chefs-d-entreprise-francais-ont-demande-a-la-tunisie?id=11783&amp;nuid=46646&amp;did=146</w:t>
      </w:r>
      <w:r>
        <w:rPr>
          <w:rStyle w:val="Hyperlink"/>
          <w:lang w:val="fr-FR"/>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F7F" w:rsidRDefault="00CA0F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F7F" w:rsidRPr="00652411" w:rsidRDefault="00CA0F7F" w:rsidP="00814BF3">
    <w:pPr>
      <w:pStyle w:val="Footer"/>
      <w:pBdr>
        <w:top w:val="single" w:sz="4" w:space="1" w:color="FF0000"/>
      </w:pBdr>
      <w:jc w:val="center"/>
      <w:rPr>
        <w:rFonts w:cs="Lucida Sans Unicode"/>
        <w:sz w:val="16"/>
        <w:szCs w:val="16"/>
      </w:rPr>
    </w:pPr>
    <w:r w:rsidRPr="00652411">
      <w:rPr>
        <w:rFonts w:cs="Lucida Sans Unicode"/>
        <w:sz w:val="16"/>
        <w:szCs w:val="16"/>
      </w:rPr>
      <w:fldChar w:fldCharType="begin"/>
    </w:r>
    <w:r w:rsidRPr="00652411">
      <w:rPr>
        <w:rFonts w:cs="Lucida Sans Unicode"/>
        <w:sz w:val="16"/>
        <w:szCs w:val="16"/>
      </w:rPr>
      <w:instrText xml:space="preserve"> DATE \@ "dd/MM/yyyy" </w:instrText>
    </w:r>
    <w:r w:rsidRPr="00652411">
      <w:rPr>
        <w:rFonts w:cs="Lucida Sans Unicode"/>
        <w:sz w:val="16"/>
        <w:szCs w:val="16"/>
      </w:rPr>
      <w:fldChar w:fldCharType="separate"/>
    </w:r>
    <w:r w:rsidR="00F66C5F">
      <w:rPr>
        <w:rFonts w:cs="Lucida Sans Unicode"/>
        <w:noProof/>
        <w:sz w:val="16"/>
        <w:szCs w:val="16"/>
      </w:rPr>
      <w:t>18/05/2014</w:t>
    </w:r>
    <w:r w:rsidRPr="00652411">
      <w:rPr>
        <w:rFonts w:cs="Lucida Sans Unicode"/>
        <w:sz w:val="16"/>
        <w:szCs w:val="16"/>
      </w:rPr>
      <w:fldChar w:fldCharType="end"/>
    </w:r>
    <w:r w:rsidRPr="00652411">
      <w:rPr>
        <w:rFonts w:cs="Lucida Sans Unicode"/>
        <w:sz w:val="16"/>
        <w:szCs w:val="16"/>
      </w:rPr>
      <w:tab/>
    </w:r>
    <w:r w:rsidRPr="00652411">
      <w:rPr>
        <w:rFonts w:cs="Lucida Sans Unicode"/>
        <w:sz w:val="16"/>
        <w:szCs w:val="16"/>
      </w:rPr>
      <w:tab/>
      <w:t xml:space="preserve">Page </w:t>
    </w:r>
    <w:r w:rsidRPr="00652411">
      <w:rPr>
        <w:rFonts w:cs="Lucida Sans Unicode"/>
        <w:sz w:val="16"/>
        <w:szCs w:val="16"/>
      </w:rPr>
      <w:fldChar w:fldCharType="begin"/>
    </w:r>
    <w:r w:rsidRPr="00652411">
      <w:rPr>
        <w:rFonts w:cs="Lucida Sans Unicode"/>
        <w:sz w:val="16"/>
        <w:szCs w:val="16"/>
      </w:rPr>
      <w:instrText xml:space="preserve"> PAGE </w:instrText>
    </w:r>
    <w:r w:rsidRPr="00652411">
      <w:rPr>
        <w:rFonts w:cs="Lucida Sans Unicode"/>
        <w:sz w:val="16"/>
        <w:szCs w:val="16"/>
      </w:rPr>
      <w:fldChar w:fldCharType="separate"/>
    </w:r>
    <w:r w:rsidR="00F66C5F">
      <w:rPr>
        <w:rFonts w:cs="Lucida Sans Unicode"/>
        <w:noProof/>
        <w:sz w:val="16"/>
        <w:szCs w:val="16"/>
      </w:rPr>
      <w:t>10</w:t>
    </w:r>
    <w:r w:rsidRPr="00652411">
      <w:rPr>
        <w:rFonts w:cs="Lucida Sans Unicode"/>
        <w:sz w:val="16"/>
        <w:szCs w:val="16"/>
      </w:rPr>
      <w:fldChar w:fldCharType="end"/>
    </w:r>
    <w:r w:rsidRPr="00652411">
      <w:rPr>
        <w:rFonts w:cs="Lucida Sans Unicode"/>
        <w:sz w:val="16"/>
        <w:szCs w:val="16"/>
      </w:rPr>
      <w:t xml:space="preserve"> of </w:t>
    </w:r>
    <w:r w:rsidRPr="00652411">
      <w:rPr>
        <w:rFonts w:cs="Lucida Sans Unicode"/>
        <w:sz w:val="16"/>
        <w:szCs w:val="16"/>
      </w:rPr>
      <w:fldChar w:fldCharType="begin"/>
    </w:r>
    <w:r w:rsidRPr="00652411">
      <w:rPr>
        <w:rFonts w:cs="Lucida Sans Unicode"/>
        <w:sz w:val="16"/>
        <w:szCs w:val="16"/>
      </w:rPr>
      <w:instrText xml:space="preserve"> NUMPAGES </w:instrText>
    </w:r>
    <w:r w:rsidRPr="00652411">
      <w:rPr>
        <w:rFonts w:cs="Lucida Sans Unicode"/>
        <w:sz w:val="16"/>
        <w:szCs w:val="16"/>
      </w:rPr>
      <w:fldChar w:fldCharType="separate"/>
    </w:r>
    <w:r w:rsidR="00F66C5F">
      <w:rPr>
        <w:rFonts w:cs="Lucida Sans Unicode"/>
        <w:noProof/>
        <w:sz w:val="16"/>
        <w:szCs w:val="16"/>
      </w:rPr>
      <w:t>10</w:t>
    </w:r>
    <w:r w:rsidRPr="00652411">
      <w:rPr>
        <w:rFonts w:cs="Lucida Sans Unicode"/>
        <w:sz w:val="16"/>
        <w:szCs w:val="16"/>
      </w:rPr>
      <w:fldChar w:fldCharType="end"/>
    </w:r>
    <w:r w:rsidRPr="00652411">
      <w:rPr>
        <w:rFonts w:cs="Lucida Sans Unicode"/>
        <w:sz w:val="16"/>
        <w:szCs w:val="16"/>
      </w:rPr>
      <w:tab/>
    </w:r>
    <w:r w:rsidRPr="00652411">
      <w:rPr>
        <w:rFonts w:cs="Lucida Sans Unicode"/>
        <w:sz w:val="16"/>
        <w:szCs w:val="16"/>
      </w:rPr>
      <w:tab/>
    </w:r>
    <w:r w:rsidRPr="00652411">
      <w:rPr>
        <w:rFonts w:cs="Lucida Sans Unicode"/>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F7F" w:rsidRPr="00602135" w:rsidRDefault="00CA0F7F" w:rsidP="00DD1FC3">
    <w:pPr>
      <w:pBdr>
        <w:top w:val="single" w:sz="4" w:space="1" w:color="auto"/>
        <w:left w:val="single" w:sz="4" w:space="4" w:color="auto"/>
        <w:bottom w:val="single" w:sz="4" w:space="1" w:color="auto"/>
        <w:right w:val="single" w:sz="4" w:space="4" w:color="auto"/>
      </w:pBdr>
      <w:jc w:val="center"/>
      <w:rPr>
        <w:rFonts w:ascii="Calibri" w:hAnsi="Calibri" w:cs="Lucida Sans Unicode"/>
        <w:i/>
        <w:sz w:val="18"/>
        <w:szCs w:val="16"/>
      </w:rPr>
    </w:pPr>
    <w:smartTag w:uri="urn:schemas-microsoft-com:office:smarttags" w:element="PersonName">
      <w:r w:rsidRPr="00602135">
        <w:rPr>
          <w:rFonts w:ascii="Calibri" w:hAnsi="Calibri" w:cs="Lucida Sans Unicode"/>
          <w:b/>
          <w:color w:val="FF0000"/>
          <w:sz w:val="18"/>
          <w:szCs w:val="16"/>
        </w:rPr>
        <w:t>PSIRU</w:t>
      </w:r>
    </w:smartTag>
    <w:r w:rsidRPr="00602135">
      <w:rPr>
        <w:rFonts w:ascii="Calibri" w:hAnsi="Calibri" w:cs="Lucida Sans Unicode"/>
        <w:b/>
        <w:color w:val="FF0000"/>
        <w:sz w:val="18"/>
        <w:szCs w:val="16"/>
      </w:rPr>
      <w:t>, Business School, University of Greenwich, Park Row, London SE10 9LS, U.K.</w:t>
    </w:r>
    <w:r w:rsidRPr="00602135">
      <w:rPr>
        <w:rFonts w:ascii="Calibri" w:hAnsi="Calibri" w:cs="Lucida Sans Unicode"/>
        <w:i/>
        <w:sz w:val="18"/>
        <w:szCs w:val="16"/>
      </w:rPr>
      <w:t xml:space="preserve"> </w:t>
    </w:r>
  </w:p>
  <w:p w:rsidR="00CA0F7F" w:rsidRPr="00602135" w:rsidRDefault="00CA0F7F" w:rsidP="00DD1FC3">
    <w:pPr>
      <w:pBdr>
        <w:top w:val="single" w:sz="4" w:space="1" w:color="auto"/>
        <w:left w:val="single" w:sz="4" w:space="4" w:color="auto"/>
        <w:bottom w:val="single" w:sz="4" w:space="1" w:color="auto"/>
        <w:right w:val="single" w:sz="4" w:space="4" w:color="auto"/>
      </w:pBdr>
      <w:jc w:val="center"/>
      <w:rPr>
        <w:rFonts w:ascii="Calibri" w:hAnsi="Calibri" w:cs="Lucida Sans Unicode"/>
        <w:sz w:val="18"/>
        <w:szCs w:val="16"/>
      </w:rPr>
    </w:pPr>
    <w:r w:rsidRPr="00602135">
      <w:rPr>
        <w:rFonts w:ascii="Calibri" w:hAnsi="Calibri" w:cs="Lucida Sans Unicode"/>
        <w:iCs/>
        <w:sz w:val="18"/>
        <w:szCs w:val="16"/>
      </w:rPr>
      <w:t xml:space="preserve">Website: </w:t>
    </w:r>
    <w:hyperlink r:id="rId1" w:history="1">
      <w:r w:rsidRPr="00602135">
        <w:rPr>
          <w:rStyle w:val="Hyperlink"/>
          <w:rFonts w:ascii="Calibri" w:hAnsi="Calibri" w:cs="Lucida Sans Unicode"/>
          <w:sz w:val="18"/>
          <w:szCs w:val="16"/>
        </w:rPr>
        <w:t>www.psiru.org</w:t>
      </w:r>
    </w:hyperlink>
    <w:r w:rsidRPr="00602135">
      <w:rPr>
        <w:rFonts w:ascii="Calibri" w:hAnsi="Calibri" w:cs="Lucida Sans Unicode"/>
        <w:sz w:val="18"/>
        <w:szCs w:val="16"/>
      </w:rPr>
      <w:t xml:space="preserve">   </w:t>
    </w:r>
    <w:r w:rsidRPr="00602135">
      <w:rPr>
        <w:rFonts w:ascii="Calibri" w:hAnsi="Calibri" w:cs="Lucida Sans Unicode"/>
        <w:i/>
        <w:sz w:val="18"/>
        <w:szCs w:val="16"/>
      </w:rPr>
      <w:t xml:space="preserve">Email: </w:t>
    </w:r>
    <w:hyperlink r:id="rId2" w:history="1">
      <w:r w:rsidRPr="00602135">
        <w:rPr>
          <w:rStyle w:val="Hyperlink"/>
          <w:rFonts w:ascii="Calibri" w:hAnsi="Calibri" w:cs="Lucida Sans Unicode"/>
          <w:sz w:val="18"/>
          <w:szCs w:val="16"/>
        </w:rPr>
        <w:t>psiru@psiru.org</w:t>
      </w:r>
    </w:hyperlink>
    <w:r w:rsidRPr="00602135">
      <w:rPr>
        <w:rFonts w:ascii="Calibri" w:hAnsi="Calibri" w:cs="Lucida Sans Unicode"/>
        <w:iCs/>
        <w:sz w:val="18"/>
        <w:szCs w:val="16"/>
      </w:rPr>
      <w:t xml:space="preserve">  </w:t>
    </w:r>
    <w:r w:rsidRPr="00602135">
      <w:rPr>
        <w:rFonts w:ascii="Calibri" w:hAnsi="Calibri" w:cs="Lucida Sans Unicode"/>
        <w:sz w:val="18"/>
        <w:szCs w:val="16"/>
      </w:rPr>
      <w:t xml:space="preserve">  </w:t>
    </w:r>
    <w:r w:rsidRPr="00602135">
      <w:rPr>
        <w:rFonts w:ascii="Calibri" w:hAnsi="Calibri" w:cs="Lucida Sans Unicode"/>
        <w:i/>
        <w:sz w:val="18"/>
        <w:szCs w:val="16"/>
      </w:rPr>
      <w:t>Tel</w:t>
    </w:r>
    <w:r w:rsidRPr="00602135">
      <w:rPr>
        <w:rFonts w:ascii="Calibri" w:hAnsi="Calibri" w:cs="Lucida Sans Unicode"/>
        <w:sz w:val="18"/>
        <w:szCs w:val="16"/>
      </w:rPr>
      <w:t xml:space="preserve">: +44-(0)208-331-9933 </w:t>
    </w:r>
    <w:r w:rsidRPr="00602135">
      <w:rPr>
        <w:rFonts w:ascii="Calibri" w:hAnsi="Calibri" w:cs="Lucida Sans Unicode"/>
        <w:i/>
        <w:sz w:val="18"/>
        <w:szCs w:val="16"/>
      </w:rPr>
      <w:t>Fax</w:t>
    </w:r>
    <w:r w:rsidRPr="00602135">
      <w:rPr>
        <w:rFonts w:ascii="Calibri" w:hAnsi="Calibri" w:cs="Lucida Sans Unicode"/>
        <w:sz w:val="18"/>
        <w:szCs w:val="16"/>
      </w:rPr>
      <w:t xml:space="preserve">: +44 (0)208-331-8665 </w:t>
    </w:r>
  </w:p>
  <w:p w:rsidR="00CA0F7F" w:rsidRPr="00602135" w:rsidRDefault="00CA0F7F" w:rsidP="00DD1FC3">
    <w:pPr>
      <w:pBdr>
        <w:top w:val="single" w:sz="4" w:space="1" w:color="auto"/>
        <w:left w:val="single" w:sz="4" w:space="4" w:color="auto"/>
        <w:bottom w:val="single" w:sz="4" w:space="1" w:color="auto"/>
        <w:right w:val="single" w:sz="4" w:space="4" w:color="auto"/>
      </w:pBdr>
      <w:jc w:val="center"/>
      <w:rPr>
        <w:rFonts w:ascii="Calibri" w:hAnsi="Calibri" w:cs="Lucida Sans Unicode"/>
        <w:color w:val="FF0000"/>
        <w:sz w:val="18"/>
        <w:szCs w:val="18"/>
      </w:rPr>
    </w:pPr>
    <w:proofErr w:type="spellStart"/>
    <w:r w:rsidRPr="00602135">
      <w:rPr>
        <w:rFonts w:ascii="Calibri" w:hAnsi="Calibri" w:cs="Lucida Sans Unicode"/>
        <w:color w:val="FF0000"/>
        <w:sz w:val="18"/>
        <w:szCs w:val="18"/>
      </w:rPr>
      <w:t>Prof.</w:t>
    </w:r>
    <w:proofErr w:type="spellEnd"/>
    <w:r w:rsidRPr="00602135">
      <w:rPr>
        <w:rFonts w:ascii="Calibri" w:hAnsi="Calibri" w:cs="Lucida Sans Unicode"/>
        <w:color w:val="FF0000"/>
        <w:sz w:val="18"/>
        <w:szCs w:val="18"/>
      </w:rPr>
      <w:t xml:space="preserve"> Stephen Thomas, </w:t>
    </w:r>
    <w:smartTag w:uri="urn:schemas-microsoft-com:office:smarttags" w:element="PersonName">
      <w:r w:rsidRPr="00602135">
        <w:rPr>
          <w:rFonts w:ascii="Calibri" w:hAnsi="Calibri" w:cs="Lucida Sans Unicode"/>
          <w:color w:val="FF0000"/>
          <w:sz w:val="18"/>
          <w:szCs w:val="18"/>
        </w:rPr>
        <w:t>David Hall</w:t>
      </w:r>
    </w:smartTag>
    <w:r w:rsidRPr="00602135">
      <w:rPr>
        <w:rFonts w:ascii="Calibri" w:hAnsi="Calibri" w:cs="Lucida Sans Unicode"/>
        <w:color w:val="FF0000"/>
        <w:sz w:val="18"/>
        <w:szCs w:val="18"/>
      </w:rPr>
      <w:t xml:space="preserve"> (Director), Jane </w:t>
    </w:r>
    <w:proofErr w:type="spellStart"/>
    <w:r w:rsidRPr="00602135">
      <w:rPr>
        <w:rFonts w:ascii="Calibri" w:hAnsi="Calibri" w:cs="Lucida Sans Unicode"/>
        <w:color w:val="FF0000"/>
        <w:sz w:val="18"/>
        <w:szCs w:val="18"/>
      </w:rPr>
      <w:t>Lethbridge</w:t>
    </w:r>
    <w:proofErr w:type="spellEnd"/>
    <w:r w:rsidRPr="00602135">
      <w:rPr>
        <w:rFonts w:ascii="Calibri" w:hAnsi="Calibri" w:cs="Lucida Sans Unicode"/>
        <w:color w:val="FF0000"/>
        <w:sz w:val="18"/>
        <w:szCs w:val="18"/>
      </w:rPr>
      <w:t xml:space="preserve">, </w:t>
    </w:r>
    <w:proofErr w:type="spellStart"/>
    <w:smartTag w:uri="urn:schemas-microsoft-com:office:smarttags" w:element="PersonName">
      <w:smartTag w:uri="urn:schemas-microsoft-com:office:smarttags" w:element="PersonName">
        <w:r w:rsidRPr="00602135">
          <w:rPr>
            <w:rFonts w:ascii="Calibri" w:hAnsi="Calibri" w:cs="Lucida Sans Unicode"/>
            <w:color w:val="FF0000"/>
            <w:sz w:val="18"/>
            <w:szCs w:val="18"/>
          </w:rPr>
          <w:t>Emanuele</w:t>
        </w:r>
      </w:smartTag>
      <w:proofErr w:type="spellEnd"/>
      <w:r w:rsidRPr="00602135">
        <w:rPr>
          <w:rFonts w:ascii="Calibri" w:hAnsi="Calibri" w:cs="Lucida Sans Unicode"/>
          <w:color w:val="FF0000"/>
          <w:sz w:val="18"/>
          <w:szCs w:val="18"/>
        </w:rPr>
        <w:t xml:space="preserve"> </w:t>
      </w:r>
      <w:proofErr w:type="spellStart"/>
      <w:smartTag w:uri="urn:schemas-microsoft-com:office:smarttags" w:element="PersonName">
        <w:r w:rsidRPr="00602135">
          <w:rPr>
            <w:rFonts w:ascii="Calibri" w:hAnsi="Calibri" w:cs="Lucida Sans Unicode"/>
            <w:color w:val="FF0000"/>
            <w:sz w:val="18"/>
            <w:szCs w:val="18"/>
          </w:rPr>
          <w:t>Lobina</w:t>
        </w:r>
      </w:smartTag>
    </w:smartTag>
    <w:proofErr w:type="spellEnd"/>
    <w:r w:rsidRPr="00602135">
      <w:rPr>
        <w:rFonts w:ascii="Calibri" w:hAnsi="Calibri" w:cs="Lucida Sans Unicode"/>
        <w:color w:val="FF0000"/>
        <w:sz w:val="18"/>
        <w:szCs w:val="18"/>
      </w:rPr>
      <w:t xml:space="preserve">, Vladimir Popov, </w:t>
    </w:r>
    <w:proofErr w:type="spellStart"/>
    <w:r w:rsidRPr="00602135">
      <w:rPr>
        <w:rFonts w:ascii="Calibri" w:hAnsi="Calibri" w:cs="Lucida Sans Unicode"/>
        <w:color w:val="FF0000"/>
        <w:sz w:val="18"/>
        <w:szCs w:val="18"/>
      </w:rPr>
      <w:t>Violeta</w:t>
    </w:r>
    <w:proofErr w:type="spellEnd"/>
    <w:r w:rsidRPr="00602135">
      <w:rPr>
        <w:rFonts w:ascii="Calibri" w:hAnsi="Calibri" w:cs="Lucida Sans Unicode"/>
        <w:color w:val="FF0000"/>
        <w:sz w:val="18"/>
        <w:szCs w:val="18"/>
      </w:rPr>
      <w:t xml:space="preserve"> Corral, Sandra van Niekerk</w:t>
    </w:r>
  </w:p>
  <w:p w:rsidR="00CA0F7F" w:rsidRPr="003F063D" w:rsidRDefault="00CA0F7F" w:rsidP="00DD1FC3">
    <w:pPr>
      <w:jc w:val="center"/>
      <w:rPr>
        <w:rFonts w:ascii="Lucida Sans Unicode" w:hAnsi="Lucida Sans Unicode" w:cs="Lucida Sans Unicode"/>
        <w:color w:val="FF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168" w:rsidRDefault="00481168">
      <w:r>
        <w:separator/>
      </w:r>
    </w:p>
  </w:footnote>
  <w:footnote w:type="continuationSeparator" w:id="0">
    <w:p w:rsidR="00481168" w:rsidRDefault="004811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F7F" w:rsidRDefault="00CA0F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F7F" w:rsidRPr="00652411" w:rsidRDefault="00CA0F7F" w:rsidP="00507056">
    <w:pPr>
      <w:pStyle w:val="Header"/>
      <w:pBdr>
        <w:bottom w:val="single" w:sz="4" w:space="1" w:color="FF0000"/>
      </w:pBdr>
      <w:rPr>
        <w:rFonts w:cs="Lucida Sans Unicode"/>
        <w:sz w:val="16"/>
        <w:szCs w:val="16"/>
      </w:rPr>
    </w:pPr>
    <w:smartTag w:uri="urn:schemas-microsoft-com:office:smarttags" w:element="PersonName">
      <w:r w:rsidRPr="00652411">
        <w:rPr>
          <w:rFonts w:cs="Lucida Sans Unicode"/>
          <w:sz w:val="16"/>
          <w:szCs w:val="16"/>
        </w:rPr>
        <w:t>PSIRU</w:t>
      </w:r>
    </w:smartTag>
    <w:r w:rsidRPr="00652411">
      <w:rPr>
        <w:rFonts w:cs="Lucida Sans Unicode"/>
        <w:sz w:val="16"/>
        <w:szCs w:val="16"/>
      </w:rPr>
      <w:t xml:space="preserve"> University of Greenwich                           </w:t>
    </w:r>
    <w:r>
      <w:rPr>
        <w:rFonts w:cs="Lucida Sans Unicode"/>
        <w:sz w:val="16"/>
        <w:szCs w:val="16"/>
      </w:rPr>
      <w:t xml:space="preserve">                      </w:t>
    </w:r>
    <w:r w:rsidRPr="00652411">
      <w:rPr>
        <w:rFonts w:cs="Lucida Sans Unicode"/>
        <w:sz w:val="16"/>
        <w:szCs w:val="16"/>
      </w:rPr>
      <w:t xml:space="preserve">                                                                       </w:t>
    </w:r>
    <w:hyperlink r:id="rId1" w:history="1">
      <w:r w:rsidRPr="00652411">
        <w:rPr>
          <w:rStyle w:val="Hyperlink"/>
          <w:rFonts w:cs="Lucida Sans Unicode"/>
          <w:sz w:val="16"/>
          <w:szCs w:val="16"/>
        </w:rPr>
        <w:t>www.psiru.org</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F7F" w:rsidRPr="00DD1FC3" w:rsidRDefault="00CA0F7F" w:rsidP="00DD1FC3">
    <w:pPr>
      <w:pStyle w:val="Header"/>
      <w:pBdr>
        <w:bottom w:val="single" w:sz="4" w:space="1" w:color="auto"/>
      </w:pBdr>
      <w:jc w:val="center"/>
      <w:rPr>
        <w:rFonts w:cs="Lucida Sans Unicode"/>
        <w:sz w:val="24"/>
      </w:rPr>
    </w:pPr>
    <w:r>
      <w:rPr>
        <w:rFonts w:cs="Lucida Sans Unicode"/>
        <w:b/>
        <w:color w:val="FF0000"/>
        <w:sz w:val="24"/>
      </w:rPr>
      <w:t xml:space="preserve">                     </w:t>
    </w:r>
    <w:r w:rsidRPr="00DD1FC3">
      <w:rPr>
        <w:rFonts w:cs="Lucida Sans Unicode"/>
        <w:b/>
        <w:color w:val="FF0000"/>
        <w:sz w:val="24"/>
      </w:rPr>
      <w:t xml:space="preserve">Public Services International Research Unit (PSIRU) </w:t>
    </w:r>
    <w:r>
      <w:rPr>
        <w:rFonts w:cs="Lucida Sans Unicode"/>
        <w:b/>
        <w:color w:val="FF0000"/>
        <w:sz w:val="24"/>
      </w:rPr>
      <w:t xml:space="preserve">   </w:t>
    </w:r>
    <w:r>
      <w:rPr>
        <w:rFonts w:cs="Lucida Sans Unicode"/>
        <w:sz w:val="24"/>
      </w:rPr>
      <w:t xml:space="preserve">  </w:t>
    </w:r>
    <w:hyperlink r:id="rId1" w:history="1">
      <w:r w:rsidRPr="00DD1FC3">
        <w:rPr>
          <w:rStyle w:val="Hyperlink"/>
          <w:rFonts w:cs="Lucida Sans Unicode"/>
          <w:szCs w:val="18"/>
          <w:u w:val="none"/>
        </w:rPr>
        <w:t>www.psiru.org</w:t>
      </w:r>
    </w:hyperlink>
    <w:r>
      <w:rPr>
        <w:rFonts w:cs="Lucida Sans Unicode"/>
        <w:sz w:val="24"/>
      </w:rPr>
      <w:t xml:space="preserve"> </w:t>
    </w:r>
    <w:r w:rsidRPr="00DD1FC3">
      <w:rPr>
        <w:rFonts w:cs="Lucida Sans Unicode"/>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D23DD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0FA74A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286BD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1BEC850A"/>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DE5D2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BB0524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450512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96059F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050492A"/>
    <w:lvl w:ilvl="0">
      <w:start w:val="1"/>
      <w:numFmt w:val="decimal"/>
      <w:pStyle w:val="ListNumber"/>
      <w:lvlText w:val="%1."/>
      <w:lvlJc w:val="left"/>
      <w:pPr>
        <w:tabs>
          <w:tab w:val="num" w:pos="360"/>
        </w:tabs>
        <w:ind w:left="360" w:hanging="360"/>
      </w:pPr>
    </w:lvl>
  </w:abstractNum>
  <w:abstractNum w:abstractNumId="9">
    <w:nsid w:val="07C54365"/>
    <w:multiLevelType w:val="hybridMultilevel"/>
    <w:tmpl w:val="6612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2B01A02"/>
    <w:multiLevelType w:val="hybridMultilevel"/>
    <w:tmpl w:val="D58C065E"/>
    <w:lvl w:ilvl="0" w:tplc="18E2F1DC">
      <w:start w:val="1"/>
      <w:numFmt w:val="upperLetter"/>
      <w:pStyle w:val="Heading8"/>
      <w:lvlText w:val="Chart %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19DA019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E585520"/>
    <w:multiLevelType w:val="hybridMultilevel"/>
    <w:tmpl w:val="86866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E9E5B27"/>
    <w:multiLevelType w:val="hybridMultilevel"/>
    <w:tmpl w:val="6E9EF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F166D5"/>
    <w:multiLevelType w:val="hybridMultilevel"/>
    <w:tmpl w:val="8716C1FE"/>
    <w:lvl w:ilvl="0" w:tplc="BFC6AA94">
      <w:start w:val="1"/>
      <w:numFmt w:val="decimal"/>
      <w:pStyle w:val="Heading7"/>
      <w:lvlText w:val="Table %1. "/>
      <w:lvlJc w:val="left"/>
      <w:pPr>
        <w:tabs>
          <w:tab w:val="num" w:pos="-540"/>
        </w:tabs>
        <w:ind w:left="-540" w:hanging="18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5">
    <w:nsid w:val="3EE05C2E"/>
    <w:multiLevelType w:val="hybridMultilevel"/>
    <w:tmpl w:val="281C0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F334AB6"/>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BDB6786"/>
    <w:multiLevelType w:val="multilevel"/>
    <w:tmpl w:val="0DA8493A"/>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792"/>
      </w:pPr>
      <w:rPr>
        <w:rFonts w:hint="default"/>
      </w:rPr>
    </w:lvl>
    <w:lvl w:ilvl="2">
      <w:start w:val="1"/>
      <w:numFmt w:val="decimal"/>
      <w:pStyle w:val="Heading3"/>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223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516C7463"/>
    <w:multiLevelType w:val="multilevel"/>
    <w:tmpl w:val="170CAF02"/>
    <w:lvl w:ilvl="0">
      <w:start w:val="1"/>
      <w:numFmt w:val="decimal"/>
      <w:pStyle w:val="Heading9"/>
      <w:lvlText w:val="Annexe %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none"/>
      <w:pStyle w:val="Heading9"/>
      <w:lvlText w:val=""/>
      <w:lvlJc w:val="left"/>
      <w:pPr>
        <w:tabs>
          <w:tab w:val="num" w:pos="360"/>
        </w:tabs>
        <w:ind w:left="0" w:firstLine="0"/>
      </w:pPr>
      <w:rPr>
        <w:rFonts w:hint="default"/>
      </w:rPr>
    </w:lvl>
  </w:abstractNum>
  <w:abstractNum w:abstractNumId="19">
    <w:nsid w:val="6C0B2914"/>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D56301C"/>
    <w:multiLevelType w:val="hybridMultilevel"/>
    <w:tmpl w:val="225CACC2"/>
    <w:lvl w:ilvl="0" w:tplc="08090001">
      <w:start w:val="1"/>
      <w:numFmt w:val="bullet"/>
      <w:lvlText w:val=""/>
      <w:lvlJc w:val="left"/>
      <w:pPr>
        <w:ind w:left="720" w:hanging="360"/>
      </w:pPr>
      <w:rPr>
        <w:rFonts w:ascii="Symbol" w:hAnsi="Symbol" w:hint="default"/>
      </w:rPr>
    </w:lvl>
    <w:lvl w:ilvl="1" w:tplc="803C169C">
      <w:numFmt w:val="bullet"/>
      <w:lvlText w:val="-"/>
      <w:lvlJc w:val="left"/>
      <w:pPr>
        <w:ind w:left="1440" w:hanging="360"/>
      </w:pPr>
      <w:rPr>
        <w:rFonts w:ascii="Tahoma" w:eastAsia="Times New Roman"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19"/>
  </w:num>
  <w:num w:numId="4">
    <w:abstractNumId w:val="11"/>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7"/>
  </w:num>
  <w:num w:numId="16">
    <w:abstractNumId w:val="14"/>
  </w:num>
  <w:num w:numId="17">
    <w:abstractNumId w:val="15"/>
  </w:num>
  <w:num w:numId="18">
    <w:abstractNumId w:val="20"/>
  </w:num>
  <w:num w:numId="19">
    <w:abstractNumId w:val="12"/>
  </w:num>
  <w:num w:numId="20">
    <w:abstractNumId w:val="9"/>
  </w:num>
  <w:num w:numId="21">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n-ZA"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202"/>
    <w:rsid w:val="00006D74"/>
    <w:rsid w:val="00016A9C"/>
    <w:rsid w:val="000321C8"/>
    <w:rsid w:val="00043954"/>
    <w:rsid w:val="000A2AC1"/>
    <w:rsid w:val="000B7521"/>
    <w:rsid w:val="00114CD2"/>
    <w:rsid w:val="001512A0"/>
    <w:rsid w:val="001652C8"/>
    <w:rsid w:val="001C14C6"/>
    <w:rsid w:val="001C43FC"/>
    <w:rsid w:val="001C4A02"/>
    <w:rsid w:val="001E4E00"/>
    <w:rsid w:val="001F6C53"/>
    <w:rsid w:val="002259EC"/>
    <w:rsid w:val="00235804"/>
    <w:rsid w:val="002548E5"/>
    <w:rsid w:val="00254B82"/>
    <w:rsid w:val="00260203"/>
    <w:rsid w:val="00266456"/>
    <w:rsid w:val="002B33EC"/>
    <w:rsid w:val="002E0566"/>
    <w:rsid w:val="002F2A52"/>
    <w:rsid w:val="003044F4"/>
    <w:rsid w:val="00306CD2"/>
    <w:rsid w:val="00311612"/>
    <w:rsid w:val="00316070"/>
    <w:rsid w:val="0034253A"/>
    <w:rsid w:val="00364142"/>
    <w:rsid w:val="003877E7"/>
    <w:rsid w:val="003A5667"/>
    <w:rsid w:val="003B2735"/>
    <w:rsid w:val="003D4DA5"/>
    <w:rsid w:val="003F0284"/>
    <w:rsid w:val="003F063D"/>
    <w:rsid w:val="003F5373"/>
    <w:rsid w:val="00412605"/>
    <w:rsid w:val="0042392A"/>
    <w:rsid w:val="00446BED"/>
    <w:rsid w:val="00481168"/>
    <w:rsid w:val="004852CA"/>
    <w:rsid w:val="0048580A"/>
    <w:rsid w:val="00490B14"/>
    <w:rsid w:val="004C38FC"/>
    <w:rsid w:val="004E3457"/>
    <w:rsid w:val="004F1F34"/>
    <w:rsid w:val="004F58E8"/>
    <w:rsid w:val="00507056"/>
    <w:rsid w:val="0051585F"/>
    <w:rsid w:val="00515D49"/>
    <w:rsid w:val="00516370"/>
    <w:rsid w:val="00524754"/>
    <w:rsid w:val="0052568E"/>
    <w:rsid w:val="00540776"/>
    <w:rsid w:val="00547333"/>
    <w:rsid w:val="005610B9"/>
    <w:rsid w:val="005660D3"/>
    <w:rsid w:val="00574B39"/>
    <w:rsid w:val="0059684B"/>
    <w:rsid w:val="005B6E24"/>
    <w:rsid w:val="005C2ABC"/>
    <w:rsid w:val="005D26ED"/>
    <w:rsid w:val="005E55C2"/>
    <w:rsid w:val="00602135"/>
    <w:rsid w:val="00605956"/>
    <w:rsid w:val="0061695B"/>
    <w:rsid w:val="00652411"/>
    <w:rsid w:val="00656F61"/>
    <w:rsid w:val="00661C19"/>
    <w:rsid w:val="006669E8"/>
    <w:rsid w:val="00674AD0"/>
    <w:rsid w:val="006760D6"/>
    <w:rsid w:val="0069124C"/>
    <w:rsid w:val="00697BFF"/>
    <w:rsid w:val="006B26BC"/>
    <w:rsid w:val="006E3235"/>
    <w:rsid w:val="006E5AAA"/>
    <w:rsid w:val="006E700F"/>
    <w:rsid w:val="006F150D"/>
    <w:rsid w:val="0078087D"/>
    <w:rsid w:val="00785AC1"/>
    <w:rsid w:val="00786DB2"/>
    <w:rsid w:val="007934FC"/>
    <w:rsid w:val="007A7D94"/>
    <w:rsid w:val="007B16B0"/>
    <w:rsid w:val="007B1F8A"/>
    <w:rsid w:val="007C0132"/>
    <w:rsid w:val="007C34CD"/>
    <w:rsid w:val="007F0336"/>
    <w:rsid w:val="0080513E"/>
    <w:rsid w:val="0081379C"/>
    <w:rsid w:val="00814BF3"/>
    <w:rsid w:val="00823D03"/>
    <w:rsid w:val="008964E7"/>
    <w:rsid w:val="008B23FE"/>
    <w:rsid w:val="008D3EC1"/>
    <w:rsid w:val="0091375F"/>
    <w:rsid w:val="0091574A"/>
    <w:rsid w:val="0092180E"/>
    <w:rsid w:val="009218D1"/>
    <w:rsid w:val="009317DD"/>
    <w:rsid w:val="009B3F05"/>
    <w:rsid w:val="009F4F54"/>
    <w:rsid w:val="00A745FE"/>
    <w:rsid w:val="00A80547"/>
    <w:rsid w:val="00AD4389"/>
    <w:rsid w:val="00AE2202"/>
    <w:rsid w:val="00B05F6D"/>
    <w:rsid w:val="00B07463"/>
    <w:rsid w:val="00B249B2"/>
    <w:rsid w:val="00B3769F"/>
    <w:rsid w:val="00B50157"/>
    <w:rsid w:val="00B55310"/>
    <w:rsid w:val="00B62C9D"/>
    <w:rsid w:val="00B71BE6"/>
    <w:rsid w:val="00B742CE"/>
    <w:rsid w:val="00B755FE"/>
    <w:rsid w:val="00BA4A51"/>
    <w:rsid w:val="00BB0135"/>
    <w:rsid w:val="00C3119B"/>
    <w:rsid w:val="00C358F0"/>
    <w:rsid w:val="00C7760D"/>
    <w:rsid w:val="00C94E24"/>
    <w:rsid w:val="00CA0F7F"/>
    <w:rsid w:val="00CA1133"/>
    <w:rsid w:val="00CB25BE"/>
    <w:rsid w:val="00CC6A26"/>
    <w:rsid w:val="00CD5602"/>
    <w:rsid w:val="00CE3946"/>
    <w:rsid w:val="00CF7806"/>
    <w:rsid w:val="00D0297F"/>
    <w:rsid w:val="00D12555"/>
    <w:rsid w:val="00D17276"/>
    <w:rsid w:val="00D57E8C"/>
    <w:rsid w:val="00D70217"/>
    <w:rsid w:val="00D90026"/>
    <w:rsid w:val="00DD1FC3"/>
    <w:rsid w:val="00DD41F7"/>
    <w:rsid w:val="00E11A43"/>
    <w:rsid w:val="00E16EE5"/>
    <w:rsid w:val="00E2546B"/>
    <w:rsid w:val="00E51BF6"/>
    <w:rsid w:val="00E7336C"/>
    <w:rsid w:val="00EA5A74"/>
    <w:rsid w:val="00EC3651"/>
    <w:rsid w:val="00EC6184"/>
    <w:rsid w:val="00EE100A"/>
    <w:rsid w:val="00EE4E88"/>
    <w:rsid w:val="00F077B0"/>
    <w:rsid w:val="00F20695"/>
    <w:rsid w:val="00F230D5"/>
    <w:rsid w:val="00F46175"/>
    <w:rsid w:val="00F66C5F"/>
    <w:rsid w:val="00FD1B91"/>
    <w:rsid w:val="00FF5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235"/>
    <w:rPr>
      <w:sz w:val="22"/>
      <w:szCs w:val="24"/>
    </w:rPr>
  </w:style>
  <w:style w:type="paragraph" w:styleId="Heading1">
    <w:name w:val="heading 1"/>
    <w:basedOn w:val="Normal"/>
    <w:next w:val="Normal"/>
    <w:qFormat/>
    <w:rsid w:val="00515D49"/>
    <w:pPr>
      <w:keepNext/>
      <w:numPr>
        <w:numId w:val="15"/>
      </w:numPr>
      <w:spacing w:before="240" w:after="120"/>
      <w:outlineLvl w:val="0"/>
    </w:pPr>
    <w:rPr>
      <w:rFonts w:ascii="Trebuchet MS" w:hAnsi="Trebuchet MS" w:cs="Arial"/>
      <w:b/>
      <w:bCs/>
      <w:kern w:val="32"/>
      <w:sz w:val="24"/>
      <w:szCs w:val="32"/>
      <w:lang w:eastAsia="en-US"/>
    </w:rPr>
  </w:style>
  <w:style w:type="paragraph" w:styleId="Heading2">
    <w:name w:val="heading 2"/>
    <w:basedOn w:val="Normal"/>
    <w:next w:val="Normal"/>
    <w:qFormat/>
    <w:rsid w:val="00515D49"/>
    <w:pPr>
      <w:keepNext/>
      <w:numPr>
        <w:ilvl w:val="1"/>
        <w:numId w:val="15"/>
      </w:numPr>
      <w:spacing w:before="240" w:after="60"/>
      <w:outlineLvl w:val="1"/>
    </w:pPr>
    <w:rPr>
      <w:rFonts w:ascii="Trebuchet MS" w:hAnsi="Trebuchet MS" w:cs="Arial"/>
      <w:b/>
      <w:bCs/>
      <w:iCs/>
      <w:szCs w:val="28"/>
      <w:lang w:eastAsia="en-US"/>
    </w:rPr>
  </w:style>
  <w:style w:type="paragraph" w:styleId="Heading3">
    <w:name w:val="heading 3"/>
    <w:aliases w:val="H3"/>
    <w:basedOn w:val="Normal"/>
    <w:next w:val="Normal"/>
    <w:qFormat/>
    <w:rsid w:val="00515D49"/>
    <w:pPr>
      <w:keepNext/>
      <w:numPr>
        <w:ilvl w:val="2"/>
        <w:numId w:val="15"/>
      </w:numPr>
      <w:spacing w:before="120" w:after="60"/>
      <w:outlineLvl w:val="2"/>
    </w:pPr>
    <w:rPr>
      <w:rFonts w:ascii="Trebuchet MS" w:hAnsi="Trebuchet MS" w:cs="Arial"/>
      <w:b/>
      <w:bCs/>
      <w:sz w:val="20"/>
      <w:szCs w:val="26"/>
      <w:lang w:eastAsia="en-US"/>
    </w:rPr>
  </w:style>
  <w:style w:type="paragraph" w:styleId="Heading4">
    <w:name w:val="heading 4"/>
    <w:basedOn w:val="Normal"/>
    <w:next w:val="Normal"/>
    <w:qFormat/>
    <w:rsid w:val="00043954"/>
    <w:pPr>
      <w:keepNext/>
      <w:numPr>
        <w:ilvl w:val="3"/>
        <w:numId w:val="1"/>
      </w:numPr>
      <w:spacing w:before="60" w:after="60"/>
      <w:ind w:left="0" w:firstLine="0"/>
      <w:outlineLvl w:val="3"/>
    </w:pPr>
    <w:rPr>
      <w:rFonts w:ascii="Trebuchet MS" w:hAnsi="Trebuchet MS"/>
      <w:b/>
      <w:bCs/>
      <w:sz w:val="20"/>
      <w:szCs w:val="28"/>
      <w:lang w:eastAsia="en-US"/>
    </w:rPr>
  </w:style>
  <w:style w:type="paragraph" w:styleId="Heading5">
    <w:name w:val="heading 5"/>
    <w:basedOn w:val="Normal"/>
    <w:next w:val="Normal"/>
    <w:qFormat/>
    <w:rsid w:val="00043954"/>
    <w:pPr>
      <w:numPr>
        <w:ilvl w:val="4"/>
        <w:numId w:val="1"/>
      </w:numPr>
      <w:spacing w:before="240" w:after="60"/>
      <w:outlineLvl w:val="4"/>
    </w:pPr>
    <w:rPr>
      <w:rFonts w:ascii="Trebuchet MS" w:hAnsi="Trebuchet MS"/>
      <w:b/>
      <w:bCs/>
      <w:iCs/>
      <w:sz w:val="20"/>
      <w:szCs w:val="26"/>
      <w:lang w:eastAsia="en-US"/>
    </w:rPr>
  </w:style>
  <w:style w:type="paragraph" w:styleId="Heading6">
    <w:name w:val="heading 6"/>
    <w:basedOn w:val="Normal"/>
    <w:next w:val="Normal"/>
    <w:qFormat/>
    <w:rsid w:val="006E3235"/>
    <w:pPr>
      <w:numPr>
        <w:ilvl w:val="5"/>
        <w:numId w:val="1"/>
      </w:numPr>
      <w:spacing w:before="240" w:after="60"/>
      <w:outlineLvl w:val="5"/>
    </w:pPr>
    <w:rPr>
      <w:bCs/>
      <w:szCs w:val="22"/>
      <w:lang w:eastAsia="en-US"/>
    </w:rPr>
  </w:style>
  <w:style w:type="paragraph" w:styleId="Heading7">
    <w:name w:val="heading 7"/>
    <w:basedOn w:val="Normal"/>
    <w:next w:val="Normal"/>
    <w:qFormat/>
    <w:rsid w:val="00B62C9D"/>
    <w:pPr>
      <w:numPr>
        <w:numId w:val="16"/>
      </w:numPr>
      <w:spacing w:before="240" w:after="60"/>
      <w:outlineLvl w:val="6"/>
    </w:pPr>
    <w:rPr>
      <w:rFonts w:ascii="Trebuchet MS" w:hAnsi="Trebuchet MS"/>
      <w:b/>
      <w:sz w:val="20"/>
      <w:lang w:eastAsia="en-US"/>
    </w:rPr>
  </w:style>
  <w:style w:type="paragraph" w:styleId="Heading8">
    <w:name w:val="heading 8"/>
    <w:basedOn w:val="Normal"/>
    <w:next w:val="Normal"/>
    <w:qFormat/>
    <w:rsid w:val="00D0297F"/>
    <w:pPr>
      <w:numPr>
        <w:numId w:val="14"/>
      </w:numPr>
      <w:spacing w:before="240" w:after="60"/>
      <w:outlineLvl w:val="7"/>
    </w:pPr>
    <w:rPr>
      <w:rFonts w:ascii="Trebuchet MS" w:hAnsi="Trebuchet MS"/>
      <w:b/>
      <w:iCs/>
      <w:sz w:val="20"/>
      <w:lang w:eastAsia="en-US"/>
    </w:rPr>
  </w:style>
  <w:style w:type="paragraph" w:styleId="Heading9">
    <w:name w:val="heading 9"/>
    <w:basedOn w:val="Normal"/>
    <w:next w:val="Normal"/>
    <w:qFormat/>
    <w:rsid w:val="00D0297F"/>
    <w:pPr>
      <w:numPr>
        <w:numId w:val="1"/>
      </w:numPr>
      <w:spacing w:before="240" w:after="60"/>
      <w:outlineLvl w:val="8"/>
    </w:pPr>
    <w:rPr>
      <w:rFonts w:ascii="Trebuchet MS" w:hAnsi="Trebuchet MS" w:cs="Arial"/>
      <w:b/>
      <w:sz w:val="20"/>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235"/>
    <w:pPr>
      <w:tabs>
        <w:tab w:val="center" w:pos="4153"/>
        <w:tab w:val="right" w:pos="8306"/>
      </w:tabs>
    </w:pPr>
    <w:rPr>
      <w:rFonts w:ascii="Lucida Sans Unicode" w:hAnsi="Lucida Sans Unicode"/>
      <w:sz w:val="18"/>
    </w:rPr>
  </w:style>
  <w:style w:type="paragraph" w:styleId="Footer">
    <w:name w:val="footer"/>
    <w:basedOn w:val="Normal"/>
    <w:rsid w:val="006E3235"/>
    <w:pPr>
      <w:tabs>
        <w:tab w:val="center" w:pos="4153"/>
        <w:tab w:val="right" w:pos="8306"/>
      </w:tabs>
    </w:pPr>
    <w:rPr>
      <w:rFonts w:ascii="Lucida Sans Unicode" w:hAnsi="Lucida Sans Unicode"/>
      <w:sz w:val="18"/>
    </w:rPr>
  </w:style>
  <w:style w:type="character" w:styleId="Hyperlink">
    <w:name w:val="Hyperlink"/>
    <w:uiPriority w:val="99"/>
    <w:rsid w:val="00814BF3"/>
    <w:rPr>
      <w:color w:val="0000FF"/>
      <w:u w:val="single"/>
    </w:rPr>
  </w:style>
  <w:style w:type="table" w:styleId="TableList6">
    <w:name w:val="Table List 6"/>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9002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9002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9002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9002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9002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9002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9002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90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9002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9002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9002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7B1F8A"/>
    <w:pPr>
      <w:numPr>
        <w:numId w:val="2"/>
      </w:numPr>
    </w:pPr>
  </w:style>
  <w:style w:type="numbering" w:styleId="1ai">
    <w:name w:val="Outline List 1"/>
    <w:basedOn w:val="NoList"/>
    <w:semiHidden/>
    <w:rsid w:val="007B1F8A"/>
    <w:pPr>
      <w:numPr>
        <w:numId w:val="3"/>
      </w:numPr>
    </w:pPr>
  </w:style>
  <w:style w:type="numbering" w:styleId="ArticleSection">
    <w:name w:val="Outline List 3"/>
    <w:basedOn w:val="NoList"/>
    <w:semiHidden/>
    <w:rsid w:val="007B1F8A"/>
    <w:pPr>
      <w:numPr>
        <w:numId w:val="4"/>
      </w:numPr>
    </w:pPr>
  </w:style>
  <w:style w:type="paragraph" w:styleId="BlockText">
    <w:name w:val="Block Text"/>
    <w:basedOn w:val="Normal"/>
    <w:semiHidden/>
    <w:rsid w:val="007B1F8A"/>
    <w:pPr>
      <w:spacing w:after="120"/>
      <w:ind w:left="1440" w:right="1440"/>
    </w:pPr>
  </w:style>
  <w:style w:type="paragraph" w:styleId="BodyText2">
    <w:name w:val="Body Text 2"/>
    <w:basedOn w:val="Normal"/>
    <w:semiHidden/>
    <w:rsid w:val="007B1F8A"/>
    <w:pPr>
      <w:spacing w:after="120" w:line="480" w:lineRule="auto"/>
    </w:pPr>
  </w:style>
  <w:style w:type="paragraph" w:styleId="BodyText3">
    <w:name w:val="Body Text 3"/>
    <w:basedOn w:val="Normal"/>
    <w:semiHidden/>
    <w:rsid w:val="007B1F8A"/>
    <w:pPr>
      <w:spacing w:after="120"/>
    </w:pPr>
    <w:rPr>
      <w:sz w:val="16"/>
      <w:szCs w:val="16"/>
    </w:rPr>
  </w:style>
  <w:style w:type="paragraph" w:styleId="BodyText">
    <w:name w:val="Body Text"/>
    <w:basedOn w:val="Normal"/>
    <w:rsid w:val="008964E7"/>
  </w:style>
  <w:style w:type="paragraph" w:styleId="BodyTextFirstIndent">
    <w:name w:val="Body Text First Indent"/>
    <w:basedOn w:val="BodyText"/>
    <w:semiHidden/>
    <w:rsid w:val="007B1F8A"/>
    <w:pPr>
      <w:ind w:firstLine="210"/>
    </w:pPr>
  </w:style>
  <w:style w:type="paragraph" w:styleId="BodyTextIndent">
    <w:name w:val="Body Text Indent"/>
    <w:basedOn w:val="Normal"/>
    <w:semiHidden/>
    <w:rsid w:val="007B1F8A"/>
    <w:pPr>
      <w:spacing w:after="120"/>
      <w:ind w:left="283"/>
    </w:pPr>
  </w:style>
  <w:style w:type="paragraph" w:styleId="BodyTextFirstIndent2">
    <w:name w:val="Body Text First Indent 2"/>
    <w:basedOn w:val="BodyTextIndent"/>
    <w:semiHidden/>
    <w:rsid w:val="007B1F8A"/>
    <w:pPr>
      <w:ind w:firstLine="210"/>
    </w:pPr>
  </w:style>
  <w:style w:type="paragraph" w:styleId="BodyTextIndent2">
    <w:name w:val="Body Text Indent 2"/>
    <w:basedOn w:val="Normal"/>
    <w:semiHidden/>
    <w:rsid w:val="007B1F8A"/>
    <w:pPr>
      <w:spacing w:after="120" w:line="480" w:lineRule="auto"/>
      <w:ind w:left="283"/>
    </w:pPr>
  </w:style>
  <w:style w:type="paragraph" w:styleId="BodyTextIndent3">
    <w:name w:val="Body Text Indent 3"/>
    <w:basedOn w:val="Normal"/>
    <w:semiHidden/>
    <w:rsid w:val="007B1F8A"/>
    <w:pPr>
      <w:spacing w:after="120"/>
      <w:ind w:left="283"/>
    </w:pPr>
    <w:rPr>
      <w:sz w:val="16"/>
      <w:szCs w:val="16"/>
    </w:rPr>
  </w:style>
  <w:style w:type="paragraph" w:styleId="Closing">
    <w:name w:val="Closing"/>
    <w:basedOn w:val="Normal"/>
    <w:semiHidden/>
    <w:rsid w:val="007B1F8A"/>
    <w:pPr>
      <w:ind w:left="4252"/>
    </w:pPr>
  </w:style>
  <w:style w:type="paragraph" w:styleId="Date">
    <w:name w:val="Date"/>
    <w:basedOn w:val="Normal"/>
    <w:next w:val="Normal"/>
    <w:semiHidden/>
    <w:rsid w:val="007B1F8A"/>
  </w:style>
  <w:style w:type="paragraph" w:styleId="E-mailSignature">
    <w:name w:val="E-mail Signature"/>
    <w:basedOn w:val="Normal"/>
    <w:semiHidden/>
    <w:rsid w:val="007B1F8A"/>
  </w:style>
  <w:style w:type="character" w:styleId="Emphasis">
    <w:name w:val="Emphasis"/>
    <w:qFormat/>
    <w:rsid w:val="007B1F8A"/>
    <w:rPr>
      <w:i/>
      <w:iCs/>
    </w:rPr>
  </w:style>
  <w:style w:type="paragraph" w:styleId="EndnoteText">
    <w:name w:val="endnote text"/>
    <w:aliases w:val="Endnote Text Char,Endnote Text Char1 Char,Endnote Text Char Char Char Char1 Char,Endnote Text Char Char Char Char Char Char,Endnote Text Char Char Char Char Char Char Char Char Char,Endnote Text Char1,Endnote Text Char Char Char Char1"/>
    <w:basedOn w:val="Normal"/>
    <w:rsid w:val="007B1F8A"/>
    <w:rPr>
      <w:sz w:val="20"/>
      <w:szCs w:val="20"/>
    </w:rPr>
  </w:style>
  <w:style w:type="paragraph" w:styleId="EnvelopeAddress">
    <w:name w:val="envelope address"/>
    <w:basedOn w:val="Normal"/>
    <w:semiHidden/>
    <w:rsid w:val="007B1F8A"/>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7B1F8A"/>
    <w:rPr>
      <w:rFonts w:ascii="Arial" w:hAnsi="Arial" w:cs="Arial"/>
      <w:sz w:val="20"/>
      <w:szCs w:val="20"/>
    </w:rPr>
  </w:style>
  <w:style w:type="character" w:styleId="FollowedHyperlink">
    <w:name w:val="FollowedHyperlink"/>
    <w:semiHidden/>
    <w:rsid w:val="007B1F8A"/>
    <w:rPr>
      <w:color w:val="800080"/>
      <w:u w:val="single"/>
    </w:rPr>
  </w:style>
  <w:style w:type="character" w:styleId="HTMLAcronym">
    <w:name w:val="HTML Acronym"/>
    <w:basedOn w:val="DefaultParagraphFont"/>
    <w:semiHidden/>
    <w:rsid w:val="007B1F8A"/>
  </w:style>
  <w:style w:type="paragraph" w:styleId="HTMLAddress">
    <w:name w:val="HTML Address"/>
    <w:basedOn w:val="Normal"/>
    <w:semiHidden/>
    <w:rsid w:val="007B1F8A"/>
    <w:rPr>
      <w:i/>
      <w:iCs/>
    </w:rPr>
  </w:style>
  <w:style w:type="character" w:styleId="HTMLCite">
    <w:name w:val="HTML Cite"/>
    <w:semiHidden/>
    <w:rsid w:val="007B1F8A"/>
    <w:rPr>
      <w:i/>
      <w:iCs/>
    </w:rPr>
  </w:style>
  <w:style w:type="character" w:styleId="HTMLCode">
    <w:name w:val="HTML Code"/>
    <w:semiHidden/>
    <w:rsid w:val="007B1F8A"/>
    <w:rPr>
      <w:rFonts w:ascii="Courier New" w:hAnsi="Courier New" w:cs="Courier New"/>
      <w:sz w:val="20"/>
      <w:szCs w:val="20"/>
    </w:rPr>
  </w:style>
  <w:style w:type="character" w:styleId="HTMLDefinition">
    <w:name w:val="HTML Definition"/>
    <w:semiHidden/>
    <w:rsid w:val="007B1F8A"/>
    <w:rPr>
      <w:i/>
      <w:iCs/>
    </w:rPr>
  </w:style>
  <w:style w:type="character" w:styleId="HTMLKeyboard">
    <w:name w:val="HTML Keyboard"/>
    <w:semiHidden/>
    <w:rsid w:val="007B1F8A"/>
    <w:rPr>
      <w:rFonts w:ascii="Courier New" w:hAnsi="Courier New" w:cs="Courier New"/>
      <w:sz w:val="20"/>
      <w:szCs w:val="20"/>
    </w:rPr>
  </w:style>
  <w:style w:type="paragraph" w:styleId="HTMLPreformatted">
    <w:name w:val="HTML Preformatted"/>
    <w:basedOn w:val="Normal"/>
    <w:semiHidden/>
    <w:rsid w:val="007B1F8A"/>
    <w:rPr>
      <w:rFonts w:ascii="Courier New" w:hAnsi="Courier New" w:cs="Courier New"/>
      <w:sz w:val="20"/>
      <w:szCs w:val="20"/>
    </w:rPr>
  </w:style>
  <w:style w:type="character" w:styleId="HTMLSample">
    <w:name w:val="HTML Sample"/>
    <w:semiHidden/>
    <w:rsid w:val="007B1F8A"/>
    <w:rPr>
      <w:rFonts w:ascii="Courier New" w:hAnsi="Courier New" w:cs="Courier New"/>
    </w:rPr>
  </w:style>
  <w:style w:type="character" w:styleId="HTMLTypewriter">
    <w:name w:val="HTML Typewriter"/>
    <w:semiHidden/>
    <w:rsid w:val="007B1F8A"/>
    <w:rPr>
      <w:rFonts w:ascii="Courier New" w:hAnsi="Courier New" w:cs="Courier New"/>
      <w:sz w:val="20"/>
      <w:szCs w:val="20"/>
    </w:rPr>
  </w:style>
  <w:style w:type="character" w:styleId="HTMLVariable">
    <w:name w:val="HTML Variable"/>
    <w:semiHidden/>
    <w:rsid w:val="007B1F8A"/>
    <w:rPr>
      <w:i/>
      <w:iCs/>
    </w:rPr>
  </w:style>
  <w:style w:type="character" w:styleId="LineNumber">
    <w:name w:val="line number"/>
    <w:basedOn w:val="DefaultParagraphFont"/>
    <w:semiHidden/>
    <w:rsid w:val="007B1F8A"/>
  </w:style>
  <w:style w:type="paragraph" w:styleId="List">
    <w:name w:val="List"/>
    <w:basedOn w:val="Normal"/>
    <w:semiHidden/>
    <w:rsid w:val="007B1F8A"/>
    <w:pPr>
      <w:ind w:left="283" w:hanging="283"/>
    </w:pPr>
  </w:style>
  <w:style w:type="paragraph" w:styleId="List2">
    <w:name w:val="List 2"/>
    <w:basedOn w:val="Normal"/>
    <w:semiHidden/>
    <w:rsid w:val="007B1F8A"/>
    <w:pPr>
      <w:ind w:left="566" w:hanging="283"/>
    </w:pPr>
  </w:style>
  <w:style w:type="paragraph" w:styleId="List3">
    <w:name w:val="List 3"/>
    <w:basedOn w:val="Normal"/>
    <w:semiHidden/>
    <w:rsid w:val="007B1F8A"/>
    <w:pPr>
      <w:ind w:left="849" w:hanging="283"/>
    </w:pPr>
  </w:style>
  <w:style w:type="paragraph" w:styleId="List4">
    <w:name w:val="List 4"/>
    <w:basedOn w:val="Normal"/>
    <w:semiHidden/>
    <w:rsid w:val="007B1F8A"/>
    <w:pPr>
      <w:ind w:left="1132" w:hanging="283"/>
    </w:pPr>
  </w:style>
  <w:style w:type="paragraph" w:styleId="List5">
    <w:name w:val="List 5"/>
    <w:basedOn w:val="Normal"/>
    <w:semiHidden/>
    <w:rsid w:val="007B1F8A"/>
    <w:pPr>
      <w:ind w:left="1415" w:hanging="283"/>
    </w:pPr>
  </w:style>
  <w:style w:type="paragraph" w:styleId="ListBullet2">
    <w:name w:val="List Bullet 2"/>
    <w:basedOn w:val="Normal"/>
    <w:autoRedefine/>
    <w:semiHidden/>
    <w:rsid w:val="007B1F8A"/>
    <w:pPr>
      <w:numPr>
        <w:numId w:val="5"/>
      </w:numPr>
    </w:pPr>
  </w:style>
  <w:style w:type="paragraph" w:styleId="ListBullet3">
    <w:name w:val="List Bullet 3"/>
    <w:basedOn w:val="Normal"/>
    <w:autoRedefine/>
    <w:semiHidden/>
    <w:rsid w:val="007B1F8A"/>
    <w:pPr>
      <w:numPr>
        <w:numId w:val="6"/>
      </w:numPr>
    </w:pPr>
  </w:style>
  <w:style w:type="paragraph" w:styleId="ListBullet4">
    <w:name w:val="List Bullet 4"/>
    <w:basedOn w:val="Normal"/>
    <w:autoRedefine/>
    <w:semiHidden/>
    <w:rsid w:val="007B1F8A"/>
    <w:pPr>
      <w:numPr>
        <w:numId w:val="7"/>
      </w:numPr>
    </w:pPr>
  </w:style>
  <w:style w:type="paragraph" w:styleId="ListBullet5">
    <w:name w:val="List Bullet 5"/>
    <w:basedOn w:val="Normal"/>
    <w:autoRedefine/>
    <w:semiHidden/>
    <w:rsid w:val="007B1F8A"/>
    <w:pPr>
      <w:numPr>
        <w:numId w:val="8"/>
      </w:numPr>
    </w:pPr>
  </w:style>
  <w:style w:type="paragraph" w:styleId="ListContinue">
    <w:name w:val="List Continue"/>
    <w:basedOn w:val="Normal"/>
    <w:semiHidden/>
    <w:rsid w:val="007B1F8A"/>
    <w:pPr>
      <w:spacing w:after="120"/>
      <w:ind w:left="283"/>
    </w:pPr>
  </w:style>
  <w:style w:type="paragraph" w:styleId="ListContinue2">
    <w:name w:val="List Continue 2"/>
    <w:basedOn w:val="Normal"/>
    <w:semiHidden/>
    <w:rsid w:val="007B1F8A"/>
    <w:pPr>
      <w:spacing w:after="120"/>
      <w:ind w:left="566"/>
    </w:pPr>
  </w:style>
  <w:style w:type="paragraph" w:styleId="ListContinue3">
    <w:name w:val="List Continue 3"/>
    <w:basedOn w:val="Normal"/>
    <w:semiHidden/>
    <w:rsid w:val="007B1F8A"/>
    <w:pPr>
      <w:spacing w:after="120"/>
      <w:ind w:left="849"/>
    </w:pPr>
  </w:style>
  <w:style w:type="paragraph" w:styleId="ListContinue4">
    <w:name w:val="List Continue 4"/>
    <w:basedOn w:val="Normal"/>
    <w:semiHidden/>
    <w:rsid w:val="007B1F8A"/>
    <w:pPr>
      <w:spacing w:after="120"/>
      <w:ind w:left="1132"/>
    </w:pPr>
  </w:style>
  <w:style w:type="paragraph" w:styleId="ListContinue5">
    <w:name w:val="List Continue 5"/>
    <w:basedOn w:val="Normal"/>
    <w:semiHidden/>
    <w:rsid w:val="007B1F8A"/>
    <w:pPr>
      <w:spacing w:after="120"/>
      <w:ind w:left="1415"/>
    </w:pPr>
  </w:style>
  <w:style w:type="paragraph" w:styleId="ListNumber">
    <w:name w:val="List Number"/>
    <w:basedOn w:val="Normal"/>
    <w:semiHidden/>
    <w:rsid w:val="007B1F8A"/>
    <w:pPr>
      <w:numPr>
        <w:numId w:val="9"/>
      </w:numPr>
    </w:pPr>
  </w:style>
  <w:style w:type="paragraph" w:styleId="ListNumber2">
    <w:name w:val="List Number 2"/>
    <w:basedOn w:val="Normal"/>
    <w:semiHidden/>
    <w:rsid w:val="007B1F8A"/>
    <w:pPr>
      <w:numPr>
        <w:numId w:val="10"/>
      </w:numPr>
    </w:pPr>
  </w:style>
  <w:style w:type="paragraph" w:styleId="ListNumber3">
    <w:name w:val="List Number 3"/>
    <w:basedOn w:val="Normal"/>
    <w:semiHidden/>
    <w:rsid w:val="007B1F8A"/>
    <w:pPr>
      <w:numPr>
        <w:numId w:val="11"/>
      </w:numPr>
    </w:pPr>
  </w:style>
  <w:style w:type="paragraph" w:styleId="ListNumber4">
    <w:name w:val="List Number 4"/>
    <w:basedOn w:val="Normal"/>
    <w:semiHidden/>
    <w:rsid w:val="007B1F8A"/>
    <w:pPr>
      <w:numPr>
        <w:numId w:val="12"/>
      </w:numPr>
    </w:pPr>
  </w:style>
  <w:style w:type="paragraph" w:styleId="ListNumber5">
    <w:name w:val="List Number 5"/>
    <w:basedOn w:val="Normal"/>
    <w:semiHidden/>
    <w:rsid w:val="007B1F8A"/>
    <w:pPr>
      <w:numPr>
        <w:numId w:val="13"/>
      </w:numPr>
    </w:pPr>
  </w:style>
  <w:style w:type="paragraph" w:styleId="MessageHeader">
    <w:name w:val="Message Header"/>
    <w:basedOn w:val="Normal"/>
    <w:semiHidden/>
    <w:rsid w:val="007B1F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rsid w:val="007B1F8A"/>
    <w:rPr>
      <w:sz w:val="24"/>
    </w:rPr>
  </w:style>
  <w:style w:type="paragraph" w:styleId="NormalIndent">
    <w:name w:val="Normal Indent"/>
    <w:basedOn w:val="Normal"/>
    <w:semiHidden/>
    <w:rsid w:val="007B1F8A"/>
    <w:pPr>
      <w:ind w:left="720"/>
    </w:pPr>
  </w:style>
  <w:style w:type="paragraph" w:styleId="NoteHeading">
    <w:name w:val="Note Heading"/>
    <w:basedOn w:val="Normal"/>
    <w:next w:val="Normal"/>
    <w:semiHidden/>
    <w:rsid w:val="007B1F8A"/>
  </w:style>
  <w:style w:type="character" w:styleId="PageNumber">
    <w:name w:val="page number"/>
    <w:basedOn w:val="DefaultParagraphFont"/>
    <w:semiHidden/>
    <w:rsid w:val="007B1F8A"/>
  </w:style>
  <w:style w:type="paragraph" w:styleId="PlainText">
    <w:name w:val="Plain Text"/>
    <w:basedOn w:val="Normal"/>
    <w:semiHidden/>
    <w:rsid w:val="007B1F8A"/>
    <w:rPr>
      <w:rFonts w:ascii="Courier New" w:hAnsi="Courier New" w:cs="Courier New"/>
      <w:sz w:val="20"/>
      <w:szCs w:val="20"/>
    </w:rPr>
  </w:style>
  <w:style w:type="paragraph" w:styleId="Salutation">
    <w:name w:val="Salutation"/>
    <w:basedOn w:val="Normal"/>
    <w:next w:val="Normal"/>
    <w:semiHidden/>
    <w:rsid w:val="007B1F8A"/>
  </w:style>
  <w:style w:type="paragraph" w:styleId="Signature">
    <w:name w:val="Signature"/>
    <w:basedOn w:val="Normal"/>
    <w:semiHidden/>
    <w:rsid w:val="007B1F8A"/>
    <w:pPr>
      <w:ind w:left="4252"/>
    </w:pPr>
  </w:style>
  <w:style w:type="character" w:styleId="Strong">
    <w:name w:val="Strong"/>
    <w:uiPriority w:val="22"/>
    <w:qFormat/>
    <w:rsid w:val="007B1F8A"/>
    <w:rPr>
      <w:b/>
      <w:bCs/>
    </w:rPr>
  </w:style>
  <w:style w:type="paragraph" w:styleId="Subtitle">
    <w:name w:val="Subtitle"/>
    <w:basedOn w:val="Normal"/>
    <w:qFormat/>
    <w:rsid w:val="00515D49"/>
    <w:pPr>
      <w:spacing w:after="60"/>
      <w:jc w:val="center"/>
      <w:outlineLvl w:val="1"/>
    </w:pPr>
    <w:rPr>
      <w:rFonts w:ascii="Lucida Sans Unicode" w:hAnsi="Lucida Sans Unicode" w:cs="Arial"/>
      <w:b/>
      <w:color w:val="FF0000"/>
      <w:sz w:val="24"/>
    </w:rPr>
  </w:style>
  <w:style w:type="table" w:styleId="Table3Deffects1">
    <w:name w:val="Table 3D effects 1"/>
    <w:basedOn w:val="TableNormal"/>
    <w:semiHidden/>
    <w:rsid w:val="007B1F8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1F8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1F8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1F8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1F8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1F8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semiHidden/>
    <w:rsid w:val="007B1F8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1F8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7B1F8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1F8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1F8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1F8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1F8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1F8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1F8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1F8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1F8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1F8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1F8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1F8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1F8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1F8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7B1F8A"/>
    <w:pPr>
      <w:spacing w:before="120" w:after="120"/>
    </w:pPr>
    <w:rPr>
      <w:b/>
      <w:bCs/>
      <w:caps/>
      <w:sz w:val="20"/>
      <w:szCs w:val="20"/>
    </w:rPr>
  </w:style>
  <w:style w:type="paragraph" w:styleId="Title">
    <w:name w:val="Title"/>
    <w:basedOn w:val="Normal"/>
    <w:qFormat/>
    <w:rsid w:val="007B1F8A"/>
    <w:pPr>
      <w:spacing w:before="240" w:after="60"/>
      <w:jc w:val="center"/>
      <w:outlineLvl w:val="0"/>
    </w:pPr>
    <w:rPr>
      <w:rFonts w:ascii="Lucida Sans Unicode" w:hAnsi="Lucida Sans Unicode" w:cs="Arial"/>
      <w:b/>
      <w:bCs/>
      <w:color w:val="FF0000"/>
      <w:kern w:val="28"/>
      <w:sz w:val="36"/>
      <w:szCs w:val="32"/>
    </w:rPr>
  </w:style>
  <w:style w:type="paragraph" w:styleId="TOC2">
    <w:name w:val="toc 2"/>
    <w:basedOn w:val="Normal"/>
    <w:next w:val="Normal"/>
    <w:autoRedefine/>
    <w:uiPriority w:val="39"/>
    <w:rsid w:val="00260203"/>
    <w:pPr>
      <w:spacing w:line="276" w:lineRule="auto"/>
      <w:ind w:left="221"/>
    </w:pPr>
    <w:rPr>
      <w:rFonts w:ascii="Calibri" w:eastAsia="Calibri" w:hAnsi="Calibri"/>
      <w:smallCaps/>
      <w:sz w:val="20"/>
      <w:szCs w:val="20"/>
      <w:lang w:eastAsia="en-US"/>
    </w:rPr>
  </w:style>
  <w:style w:type="paragraph" w:styleId="TOC3">
    <w:name w:val="toc 3"/>
    <w:basedOn w:val="Normal"/>
    <w:next w:val="Normal"/>
    <w:autoRedefine/>
    <w:semiHidden/>
    <w:rsid w:val="00260203"/>
    <w:pPr>
      <w:spacing w:line="276" w:lineRule="auto"/>
      <w:ind w:left="442"/>
    </w:pPr>
    <w:rPr>
      <w:rFonts w:ascii="Calibri" w:eastAsia="Calibri" w:hAnsi="Calibri"/>
      <w:i/>
      <w:iCs/>
      <w:sz w:val="20"/>
      <w:szCs w:val="20"/>
      <w:lang w:eastAsia="en-US"/>
    </w:rPr>
  </w:style>
  <w:style w:type="paragraph" w:styleId="TOC4">
    <w:name w:val="toc 4"/>
    <w:basedOn w:val="Normal"/>
    <w:next w:val="Normal"/>
    <w:autoRedefine/>
    <w:uiPriority w:val="39"/>
    <w:rsid w:val="00260203"/>
    <w:pPr>
      <w:spacing w:line="276" w:lineRule="auto"/>
      <w:ind w:left="658"/>
    </w:pPr>
    <w:rPr>
      <w:rFonts w:ascii="Calibri" w:eastAsia="Calibri" w:hAnsi="Calibri"/>
      <w:sz w:val="18"/>
      <w:szCs w:val="18"/>
      <w:lang w:eastAsia="en-US"/>
    </w:rPr>
  </w:style>
  <w:style w:type="paragraph" w:styleId="TOC5">
    <w:name w:val="toc 5"/>
    <w:basedOn w:val="Normal"/>
    <w:next w:val="Normal"/>
    <w:autoRedefine/>
    <w:semiHidden/>
    <w:rsid w:val="007B1F8A"/>
    <w:pPr>
      <w:ind w:left="880"/>
    </w:pPr>
    <w:rPr>
      <w:sz w:val="18"/>
      <w:szCs w:val="18"/>
    </w:rPr>
  </w:style>
  <w:style w:type="paragraph" w:styleId="TOC6">
    <w:name w:val="toc 6"/>
    <w:basedOn w:val="Normal"/>
    <w:next w:val="Normal"/>
    <w:autoRedefine/>
    <w:semiHidden/>
    <w:rsid w:val="007B1F8A"/>
    <w:pPr>
      <w:ind w:left="1100"/>
    </w:pPr>
    <w:rPr>
      <w:sz w:val="18"/>
      <w:szCs w:val="18"/>
    </w:rPr>
  </w:style>
  <w:style w:type="paragraph" w:styleId="TOC7">
    <w:name w:val="toc 7"/>
    <w:basedOn w:val="Normal"/>
    <w:next w:val="Normal"/>
    <w:autoRedefine/>
    <w:semiHidden/>
    <w:rsid w:val="007B1F8A"/>
    <w:pPr>
      <w:ind w:left="1320"/>
    </w:pPr>
    <w:rPr>
      <w:sz w:val="18"/>
      <w:szCs w:val="18"/>
    </w:rPr>
  </w:style>
  <w:style w:type="paragraph" w:styleId="TOC8">
    <w:name w:val="toc 8"/>
    <w:basedOn w:val="Normal"/>
    <w:next w:val="Normal"/>
    <w:autoRedefine/>
    <w:semiHidden/>
    <w:rsid w:val="007B1F8A"/>
    <w:pPr>
      <w:ind w:left="1540"/>
    </w:pPr>
    <w:rPr>
      <w:sz w:val="18"/>
      <w:szCs w:val="18"/>
    </w:rPr>
  </w:style>
  <w:style w:type="paragraph" w:styleId="TOC9">
    <w:name w:val="toc 9"/>
    <w:basedOn w:val="Normal"/>
    <w:next w:val="Normal"/>
    <w:autoRedefine/>
    <w:semiHidden/>
    <w:rsid w:val="007B1F8A"/>
    <w:pPr>
      <w:ind w:left="1760"/>
    </w:pPr>
    <w:rPr>
      <w:sz w:val="18"/>
      <w:szCs w:val="18"/>
    </w:rPr>
  </w:style>
  <w:style w:type="paragraph" w:styleId="DocumentMap">
    <w:name w:val="Document Map"/>
    <w:basedOn w:val="Normal"/>
    <w:qFormat/>
    <w:rsid w:val="0048580A"/>
    <w:pPr>
      <w:shd w:val="clear" w:color="auto" w:fill="000080"/>
    </w:pPr>
    <w:rPr>
      <w:rFonts w:ascii="Calibri" w:hAnsi="Calibri" w:cs="Tahoma"/>
      <w:sz w:val="16"/>
    </w:rPr>
  </w:style>
  <w:style w:type="paragraph" w:styleId="ListParagraph">
    <w:name w:val="List Paragraph"/>
    <w:basedOn w:val="Normal"/>
    <w:uiPriority w:val="34"/>
    <w:qFormat/>
    <w:rsid w:val="0080513E"/>
    <w:pPr>
      <w:ind w:left="720"/>
    </w:pPr>
  </w:style>
  <w:style w:type="table" w:styleId="TableGrid">
    <w:name w:val="Table Grid"/>
    <w:basedOn w:val="TableNormal"/>
    <w:uiPriority w:val="59"/>
    <w:rsid w:val="000B75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336C"/>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59684B"/>
    <w:rPr>
      <w:rFonts w:ascii="Tahoma" w:hAnsi="Tahoma" w:cs="Tahoma"/>
      <w:sz w:val="16"/>
      <w:szCs w:val="16"/>
    </w:rPr>
  </w:style>
  <w:style w:type="character" w:customStyle="1" w:styleId="BalloonTextChar">
    <w:name w:val="Balloon Text Char"/>
    <w:basedOn w:val="DefaultParagraphFont"/>
    <w:link w:val="BalloonText"/>
    <w:uiPriority w:val="99"/>
    <w:semiHidden/>
    <w:rsid w:val="0059684B"/>
    <w:rPr>
      <w:rFonts w:ascii="Tahoma" w:hAnsi="Tahoma" w:cs="Tahoma"/>
      <w:sz w:val="16"/>
      <w:szCs w:val="16"/>
    </w:rPr>
  </w:style>
  <w:style w:type="character" w:styleId="EndnoteReference">
    <w:name w:val="endnote reference"/>
    <w:basedOn w:val="DefaultParagraphFont"/>
    <w:unhideWhenUsed/>
    <w:rsid w:val="0059684B"/>
    <w:rPr>
      <w:vertAlign w:val="superscript"/>
    </w:rPr>
  </w:style>
  <w:style w:type="character" w:styleId="FootnoteReference">
    <w:name w:val="footnote reference"/>
    <w:aliases w:val="ftref"/>
    <w:basedOn w:val="DefaultParagraphFont"/>
    <w:rsid w:val="003F5373"/>
    <w:rPr>
      <w:vertAlign w:val="superscript"/>
    </w:rPr>
  </w:style>
  <w:style w:type="paragraph" w:styleId="FootnoteText">
    <w:name w:val="footnote text"/>
    <w:aliases w:val=" Char Char Char,Char Char Char"/>
    <w:basedOn w:val="Normal"/>
    <w:link w:val="FootnoteTextChar"/>
    <w:rsid w:val="003F5373"/>
    <w:rPr>
      <w:rFonts w:eastAsia="SimSun"/>
      <w:sz w:val="20"/>
      <w:szCs w:val="20"/>
      <w:lang w:val="en-US" w:eastAsia="zh-CN"/>
    </w:rPr>
  </w:style>
  <w:style w:type="character" w:customStyle="1" w:styleId="FootnoteTextChar">
    <w:name w:val="Footnote Text Char"/>
    <w:aliases w:val=" Char Char Char Char,Char Char Char Char"/>
    <w:basedOn w:val="DefaultParagraphFont"/>
    <w:link w:val="FootnoteText"/>
    <w:uiPriority w:val="99"/>
    <w:rsid w:val="003F5373"/>
    <w:rPr>
      <w:rFonts w:eastAsia="SimSun"/>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235"/>
    <w:rPr>
      <w:sz w:val="22"/>
      <w:szCs w:val="24"/>
    </w:rPr>
  </w:style>
  <w:style w:type="paragraph" w:styleId="Heading1">
    <w:name w:val="heading 1"/>
    <w:basedOn w:val="Normal"/>
    <w:next w:val="Normal"/>
    <w:qFormat/>
    <w:rsid w:val="00515D49"/>
    <w:pPr>
      <w:keepNext/>
      <w:numPr>
        <w:numId w:val="15"/>
      </w:numPr>
      <w:spacing w:before="240" w:after="120"/>
      <w:outlineLvl w:val="0"/>
    </w:pPr>
    <w:rPr>
      <w:rFonts w:ascii="Trebuchet MS" w:hAnsi="Trebuchet MS" w:cs="Arial"/>
      <w:b/>
      <w:bCs/>
      <w:kern w:val="32"/>
      <w:sz w:val="24"/>
      <w:szCs w:val="32"/>
      <w:lang w:eastAsia="en-US"/>
    </w:rPr>
  </w:style>
  <w:style w:type="paragraph" w:styleId="Heading2">
    <w:name w:val="heading 2"/>
    <w:basedOn w:val="Normal"/>
    <w:next w:val="Normal"/>
    <w:qFormat/>
    <w:rsid w:val="00515D49"/>
    <w:pPr>
      <w:keepNext/>
      <w:numPr>
        <w:ilvl w:val="1"/>
        <w:numId w:val="15"/>
      </w:numPr>
      <w:spacing w:before="240" w:after="60"/>
      <w:outlineLvl w:val="1"/>
    </w:pPr>
    <w:rPr>
      <w:rFonts w:ascii="Trebuchet MS" w:hAnsi="Trebuchet MS" w:cs="Arial"/>
      <w:b/>
      <w:bCs/>
      <w:iCs/>
      <w:szCs w:val="28"/>
      <w:lang w:eastAsia="en-US"/>
    </w:rPr>
  </w:style>
  <w:style w:type="paragraph" w:styleId="Heading3">
    <w:name w:val="heading 3"/>
    <w:aliases w:val="H3"/>
    <w:basedOn w:val="Normal"/>
    <w:next w:val="Normal"/>
    <w:qFormat/>
    <w:rsid w:val="00515D49"/>
    <w:pPr>
      <w:keepNext/>
      <w:numPr>
        <w:ilvl w:val="2"/>
        <w:numId w:val="15"/>
      </w:numPr>
      <w:spacing w:before="120" w:after="60"/>
      <w:outlineLvl w:val="2"/>
    </w:pPr>
    <w:rPr>
      <w:rFonts w:ascii="Trebuchet MS" w:hAnsi="Trebuchet MS" w:cs="Arial"/>
      <w:b/>
      <w:bCs/>
      <w:sz w:val="20"/>
      <w:szCs w:val="26"/>
      <w:lang w:eastAsia="en-US"/>
    </w:rPr>
  </w:style>
  <w:style w:type="paragraph" w:styleId="Heading4">
    <w:name w:val="heading 4"/>
    <w:basedOn w:val="Normal"/>
    <w:next w:val="Normal"/>
    <w:qFormat/>
    <w:rsid w:val="00043954"/>
    <w:pPr>
      <w:keepNext/>
      <w:numPr>
        <w:ilvl w:val="3"/>
        <w:numId w:val="1"/>
      </w:numPr>
      <w:spacing w:before="60" w:after="60"/>
      <w:ind w:left="0" w:firstLine="0"/>
      <w:outlineLvl w:val="3"/>
    </w:pPr>
    <w:rPr>
      <w:rFonts w:ascii="Trebuchet MS" w:hAnsi="Trebuchet MS"/>
      <w:b/>
      <w:bCs/>
      <w:sz w:val="20"/>
      <w:szCs w:val="28"/>
      <w:lang w:eastAsia="en-US"/>
    </w:rPr>
  </w:style>
  <w:style w:type="paragraph" w:styleId="Heading5">
    <w:name w:val="heading 5"/>
    <w:basedOn w:val="Normal"/>
    <w:next w:val="Normal"/>
    <w:qFormat/>
    <w:rsid w:val="00043954"/>
    <w:pPr>
      <w:numPr>
        <w:ilvl w:val="4"/>
        <w:numId w:val="1"/>
      </w:numPr>
      <w:spacing w:before="240" w:after="60"/>
      <w:outlineLvl w:val="4"/>
    </w:pPr>
    <w:rPr>
      <w:rFonts w:ascii="Trebuchet MS" w:hAnsi="Trebuchet MS"/>
      <w:b/>
      <w:bCs/>
      <w:iCs/>
      <w:sz w:val="20"/>
      <w:szCs w:val="26"/>
      <w:lang w:eastAsia="en-US"/>
    </w:rPr>
  </w:style>
  <w:style w:type="paragraph" w:styleId="Heading6">
    <w:name w:val="heading 6"/>
    <w:basedOn w:val="Normal"/>
    <w:next w:val="Normal"/>
    <w:qFormat/>
    <w:rsid w:val="006E3235"/>
    <w:pPr>
      <w:numPr>
        <w:ilvl w:val="5"/>
        <w:numId w:val="1"/>
      </w:numPr>
      <w:spacing w:before="240" w:after="60"/>
      <w:outlineLvl w:val="5"/>
    </w:pPr>
    <w:rPr>
      <w:bCs/>
      <w:szCs w:val="22"/>
      <w:lang w:eastAsia="en-US"/>
    </w:rPr>
  </w:style>
  <w:style w:type="paragraph" w:styleId="Heading7">
    <w:name w:val="heading 7"/>
    <w:basedOn w:val="Normal"/>
    <w:next w:val="Normal"/>
    <w:qFormat/>
    <w:rsid w:val="00B62C9D"/>
    <w:pPr>
      <w:numPr>
        <w:numId w:val="16"/>
      </w:numPr>
      <w:spacing w:before="240" w:after="60"/>
      <w:outlineLvl w:val="6"/>
    </w:pPr>
    <w:rPr>
      <w:rFonts w:ascii="Trebuchet MS" w:hAnsi="Trebuchet MS"/>
      <w:b/>
      <w:sz w:val="20"/>
      <w:lang w:eastAsia="en-US"/>
    </w:rPr>
  </w:style>
  <w:style w:type="paragraph" w:styleId="Heading8">
    <w:name w:val="heading 8"/>
    <w:basedOn w:val="Normal"/>
    <w:next w:val="Normal"/>
    <w:qFormat/>
    <w:rsid w:val="00D0297F"/>
    <w:pPr>
      <w:numPr>
        <w:numId w:val="14"/>
      </w:numPr>
      <w:spacing w:before="240" w:after="60"/>
      <w:outlineLvl w:val="7"/>
    </w:pPr>
    <w:rPr>
      <w:rFonts w:ascii="Trebuchet MS" w:hAnsi="Trebuchet MS"/>
      <w:b/>
      <w:iCs/>
      <w:sz w:val="20"/>
      <w:lang w:eastAsia="en-US"/>
    </w:rPr>
  </w:style>
  <w:style w:type="paragraph" w:styleId="Heading9">
    <w:name w:val="heading 9"/>
    <w:basedOn w:val="Normal"/>
    <w:next w:val="Normal"/>
    <w:qFormat/>
    <w:rsid w:val="00D0297F"/>
    <w:pPr>
      <w:numPr>
        <w:numId w:val="1"/>
      </w:numPr>
      <w:spacing w:before="240" w:after="60"/>
      <w:outlineLvl w:val="8"/>
    </w:pPr>
    <w:rPr>
      <w:rFonts w:ascii="Trebuchet MS" w:hAnsi="Trebuchet MS" w:cs="Arial"/>
      <w:b/>
      <w:sz w:val="20"/>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235"/>
    <w:pPr>
      <w:tabs>
        <w:tab w:val="center" w:pos="4153"/>
        <w:tab w:val="right" w:pos="8306"/>
      </w:tabs>
    </w:pPr>
    <w:rPr>
      <w:rFonts w:ascii="Lucida Sans Unicode" w:hAnsi="Lucida Sans Unicode"/>
      <w:sz w:val="18"/>
    </w:rPr>
  </w:style>
  <w:style w:type="paragraph" w:styleId="Footer">
    <w:name w:val="footer"/>
    <w:basedOn w:val="Normal"/>
    <w:rsid w:val="006E3235"/>
    <w:pPr>
      <w:tabs>
        <w:tab w:val="center" w:pos="4153"/>
        <w:tab w:val="right" w:pos="8306"/>
      </w:tabs>
    </w:pPr>
    <w:rPr>
      <w:rFonts w:ascii="Lucida Sans Unicode" w:hAnsi="Lucida Sans Unicode"/>
      <w:sz w:val="18"/>
    </w:rPr>
  </w:style>
  <w:style w:type="character" w:styleId="Hyperlink">
    <w:name w:val="Hyperlink"/>
    <w:uiPriority w:val="99"/>
    <w:rsid w:val="00814BF3"/>
    <w:rPr>
      <w:color w:val="0000FF"/>
      <w:u w:val="single"/>
    </w:rPr>
  </w:style>
  <w:style w:type="table" w:styleId="TableList6">
    <w:name w:val="Table List 6"/>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9002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9002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9002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9002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9002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9002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9002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90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9002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9002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9002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7B1F8A"/>
    <w:pPr>
      <w:numPr>
        <w:numId w:val="2"/>
      </w:numPr>
    </w:pPr>
  </w:style>
  <w:style w:type="numbering" w:styleId="1ai">
    <w:name w:val="Outline List 1"/>
    <w:basedOn w:val="NoList"/>
    <w:semiHidden/>
    <w:rsid w:val="007B1F8A"/>
    <w:pPr>
      <w:numPr>
        <w:numId w:val="3"/>
      </w:numPr>
    </w:pPr>
  </w:style>
  <w:style w:type="numbering" w:styleId="ArticleSection">
    <w:name w:val="Outline List 3"/>
    <w:basedOn w:val="NoList"/>
    <w:semiHidden/>
    <w:rsid w:val="007B1F8A"/>
    <w:pPr>
      <w:numPr>
        <w:numId w:val="4"/>
      </w:numPr>
    </w:pPr>
  </w:style>
  <w:style w:type="paragraph" w:styleId="BlockText">
    <w:name w:val="Block Text"/>
    <w:basedOn w:val="Normal"/>
    <w:semiHidden/>
    <w:rsid w:val="007B1F8A"/>
    <w:pPr>
      <w:spacing w:after="120"/>
      <w:ind w:left="1440" w:right="1440"/>
    </w:pPr>
  </w:style>
  <w:style w:type="paragraph" w:styleId="BodyText2">
    <w:name w:val="Body Text 2"/>
    <w:basedOn w:val="Normal"/>
    <w:semiHidden/>
    <w:rsid w:val="007B1F8A"/>
    <w:pPr>
      <w:spacing w:after="120" w:line="480" w:lineRule="auto"/>
    </w:pPr>
  </w:style>
  <w:style w:type="paragraph" w:styleId="BodyText3">
    <w:name w:val="Body Text 3"/>
    <w:basedOn w:val="Normal"/>
    <w:semiHidden/>
    <w:rsid w:val="007B1F8A"/>
    <w:pPr>
      <w:spacing w:after="120"/>
    </w:pPr>
    <w:rPr>
      <w:sz w:val="16"/>
      <w:szCs w:val="16"/>
    </w:rPr>
  </w:style>
  <w:style w:type="paragraph" w:styleId="BodyText">
    <w:name w:val="Body Text"/>
    <w:basedOn w:val="Normal"/>
    <w:rsid w:val="008964E7"/>
  </w:style>
  <w:style w:type="paragraph" w:styleId="BodyTextFirstIndent">
    <w:name w:val="Body Text First Indent"/>
    <w:basedOn w:val="BodyText"/>
    <w:semiHidden/>
    <w:rsid w:val="007B1F8A"/>
    <w:pPr>
      <w:ind w:firstLine="210"/>
    </w:pPr>
  </w:style>
  <w:style w:type="paragraph" w:styleId="BodyTextIndent">
    <w:name w:val="Body Text Indent"/>
    <w:basedOn w:val="Normal"/>
    <w:semiHidden/>
    <w:rsid w:val="007B1F8A"/>
    <w:pPr>
      <w:spacing w:after="120"/>
      <w:ind w:left="283"/>
    </w:pPr>
  </w:style>
  <w:style w:type="paragraph" w:styleId="BodyTextFirstIndent2">
    <w:name w:val="Body Text First Indent 2"/>
    <w:basedOn w:val="BodyTextIndent"/>
    <w:semiHidden/>
    <w:rsid w:val="007B1F8A"/>
    <w:pPr>
      <w:ind w:firstLine="210"/>
    </w:pPr>
  </w:style>
  <w:style w:type="paragraph" w:styleId="BodyTextIndent2">
    <w:name w:val="Body Text Indent 2"/>
    <w:basedOn w:val="Normal"/>
    <w:semiHidden/>
    <w:rsid w:val="007B1F8A"/>
    <w:pPr>
      <w:spacing w:after="120" w:line="480" w:lineRule="auto"/>
      <w:ind w:left="283"/>
    </w:pPr>
  </w:style>
  <w:style w:type="paragraph" w:styleId="BodyTextIndent3">
    <w:name w:val="Body Text Indent 3"/>
    <w:basedOn w:val="Normal"/>
    <w:semiHidden/>
    <w:rsid w:val="007B1F8A"/>
    <w:pPr>
      <w:spacing w:after="120"/>
      <w:ind w:left="283"/>
    </w:pPr>
    <w:rPr>
      <w:sz w:val="16"/>
      <w:szCs w:val="16"/>
    </w:rPr>
  </w:style>
  <w:style w:type="paragraph" w:styleId="Closing">
    <w:name w:val="Closing"/>
    <w:basedOn w:val="Normal"/>
    <w:semiHidden/>
    <w:rsid w:val="007B1F8A"/>
    <w:pPr>
      <w:ind w:left="4252"/>
    </w:pPr>
  </w:style>
  <w:style w:type="paragraph" w:styleId="Date">
    <w:name w:val="Date"/>
    <w:basedOn w:val="Normal"/>
    <w:next w:val="Normal"/>
    <w:semiHidden/>
    <w:rsid w:val="007B1F8A"/>
  </w:style>
  <w:style w:type="paragraph" w:styleId="E-mailSignature">
    <w:name w:val="E-mail Signature"/>
    <w:basedOn w:val="Normal"/>
    <w:semiHidden/>
    <w:rsid w:val="007B1F8A"/>
  </w:style>
  <w:style w:type="character" w:styleId="Emphasis">
    <w:name w:val="Emphasis"/>
    <w:qFormat/>
    <w:rsid w:val="007B1F8A"/>
    <w:rPr>
      <w:i/>
      <w:iCs/>
    </w:rPr>
  </w:style>
  <w:style w:type="paragraph" w:styleId="EndnoteText">
    <w:name w:val="endnote text"/>
    <w:aliases w:val="Endnote Text Char,Endnote Text Char1 Char,Endnote Text Char Char Char Char1 Char,Endnote Text Char Char Char Char Char Char,Endnote Text Char Char Char Char Char Char Char Char Char,Endnote Text Char1,Endnote Text Char Char Char Char1"/>
    <w:basedOn w:val="Normal"/>
    <w:rsid w:val="007B1F8A"/>
    <w:rPr>
      <w:sz w:val="20"/>
      <w:szCs w:val="20"/>
    </w:rPr>
  </w:style>
  <w:style w:type="paragraph" w:styleId="EnvelopeAddress">
    <w:name w:val="envelope address"/>
    <w:basedOn w:val="Normal"/>
    <w:semiHidden/>
    <w:rsid w:val="007B1F8A"/>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7B1F8A"/>
    <w:rPr>
      <w:rFonts w:ascii="Arial" w:hAnsi="Arial" w:cs="Arial"/>
      <w:sz w:val="20"/>
      <w:szCs w:val="20"/>
    </w:rPr>
  </w:style>
  <w:style w:type="character" w:styleId="FollowedHyperlink">
    <w:name w:val="FollowedHyperlink"/>
    <w:semiHidden/>
    <w:rsid w:val="007B1F8A"/>
    <w:rPr>
      <w:color w:val="800080"/>
      <w:u w:val="single"/>
    </w:rPr>
  </w:style>
  <w:style w:type="character" w:styleId="HTMLAcronym">
    <w:name w:val="HTML Acronym"/>
    <w:basedOn w:val="DefaultParagraphFont"/>
    <w:semiHidden/>
    <w:rsid w:val="007B1F8A"/>
  </w:style>
  <w:style w:type="paragraph" w:styleId="HTMLAddress">
    <w:name w:val="HTML Address"/>
    <w:basedOn w:val="Normal"/>
    <w:semiHidden/>
    <w:rsid w:val="007B1F8A"/>
    <w:rPr>
      <w:i/>
      <w:iCs/>
    </w:rPr>
  </w:style>
  <w:style w:type="character" w:styleId="HTMLCite">
    <w:name w:val="HTML Cite"/>
    <w:semiHidden/>
    <w:rsid w:val="007B1F8A"/>
    <w:rPr>
      <w:i/>
      <w:iCs/>
    </w:rPr>
  </w:style>
  <w:style w:type="character" w:styleId="HTMLCode">
    <w:name w:val="HTML Code"/>
    <w:semiHidden/>
    <w:rsid w:val="007B1F8A"/>
    <w:rPr>
      <w:rFonts w:ascii="Courier New" w:hAnsi="Courier New" w:cs="Courier New"/>
      <w:sz w:val="20"/>
      <w:szCs w:val="20"/>
    </w:rPr>
  </w:style>
  <w:style w:type="character" w:styleId="HTMLDefinition">
    <w:name w:val="HTML Definition"/>
    <w:semiHidden/>
    <w:rsid w:val="007B1F8A"/>
    <w:rPr>
      <w:i/>
      <w:iCs/>
    </w:rPr>
  </w:style>
  <w:style w:type="character" w:styleId="HTMLKeyboard">
    <w:name w:val="HTML Keyboard"/>
    <w:semiHidden/>
    <w:rsid w:val="007B1F8A"/>
    <w:rPr>
      <w:rFonts w:ascii="Courier New" w:hAnsi="Courier New" w:cs="Courier New"/>
      <w:sz w:val="20"/>
      <w:szCs w:val="20"/>
    </w:rPr>
  </w:style>
  <w:style w:type="paragraph" w:styleId="HTMLPreformatted">
    <w:name w:val="HTML Preformatted"/>
    <w:basedOn w:val="Normal"/>
    <w:semiHidden/>
    <w:rsid w:val="007B1F8A"/>
    <w:rPr>
      <w:rFonts w:ascii="Courier New" w:hAnsi="Courier New" w:cs="Courier New"/>
      <w:sz w:val="20"/>
      <w:szCs w:val="20"/>
    </w:rPr>
  </w:style>
  <w:style w:type="character" w:styleId="HTMLSample">
    <w:name w:val="HTML Sample"/>
    <w:semiHidden/>
    <w:rsid w:val="007B1F8A"/>
    <w:rPr>
      <w:rFonts w:ascii="Courier New" w:hAnsi="Courier New" w:cs="Courier New"/>
    </w:rPr>
  </w:style>
  <w:style w:type="character" w:styleId="HTMLTypewriter">
    <w:name w:val="HTML Typewriter"/>
    <w:semiHidden/>
    <w:rsid w:val="007B1F8A"/>
    <w:rPr>
      <w:rFonts w:ascii="Courier New" w:hAnsi="Courier New" w:cs="Courier New"/>
      <w:sz w:val="20"/>
      <w:szCs w:val="20"/>
    </w:rPr>
  </w:style>
  <w:style w:type="character" w:styleId="HTMLVariable">
    <w:name w:val="HTML Variable"/>
    <w:semiHidden/>
    <w:rsid w:val="007B1F8A"/>
    <w:rPr>
      <w:i/>
      <w:iCs/>
    </w:rPr>
  </w:style>
  <w:style w:type="character" w:styleId="LineNumber">
    <w:name w:val="line number"/>
    <w:basedOn w:val="DefaultParagraphFont"/>
    <w:semiHidden/>
    <w:rsid w:val="007B1F8A"/>
  </w:style>
  <w:style w:type="paragraph" w:styleId="List">
    <w:name w:val="List"/>
    <w:basedOn w:val="Normal"/>
    <w:semiHidden/>
    <w:rsid w:val="007B1F8A"/>
    <w:pPr>
      <w:ind w:left="283" w:hanging="283"/>
    </w:pPr>
  </w:style>
  <w:style w:type="paragraph" w:styleId="List2">
    <w:name w:val="List 2"/>
    <w:basedOn w:val="Normal"/>
    <w:semiHidden/>
    <w:rsid w:val="007B1F8A"/>
    <w:pPr>
      <w:ind w:left="566" w:hanging="283"/>
    </w:pPr>
  </w:style>
  <w:style w:type="paragraph" w:styleId="List3">
    <w:name w:val="List 3"/>
    <w:basedOn w:val="Normal"/>
    <w:semiHidden/>
    <w:rsid w:val="007B1F8A"/>
    <w:pPr>
      <w:ind w:left="849" w:hanging="283"/>
    </w:pPr>
  </w:style>
  <w:style w:type="paragraph" w:styleId="List4">
    <w:name w:val="List 4"/>
    <w:basedOn w:val="Normal"/>
    <w:semiHidden/>
    <w:rsid w:val="007B1F8A"/>
    <w:pPr>
      <w:ind w:left="1132" w:hanging="283"/>
    </w:pPr>
  </w:style>
  <w:style w:type="paragraph" w:styleId="List5">
    <w:name w:val="List 5"/>
    <w:basedOn w:val="Normal"/>
    <w:semiHidden/>
    <w:rsid w:val="007B1F8A"/>
    <w:pPr>
      <w:ind w:left="1415" w:hanging="283"/>
    </w:pPr>
  </w:style>
  <w:style w:type="paragraph" w:styleId="ListBullet2">
    <w:name w:val="List Bullet 2"/>
    <w:basedOn w:val="Normal"/>
    <w:autoRedefine/>
    <w:semiHidden/>
    <w:rsid w:val="007B1F8A"/>
    <w:pPr>
      <w:numPr>
        <w:numId w:val="5"/>
      </w:numPr>
    </w:pPr>
  </w:style>
  <w:style w:type="paragraph" w:styleId="ListBullet3">
    <w:name w:val="List Bullet 3"/>
    <w:basedOn w:val="Normal"/>
    <w:autoRedefine/>
    <w:semiHidden/>
    <w:rsid w:val="007B1F8A"/>
    <w:pPr>
      <w:numPr>
        <w:numId w:val="6"/>
      </w:numPr>
    </w:pPr>
  </w:style>
  <w:style w:type="paragraph" w:styleId="ListBullet4">
    <w:name w:val="List Bullet 4"/>
    <w:basedOn w:val="Normal"/>
    <w:autoRedefine/>
    <w:semiHidden/>
    <w:rsid w:val="007B1F8A"/>
    <w:pPr>
      <w:numPr>
        <w:numId w:val="7"/>
      </w:numPr>
    </w:pPr>
  </w:style>
  <w:style w:type="paragraph" w:styleId="ListBullet5">
    <w:name w:val="List Bullet 5"/>
    <w:basedOn w:val="Normal"/>
    <w:autoRedefine/>
    <w:semiHidden/>
    <w:rsid w:val="007B1F8A"/>
    <w:pPr>
      <w:numPr>
        <w:numId w:val="8"/>
      </w:numPr>
    </w:pPr>
  </w:style>
  <w:style w:type="paragraph" w:styleId="ListContinue">
    <w:name w:val="List Continue"/>
    <w:basedOn w:val="Normal"/>
    <w:semiHidden/>
    <w:rsid w:val="007B1F8A"/>
    <w:pPr>
      <w:spacing w:after="120"/>
      <w:ind w:left="283"/>
    </w:pPr>
  </w:style>
  <w:style w:type="paragraph" w:styleId="ListContinue2">
    <w:name w:val="List Continue 2"/>
    <w:basedOn w:val="Normal"/>
    <w:semiHidden/>
    <w:rsid w:val="007B1F8A"/>
    <w:pPr>
      <w:spacing w:after="120"/>
      <w:ind w:left="566"/>
    </w:pPr>
  </w:style>
  <w:style w:type="paragraph" w:styleId="ListContinue3">
    <w:name w:val="List Continue 3"/>
    <w:basedOn w:val="Normal"/>
    <w:semiHidden/>
    <w:rsid w:val="007B1F8A"/>
    <w:pPr>
      <w:spacing w:after="120"/>
      <w:ind w:left="849"/>
    </w:pPr>
  </w:style>
  <w:style w:type="paragraph" w:styleId="ListContinue4">
    <w:name w:val="List Continue 4"/>
    <w:basedOn w:val="Normal"/>
    <w:semiHidden/>
    <w:rsid w:val="007B1F8A"/>
    <w:pPr>
      <w:spacing w:after="120"/>
      <w:ind w:left="1132"/>
    </w:pPr>
  </w:style>
  <w:style w:type="paragraph" w:styleId="ListContinue5">
    <w:name w:val="List Continue 5"/>
    <w:basedOn w:val="Normal"/>
    <w:semiHidden/>
    <w:rsid w:val="007B1F8A"/>
    <w:pPr>
      <w:spacing w:after="120"/>
      <w:ind w:left="1415"/>
    </w:pPr>
  </w:style>
  <w:style w:type="paragraph" w:styleId="ListNumber">
    <w:name w:val="List Number"/>
    <w:basedOn w:val="Normal"/>
    <w:semiHidden/>
    <w:rsid w:val="007B1F8A"/>
    <w:pPr>
      <w:numPr>
        <w:numId w:val="9"/>
      </w:numPr>
    </w:pPr>
  </w:style>
  <w:style w:type="paragraph" w:styleId="ListNumber2">
    <w:name w:val="List Number 2"/>
    <w:basedOn w:val="Normal"/>
    <w:semiHidden/>
    <w:rsid w:val="007B1F8A"/>
    <w:pPr>
      <w:numPr>
        <w:numId w:val="10"/>
      </w:numPr>
    </w:pPr>
  </w:style>
  <w:style w:type="paragraph" w:styleId="ListNumber3">
    <w:name w:val="List Number 3"/>
    <w:basedOn w:val="Normal"/>
    <w:semiHidden/>
    <w:rsid w:val="007B1F8A"/>
    <w:pPr>
      <w:numPr>
        <w:numId w:val="11"/>
      </w:numPr>
    </w:pPr>
  </w:style>
  <w:style w:type="paragraph" w:styleId="ListNumber4">
    <w:name w:val="List Number 4"/>
    <w:basedOn w:val="Normal"/>
    <w:semiHidden/>
    <w:rsid w:val="007B1F8A"/>
    <w:pPr>
      <w:numPr>
        <w:numId w:val="12"/>
      </w:numPr>
    </w:pPr>
  </w:style>
  <w:style w:type="paragraph" w:styleId="ListNumber5">
    <w:name w:val="List Number 5"/>
    <w:basedOn w:val="Normal"/>
    <w:semiHidden/>
    <w:rsid w:val="007B1F8A"/>
    <w:pPr>
      <w:numPr>
        <w:numId w:val="13"/>
      </w:numPr>
    </w:pPr>
  </w:style>
  <w:style w:type="paragraph" w:styleId="MessageHeader">
    <w:name w:val="Message Header"/>
    <w:basedOn w:val="Normal"/>
    <w:semiHidden/>
    <w:rsid w:val="007B1F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rsid w:val="007B1F8A"/>
    <w:rPr>
      <w:sz w:val="24"/>
    </w:rPr>
  </w:style>
  <w:style w:type="paragraph" w:styleId="NormalIndent">
    <w:name w:val="Normal Indent"/>
    <w:basedOn w:val="Normal"/>
    <w:semiHidden/>
    <w:rsid w:val="007B1F8A"/>
    <w:pPr>
      <w:ind w:left="720"/>
    </w:pPr>
  </w:style>
  <w:style w:type="paragraph" w:styleId="NoteHeading">
    <w:name w:val="Note Heading"/>
    <w:basedOn w:val="Normal"/>
    <w:next w:val="Normal"/>
    <w:semiHidden/>
    <w:rsid w:val="007B1F8A"/>
  </w:style>
  <w:style w:type="character" w:styleId="PageNumber">
    <w:name w:val="page number"/>
    <w:basedOn w:val="DefaultParagraphFont"/>
    <w:semiHidden/>
    <w:rsid w:val="007B1F8A"/>
  </w:style>
  <w:style w:type="paragraph" w:styleId="PlainText">
    <w:name w:val="Plain Text"/>
    <w:basedOn w:val="Normal"/>
    <w:semiHidden/>
    <w:rsid w:val="007B1F8A"/>
    <w:rPr>
      <w:rFonts w:ascii="Courier New" w:hAnsi="Courier New" w:cs="Courier New"/>
      <w:sz w:val="20"/>
      <w:szCs w:val="20"/>
    </w:rPr>
  </w:style>
  <w:style w:type="paragraph" w:styleId="Salutation">
    <w:name w:val="Salutation"/>
    <w:basedOn w:val="Normal"/>
    <w:next w:val="Normal"/>
    <w:semiHidden/>
    <w:rsid w:val="007B1F8A"/>
  </w:style>
  <w:style w:type="paragraph" w:styleId="Signature">
    <w:name w:val="Signature"/>
    <w:basedOn w:val="Normal"/>
    <w:semiHidden/>
    <w:rsid w:val="007B1F8A"/>
    <w:pPr>
      <w:ind w:left="4252"/>
    </w:pPr>
  </w:style>
  <w:style w:type="character" w:styleId="Strong">
    <w:name w:val="Strong"/>
    <w:uiPriority w:val="22"/>
    <w:qFormat/>
    <w:rsid w:val="007B1F8A"/>
    <w:rPr>
      <w:b/>
      <w:bCs/>
    </w:rPr>
  </w:style>
  <w:style w:type="paragraph" w:styleId="Subtitle">
    <w:name w:val="Subtitle"/>
    <w:basedOn w:val="Normal"/>
    <w:qFormat/>
    <w:rsid w:val="00515D49"/>
    <w:pPr>
      <w:spacing w:after="60"/>
      <w:jc w:val="center"/>
      <w:outlineLvl w:val="1"/>
    </w:pPr>
    <w:rPr>
      <w:rFonts w:ascii="Lucida Sans Unicode" w:hAnsi="Lucida Sans Unicode" w:cs="Arial"/>
      <w:b/>
      <w:color w:val="FF0000"/>
      <w:sz w:val="24"/>
    </w:rPr>
  </w:style>
  <w:style w:type="table" w:styleId="Table3Deffects1">
    <w:name w:val="Table 3D effects 1"/>
    <w:basedOn w:val="TableNormal"/>
    <w:semiHidden/>
    <w:rsid w:val="007B1F8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1F8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1F8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1F8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1F8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1F8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semiHidden/>
    <w:rsid w:val="007B1F8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1F8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7B1F8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1F8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1F8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1F8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1F8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1F8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1F8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1F8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1F8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1F8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1F8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1F8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1F8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1F8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7B1F8A"/>
    <w:pPr>
      <w:spacing w:before="120" w:after="120"/>
    </w:pPr>
    <w:rPr>
      <w:b/>
      <w:bCs/>
      <w:caps/>
      <w:sz w:val="20"/>
      <w:szCs w:val="20"/>
    </w:rPr>
  </w:style>
  <w:style w:type="paragraph" w:styleId="Title">
    <w:name w:val="Title"/>
    <w:basedOn w:val="Normal"/>
    <w:qFormat/>
    <w:rsid w:val="007B1F8A"/>
    <w:pPr>
      <w:spacing w:before="240" w:after="60"/>
      <w:jc w:val="center"/>
      <w:outlineLvl w:val="0"/>
    </w:pPr>
    <w:rPr>
      <w:rFonts w:ascii="Lucida Sans Unicode" w:hAnsi="Lucida Sans Unicode" w:cs="Arial"/>
      <w:b/>
      <w:bCs/>
      <w:color w:val="FF0000"/>
      <w:kern w:val="28"/>
      <w:sz w:val="36"/>
      <w:szCs w:val="32"/>
    </w:rPr>
  </w:style>
  <w:style w:type="paragraph" w:styleId="TOC2">
    <w:name w:val="toc 2"/>
    <w:basedOn w:val="Normal"/>
    <w:next w:val="Normal"/>
    <w:autoRedefine/>
    <w:uiPriority w:val="39"/>
    <w:rsid w:val="00260203"/>
    <w:pPr>
      <w:spacing w:line="276" w:lineRule="auto"/>
      <w:ind w:left="221"/>
    </w:pPr>
    <w:rPr>
      <w:rFonts w:ascii="Calibri" w:eastAsia="Calibri" w:hAnsi="Calibri"/>
      <w:smallCaps/>
      <w:sz w:val="20"/>
      <w:szCs w:val="20"/>
      <w:lang w:eastAsia="en-US"/>
    </w:rPr>
  </w:style>
  <w:style w:type="paragraph" w:styleId="TOC3">
    <w:name w:val="toc 3"/>
    <w:basedOn w:val="Normal"/>
    <w:next w:val="Normal"/>
    <w:autoRedefine/>
    <w:semiHidden/>
    <w:rsid w:val="00260203"/>
    <w:pPr>
      <w:spacing w:line="276" w:lineRule="auto"/>
      <w:ind w:left="442"/>
    </w:pPr>
    <w:rPr>
      <w:rFonts w:ascii="Calibri" w:eastAsia="Calibri" w:hAnsi="Calibri"/>
      <w:i/>
      <w:iCs/>
      <w:sz w:val="20"/>
      <w:szCs w:val="20"/>
      <w:lang w:eastAsia="en-US"/>
    </w:rPr>
  </w:style>
  <w:style w:type="paragraph" w:styleId="TOC4">
    <w:name w:val="toc 4"/>
    <w:basedOn w:val="Normal"/>
    <w:next w:val="Normal"/>
    <w:autoRedefine/>
    <w:uiPriority w:val="39"/>
    <w:rsid w:val="00260203"/>
    <w:pPr>
      <w:spacing w:line="276" w:lineRule="auto"/>
      <w:ind w:left="658"/>
    </w:pPr>
    <w:rPr>
      <w:rFonts w:ascii="Calibri" w:eastAsia="Calibri" w:hAnsi="Calibri"/>
      <w:sz w:val="18"/>
      <w:szCs w:val="18"/>
      <w:lang w:eastAsia="en-US"/>
    </w:rPr>
  </w:style>
  <w:style w:type="paragraph" w:styleId="TOC5">
    <w:name w:val="toc 5"/>
    <w:basedOn w:val="Normal"/>
    <w:next w:val="Normal"/>
    <w:autoRedefine/>
    <w:semiHidden/>
    <w:rsid w:val="007B1F8A"/>
    <w:pPr>
      <w:ind w:left="880"/>
    </w:pPr>
    <w:rPr>
      <w:sz w:val="18"/>
      <w:szCs w:val="18"/>
    </w:rPr>
  </w:style>
  <w:style w:type="paragraph" w:styleId="TOC6">
    <w:name w:val="toc 6"/>
    <w:basedOn w:val="Normal"/>
    <w:next w:val="Normal"/>
    <w:autoRedefine/>
    <w:semiHidden/>
    <w:rsid w:val="007B1F8A"/>
    <w:pPr>
      <w:ind w:left="1100"/>
    </w:pPr>
    <w:rPr>
      <w:sz w:val="18"/>
      <w:szCs w:val="18"/>
    </w:rPr>
  </w:style>
  <w:style w:type="paragraph" w:styleId="TOC7">
    <w:name w:val="toc 7"/>
    <w:basedOn w:val="Normal"/>
    <w:next w:val="Normal"/>
    <w:autoRedefine/>
    <w:semiHidden/>
    <w:rsid w:val="007B1F8A"/>
    <w:pPr>
      <w:ind w:left="1320"/>
    </w:pPr>
    <w:rPr>
      <w:sz w:val="18"/>
      <w:szCs w:val="18"/>
    </w:rPr>
  </w:style>
  <w:style w:type="paragraph" w:styleId="TOC8">
    <w:name w:val="toc 8"/>
    <w:basedOn w:val="Normal"/>
    <w:next w:val="Normal"/>
    <w:autoRedefine/>
    <w:semiHidden/>
    <w:rsid w:val="007B1F8A"/>
    <w:pPr>
      <w:ind w:left="1540"/>
    </w:pPr>
    <w:rPr>
      <w:sz w:val="18"/>
      <w:szCs w:val="18"/>
    </w:rPr>
  </w:style>
  <w:style w:type="paragraph" w:styleId="TOC9">
    <w:name w:val="toc 9"/>
    <w:basedOn w:val="Normal"/>
    <w:next w:val="Normal"/>
    <w:autoRedefine/>
    <w:semiHidden/>
    <w:rsid w:val="007B1F8A"/>
    <w:pPr>
      <w:ind w:left="1760"/>
    </w:pPr>
    <w:rPr>
      <w:sz w:val="18"/>
      <w:szCs w:val="18"/>
    </w:rPr>
  </w:style>
  <w:style w:type="paragraph" w:styleId="DocumentMap">
    <w:name w:val="Document Map"/>
    <w:basedOn w:val="Normal"/>
    <w:qFormat/>
    <w:rsid w:val="0048580A"/>
    <w:pPr>
      <w:shd w:val="clear" w:color="auto" w:fill="000080"/>
    </w:pPr>
    <w:rPr>
      <w:rFonts w:ascii="Calibri" w:hAnsi="Calibri" w:cs="Tahoma"/>
      <w:sz w:val="16"/>
    </w:rPr>
  </w:style>
  <w:style w:type="paragraph" w:styleId="ListParagraph">
    <w:name w:val="List Paragraph"/>
    <w:basedOn w:val="Normal"/>
    <w:uiPriority w:val="34"/>
    <w:qFormat/>
    <w:rsid w:val="0080513E"/>
    <w:pPr>
      <w:ind w:left="720"/>
    </w:pPr>
  </w:style>
  <w:style w:type="table" w:styleId="TableGrid">
    <w:name w:val="Table Grid"/>
    <w:basedOn w:val="TableNormal"/>
    <w:uiPriority w:val="59"/>
    <w:rsid w:val="000B75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336C"/>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59684B"/>
    <w:rPr>
      <w:rFonts w:ascii="Tahoma" w:hAnsi="Tahoma" w:cs="Tahoma"/>
      <w:sz w:val="16"/>
      <w:szCs w:val="16"/>
    </w:rPr>
  </w:style>
  <w:style w:type="character" w:customStyle="1" w:styleId="BalloonTextChar">
    <w:name w:val="Balloon Text Char"/>
    <w:basedOn w:val="DefaultParagraphFont"/>
    <w:link w:val="BalloonText"/>
    <w:uiPriority w:val="99"/>
    <w:semiHidden/>
    <w:rsid w:val="0059684B"/>
    <w:rPr>
      <w:rFonts w:ascii="Tahoma" w:hAnsi="Tahoma" w:cs="Tahoma"/>
      <w:sz w:val="16"/>
      <w:szCs w:val="16"/>
    </w:rPr>
  </w:style>
  <w:style w:type="character" w:styleId="EndnoteReference">
    <w:name w:val="endnote reference"/>
    <w:basedOn w:val="DefaultParagraphFont"/>
    <w:unhideWhenUsed/>
    <w:rsid w:val="0059684B"/>
    <w:rPr>
      <w:vertAlign w:val="superscript"/>
    </w:rPr>
  </w:style>
  <w:style w:type="character" w:styleId="FootnoteReference">
    <w:name w:val="footnote reference"/>
    <w:aliases w:val="ftref"/>
    <w:basedOn w:val="DefaultParagraphFont"/>
    <w:rsid w:val="003F5373"/>
    <w:rPr>
      <w:vertAlign w:val="superscript"/>
    </w:rPr>
  </w:style>
  <w:style w:type="paragraph" w:styleId="FootnoteText">
    <w:name w:val="footnote text"/>
    <w:aliases w:val=" Char Char Char,Char Char Char"/>
    <w:basedOn w:val="Normal"/>
    <w:link w:val="FootnoteTextChar"/>
    <w:rsid w:val="003F5373"/>
    <w:rPr>
      <w:rFonts w:eastAsia="SimSun"/>
      <w:sz w:val="20"/>
      <w:szCs w:val="20"/>
      <w:lang w:val="en-US" w:eastAsia="zh-CN"/>
    </w:rPr>
  </w:style>
  <w:style w:type="character" w:customStyle="1" w:styleId="FootnoteTextChar">
    <w:name w:val="Footnote Text Char"/>
    <w:aliases w:val=" Char Char Char Char,Char Char Char Char"/>
    <w:basedOn w:val="DefaultParagraphFont"/>
    <w:link w:val="FootnoteText"/>
    <w:uiPriority w:val="99"/>
    <w:rsid w:val="003F5373"/>
    <w:rPr>
      <w:rFonts w:eastAsia="SimSu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2089">
      <w:bodyDiv w:val="1"/>
      <w:marLeft w:val="0"/>
      <w:marRight w:val="0"/>
      <w:marTop w:val="0"/>
      <w:marBottom w:val="0"/>
      <w:divBdr>
        <w:top w:val="none" w:sz="0" w:space="0" w:color="auto"/>
        <w:left w:val="none" w:sz="0" w:space="0" w:color="auto"/>
        <w:bottom w:val="none" w:sz="0" w:space="0" w:color="auto"/>
        <w:right w:val="none" w:sz="0" w:space="0" w:color="auto"/>
      </w:divBdr>
      <w:divsChild>
        <w:div w:id="611939764">
          <w:marLeft w:val="0"/>
          <w:marRight w:val="0"/>
          <w:marTop w:val="0"/>
          <w:marBottom w:val="0"/>
          <w:divBdr>
            <w:top w:val="none" w:sz="0" w:space="0" w:color="auto"/>
            <w:left w:val="none" w:sz="0" w:space="0" w:color="auto"/>
            <w:bottom w:val="none" w:sz="0" w:space="0" w:color="auto"/>
            <w:right w:val="none" w:sz="0" w:space="0" w:color="auto"/>
          </w:divBdr>
        </w:div>
        <w:div w:id="402996710">
          <w:marLeft w:val="0"/>
          <w:marRight w:val="0"/>
          <w:marTop w:val="0"/>
          <w:marBottom w:val="0"/>
          <w:divBdr>
            <w:top w:val="none" w:sz="0" w:space="0" w:color="auto"/>
            <w:left w:val="none" w:sz="0" w:space="0" w:color="auto"/>
            <w:bottom w:val="none" w:sz="0" w:space="0" w:color="auto"/>
            <w:right w:val="none" w:sz="0" w:space="0" w:color="auto"/>
          </w:divBdr>
        </w:div>
        <w:div w:id="1173911057">
          <w:marLeft w:val="0"/>
          <w:marRight w:val="0"/>
          <w:marTop w:val="0"/>
          <w:marBottom w:val="0"/>
          <w:divBdr>
            <w:top w:val="none" w:sz="0" w:space="0" w:color="auto"/>
            <w:left w:val="none" w:sz="0" w:space="0" w:color="auto"/>
            <w:bottom w:val="none" w:sz="0" w:space="0" w:color="auto"/>
            <w:right w:val="none" w:sz="0" w:space="0" w:color="auto"/>
          </w:divBdr>
        </w:div>
      </w:divsChild>
    </w:div>
    <w:div w:id="126826316">
      <w:bodyDiv w:val="1"/>
      <w:marLeft w:val="0"/>
      <w:marRight w:val="0"/>
      <w:marTop w:val="0"/>
      <w:marBottom w:val="0"/>
      <w:divBdr>
        <w:top w:val="none" w:sz="0" w:space="0" w:color="auto"/>
        <w:left w:val="none" w:sz="0" w:space="0" w:color="auto"/>
        <w:bottom w:val="none" w:sz="0" w:space="0" w:color="auto"/>
        <w:right w:val="none" w:sz="0" w:space="0" w:color="auto"/>
      </w:divBdr>
      <w:divsChild>
        <w:div w:id="1524400100">
          <w:marLeft w:val="0"/>
          <w:marRight w:val="0"/>
          <w:marTop w:val="0"/>
          <w:marBottom w:val="0"/>
          <w:divBdr>
            <w:top w:val="none" w:sz="0" w:space="0" w:color="auto"/>
            <w:left w:val="none" w:sz="0" w:space="0" w:color="auto"/>
            <w:bottom w:val="none" w:sz="0" w:space="0" w:color="auto"/>
            <w:right w:val="none" w:sz="0" w:space="0" w:color="auto"/>
          </w:divBdr>
          <w:divsChild>
            <w:div w:id="114034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9314">
      <w:bodyDiv w:val="1"/>
      <w:marLeft w:val="0"/>
      <w:marRight w:val="0"/>
      <w:marTop w:val="0"/>
      <w:marBottom w:val="0"/>
      <w:divBdr>
        <w:top w:val="none" w:sz="0" w:space="0" w:color="auto"/>
        <w:left w:val="none" w:sz="0" w:space="0" w:color="auto"/>
        <w:bottom w:val="none" w:sz="0" w:space="0" w:color="auto"/>
        <w:right w:val="none" w:sz="0" w:space="0" w:color="auto"/>
      </w:divBdr>
    </w:div>
    <w:div w:id="461850807">
      <w:bodyDiv w:val="1"/>
      <w:marLeft w:val="0"/>
      <w:marRight w:val="0"/>
      <w:marTop w:val="0"/>
      <w:marBottom w:val="0"/>
      <w:divBdr>
        <w:top w:val="none" w:sz="0" w:space="0" w:color="auto"/>
        <w:left w:val="none" w:sz="0" w:space="0" w:color="auto"/>
        <w:bottom w:val="none" w:sz="0" w:space="0" w:color="auto"/>
        <w:right w:val="none" w:sz="0" w:space="0" w:color="auto"/>
      </w:divBdr>
    </w:div>
    <w:div w:id="569391048">
      <w:bodyDiv w:val="1"/>
      <w:marLeft w:val="0"/>
      <w:marRight w:val="0"/>
      <w:marTop w:val="0"/>
      <w:marBottom w:val="0"/>
      <w:divBdr>
        <w:top w:val="none" w:sz="0" w:space="0" w:color="auto"/>
        <w:left w:val="none" w:sz="0" w:space="0" w:color="auto"/>
        <w:bottom w:val="none" w:sz="0" w:space="0" w:color="auto"/>
        <w:right w:val="none" w:sz="0" w:space="0" w:color="auto"/>
      </w:divBdr>
    </w:div>
    <w:div w:id="589891596">
      <w:bodyDiv w:val="1"/>
      <w:marLeft w:val="0"/>
      <w:marRight w:val="0"/>
      <w:marTop w:val="0"/>
      <w:marBottom w:val="0"/>
      <w:divBdr>
        <w:top w:val="none" w:sz="0" w:space="0" w:color="auto"/>
        <w:left w:val="none" w:sz="0" w:space="0" w:color="auto"/>
        <w:bottom w:val="none" w:sz="0" w:space="0" w:color="auto"/>
        <w:right w:val="none" w:sz="0" w:space="0" w:color="auto"/>
      </w:divBdr>
      <w:divsChild>
        <w:div w:id="62072849">
          <w:marLeft w:val="0"/>
          <w:marRight w:val="0"/>
          <w:marTop w:val="0"/>
          <w:marBottom w:val="0"/>
          <w:divBdr>
            <w:top w:val="none" w:sz="0" w:space="0" w:color="auto"/>
            <w:left w:val="none" w:sz="0" w:space="0" w:color="auto"/>
            <w:bottom w:val="none" w:sz="0" w:space="0" w:color="auto"/>
            <w:right w:val="none" w:sz="0" w:space="0" w:color="auto"/>
          </w:divBdr>
        </w:div>
        <w:div w:id="405997379">
          <w:marLeft w:val="0"/>
          <w:marRight w:val="0"/>
          <w:marTop w:val="0"/>
          <w:marBottom w:val="0"/>
          <w:divBdr>
            <w:top w:val="none" w:sz="0" w:space="0" w:color="auto"/>
            <w:left w:val="none" w:sz="0" w:space="0" w:color="auto"/>
            <w:bottom w:val="none" w:sz="0" w:space="0" w:color="auto"/>
            <w:right w:val="none" w:sz="0" w:space="0" w:color="auto"/>
          </w:divBdr>
        </w:div>
        <w:div w:id="666858505">
          <w:marLeft w:val="0"/>
          <w:marRight w:val="0"/>
          <w:marTop w:val="0"/>
          <w:marBottom w:val="0"/>
          <w:divBdr>
            <w:top w:val="none" w:sz="0" w:space="0" w:color="auto"/>
            <w:left w:val="none" w:sz="0" w:space="0" w:color="auto"/>
            <w:bottom w:val="none" w:sz="0" w:space="0" w:color="auto"/>
            <w:right w:val="none" w:sz="0" w:space="0" w:color="auto"/>
          </w:divBdr>
        </w:div>
        <w:div w:id="703213275">
          <w:marLeft w:val="0"/>
          <w:marRight w:val="0"/>
          <w:marTop w:val="0"/>
          <w:marBottom w:val="0"/>
          <w:divBdr>
            <w:top w:val="none" w:sz="0" w:space="0" w:color="auto"/>
            <w:left w:val="none" w:sz="0" w:space="0" w:color="auto"/>
            <w:bottom w:val="none" w:sz="0" w:space="0" w:color="auto"/>
            <w:right w:val="none" w:sz="0" w:space="0" w:color="auto"/>
          </w:divBdr>
        </w:div>
      </w:divsChild>
    </w:div>
    <w:div w:id="611859327">
      <w:bodyDiv w:val="1"/>
      <w:marLeft w:val="0"/>
      <w:marRight w:val="0"/>
      <w:marTop w:val="0"/>
      <w:marBottom w:val="0"/>
      <w:divBdr>
        <w:top w:val="none" w:sz="0" w:space="0" w:color="auto"/>
        <w:left w:val="none" w:sz="0" w:space="0" w:color="auto"/>
        <w:bottom w:val="none" w:sz="0" w:space="0" w:color="auto"/>
        <w:right w:val="none" w:sz="0" w:space="0" w:color="auto"/>
      </w:divBdr>
      <w:divsChild>
        <w:div w:id="1481653242">
          <w:marLeft w:val="0"/>
          <w:marRight w:val="0"/>
          <w:marTop w:val="0"/>
          <w:marBottom w:val="0"/>
          <w:divBdr>
            <w:top w:val="none" w:sz="0" w:space="0" w:color="auto"/>
            <w:left w:val="none" w:sz="0" w:space="0" w:color="auto"/>
            <w:bottom w:val="none" w:sz="0" w:space="0" w:color="auto"/>
            <w:right w:val="none" w:sz="0" w:space="0" w:color="auto"/>
          </w:divBdr>
        </w:div>
        <w:div w:id="260526787">
          <w:marLeft w:val="0"/>
          <w:marRight w:val="0"/>
          <w:marTop w:val="0"/>
          <w:marBottom w:val="0"/>
          <w:divBdr>
            <w:top w:val="none" w:sz="0" w:space="0" w:color="auto"/>
            <w:left w:val="none" w:sz="0" w:space="0" w:color="auto"/>
            <w:bottom w:val="none" w:sz="0" w:space="0" w:color="auto"/>
            <w:right w:val="none" w:sz="0" w:space="0" w:color="auto"/>
          </w:divBdr>
        </w:div>
        <w:div w:id="738593828">
          <w:marLeft w:val="0"/>
          <w:marRight w:val="0"/>
          <w:marTop w:val="0"/>
          <w:marBottom w:val="0"/>
          <w:divBdr>
            <w:top w:val="none" w:sz="0" w:space="0" w:color="auto"/>
            <w:left w:val="none" w:sz="0" w:space="0" w:color="auto"/>
            <w:bottom w:val="none" w:sz="0" w:space="0" w:color="auto"/>
            <w:right w:val="none" w:sz="0" w:space="0" w:color="auto"/>
          </w:divBdr>
        </w:div>
        <w:div w:id="1008945501">
          <w:marLeft w:val="0"/>
          <w:marRight w:val="0"/>
          <w:marTop w:val="0"/>
          <w:marBottom w:val="0"/>
          <w:divBdr>
            <w:top w:val="none" w:sz="0" w:space="0" w:color="auto"/>
            <w:left w:val="none" w:sz="0" w:space="0" w:color="auto"/>
            <w:bottom w:val="none" w:sz="0" w:space="0" w:color="auto"/>
            <w:right w:val="none" w:sz="0" w:space="0" w:color="auto"/>
          </w:divBdr>
        </w:div>
      </w:divsChild>
    </w:div>
    <w:div w:id="634601862">
      <w:bodyDiv w:val="1"/>
      <w:marLeft w:val="0"/>
      <w:marRight w:val="0"/>
      <w:marTop w:val="0"/>
      <w:marBottom w:val="0"/>
      <w:divBdr>
        <w:top w:val="none" w:sz="0" w:space="0" w:color="auto"/>
        <w:left w:val="none" w:sz="0" w:space="0" w:color="auto"/>
        <w:bottom w:val="none" w:sz="0" w:space="0" w:color="auto"/>
        <w:right w:val="none" w:sz="0" w:space="0" w:color="auto"/>
      </w:divBdr>
    </w:div>
    <w:div w:id="880241124">
      <w:bodyDiv w:val="1"/>
      <w:marLeft w:val="0"/>
      <w:marRight w:val="0"/>
      <w:marTop w:val="0"/>
      <w:marBottom w:val="0"/>
      <w:divBdr>
        <w:top w:val="none" w:sz="0" w:space="0" w:color="auto"/>
        <w:left w:val="none" w:sz="0" w:space="0" w:color="auto"/>
        <w:bottom w:val="none" w:sz="0" w:space="0" w:color="auto"/>
        <w:right w:val="none" w:sz="0" w:space="0" w:color="auto"/>
      </w:divBdr>
    </w:div>
    <w:div w:id="942491572">
      <w:bodyDiv w:val="1"/>
      <w:marLeft w:val="0"/>
      <w:marRight w:val="0"/>
      <w:marTop w:val="0"/>
      <w:marBottom w:val="0"/>
      <w:divBdr>
        <w:top w:val="none" w:sz="0" w:space="0" w:color="auto"/>
        <w:left w:val="none" w:sz="0" w:space="0" w:color="auto"/>
        <w:bottom w:val="none" w:sz="0" w:space="0" w:color="auto"/>
        <w:right w:val="none" w:sz="0" w:space="0" w:color="auto"/>
      </w:divBdr>
    </w:div>
    <w:div w:id="983656903">
      <w:bodyDiv w:val="1"/>
      <w:marLeft w:val="0"/>
      <w:marRight w:val="0"/>
      <w:marTop w:val="0"/>
      <w:marBottom w:val="0"/>
      <w:divBdr>
        <w:top w:val="none" w:sz="0" w:space="0" w:color="auto"/>
        <w:left w:val="none" w:sz="0" w:space="0" w:color="auto"/>
        <w:bottom w:val="none" w:sz="0" w:space="0" w:color="auto"/>
        <w:right w:val="none" w:sz="0" w:space="0" w:color="auto"/>
      </w:divBdr>
    </w:div>
    <w:div w:id="1025836813">
      <w:bodyDiv w:val="1"/>
      <w:marLeft w:val="0"/>
      <w:marRight w:val="0"/>
      <w:marTop w:val="0"/>
      <w:marBottom w:val="0"/>
      <w:divBdr>
        <w:top w:val="none" w:sz="0" w:space="0" w:color="auto"/>
        <w:left w:val="none" w:sz="0" w:space="0" w:color="auto"/>
        <w:bottom w:val="none" w:sz="0" w:space="0" w:color="auto"/>
        <w:right w:val="none" w:sz="0" w:space="0" w:color="auto"/>
      </w:divBdr>
    </w:div>
    <w:div w:id="1284313966">
      <w:bodyDiv w:val="1"/>
      <w:marLeft w:val="0"/>
      <w:marRight w:val="0"/>
      <w:marTop w:val="0"/>
      <w:marBottom w:val="0"/>
      <w:divBdr>
        <w:top w:val="none" w:sz="0" w:space="0" w:color="auto"/>
        <w:left w:val="none" w:sz="0" w:space="0" w:color="auto"/>
        <w:bottom w:val="none" w:sz="0" w:space="0" w:color="auto"/>
        <w:right w:val="none" w:sz="0" w:space="0" w:color="auto"/>
      </w:divBdr>
      <w:divsChild>
        <w:div w:id="454297629">
          <w:marLeft w:val="0"/>
          <w:marRight w:val="0"/>
          <w:marTop w:val="0"/>
          <w:marBottom w:val="0"/>
          <w:divBdr>
            <w:top w:val="none" w:sz="0" w:space="0" w:color="auto"/>
            <w:left w:val="none" w:sz="0" w:space="0" w:color="auto"/>
            <w:bottom w:val="none" w:sz="0" w:space="0" w:color="auto"/>
            <w:right w:val="none" w:sz="0" w:space="0" w:color="auto"/>
          </w:divBdr>
          <w:divsChild>
            <w:div w:id="8783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29621">
      <w:bodyDiv w:val="1"/>
      <w:marLeft w:val="0"/>
      <w:marRight w:val="0"/>
      <w:marTop w:val="0"/>
      <w:marBottom w:val="0"/>
      <w:divBdr>
        <w:top w:val="none" w:sz="0" w:space="0" w:color="auto"/>
        <w:left w:val="none" w:sz="0" w:space="0" w:color="auto"/>
        <w:bottom w:val="none" w:sz="0" w:space="0" w:color="auto"/>
        <w:right w:val="none" w:sz="0" w:space="0" w:color="auto"/>
      </w:divBdr>
    </w:div>
    <w:div w:id="1525821339">
      <w:bodyDiv w:val="1"/>
      <w:marLeft w:val="0"/>
      <w:marRight w:val="0"/>
      <w:marTop w:val="0"/>
      <w:marBottom w:val="0"/>
      <w:divBdr>
        <w:top w:val="none" w:sz="0" w:space="0" w:color="auto"/>
        <w:left w:val="none" w:sz="0" w:space="0" w:color="auto"/>
        <w:bottom w:val="none" w:sz="0" w:space="0" w:color="auto"/>
        <w:right w:val="none" w:sz="0" w:space="0" w:color="auto"/>
      </w:divBdr>
    </w:div>
    <w:div w:id="1816946381">
      <w:bodyDiv w:val="1"/>
      <w:marLeft w:val="0"/>
      <w:marRight w:val="0"/>
      <w:marTop w:val="0"/>
      <w:marBottom w:val="0"/>
      <w:divBdr>
        <w:top w:val="none" w:sz="0" w:space="0" w:color="auto"/>
        <w:left w:val="none" w:sz="0" w:space="0" w:color="auto"/>
        <w:bottom w:val="none" w:sz="0" w:space="0" w:color="auto"/>
        <w:right w:val="none" w:sz="0" w:space="0" w:color="auto"/>
      </w:divBdr>
    </w:div>
    <w:div w:id="1843230806">
      <w:bodyDiv w:val="1"/>
      <w:marLeft w:val="0"/>
      <w:marRight w:val="0"/>
      <w:marTop w:val="0"/>
      <w:marBottom w:val="0"/>
      <w:divBdr>
        <w:top w:val="none" w:sz="0" w:space="0" w:color="auto"/>
        <w:left w:val="none" w:sz="0" w:space="0" w:color="auto"/>
        <w:bottom w:val="none" w:sz="0" w:space="0" w:color="auto"/>
        <w:right w:val="none" w:sz="0" w:space="0" w:color="auto"/>
      </w:divBdr>
    </w:div>
    <w:div w:id="1997302028">
      <w:bodyDiv w:val="1"/>
      <w:marLeft w:val="0"/>
      <w:marRight w:val="0"/>
      <w:marTop w:val="0"/>
      <w:marBottom w:val="0"/>
      <w:divBdr>
        <w:top w:val="none" w:sz="0" w:space="0" w:color="auto"/>
        <w:left w:val="none" w:sz="0" w:space="0" w:color="auto"/>
        <w:bottom w:val="none" w:sz="0" w:space="0" w:color="auto"/>
        <w:right w:val="none" w:sz="0" w:space="0" w:color="auto"/>
      </w:divBdr>
    </w:div>
    <w:div w:id="2047364553">
      <w:bodyDiv w:val="1"/>
      <w:marLeft w:val="0"/>
      <w:marRight w:val="0"/>
      <w:marTop w:val="0"/>
      <w:marBottom w:val="0"/>
      <w:divBdr>
        <w:top w:val="none" w:sz="0" w:space="0" w:color="auto"/>
        <w:left w:val="none" w:sz="0" w:space="0" w:color="auto"/>
        <w:bottom w:val="none" w:sz="0" w:space="0" w:color="auto"/>
        <w:right w:val="none" w:sz="0" w:space="0" w:color="auto"/>
      </w:divBdr>
      <w:divsChild>
        <w:div w:id="1087075876">
          <w:marLeft w:val="0"/>
          <w:marRight w:val="0"/>
          <w:marTop w:val="0"/>
          <w:marBottom w:val="0"/>
          <w:divBdr>
            <w:top w:val="none" w:sz="0" w:space="0" w:color="auto"/>
            <w:left w:val="none" w:sz="0" w:space="0" w:color="auto"/>
            <w:bottom w:val="none" w:sz="0" w:space="0" w:color="auto"/>
            <w:right w:val="none" w:sz="0" w:space="0" w:color="auto"/>
          </w:divBdr>
          <w:divsChild>
            <w:div w:id="1060594141">
              <w:marLeft w:val="0"/>
              <w:marRight w:val="0"/>
              <w:marTop w:val="0"/>
              <w:marBottom w:val="0"/>
              <w:divBdr>
                <w:top w:val="none" w:sz="0" w:space="0" w:color="auto"/>
                <w:left w:val="none" w:sz="0" w:space="0" w:color="auto"/>
                <w:bottom w:val="none" w:sz="0" w:space="0" w:color="auto"/>
                <w:right w:val="none" w:sz="0" w:space="0" w:color="auto"/>
              </w:divBdr>
            </w:div>
            <w:div w:id="5413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69419">
      <w:bodyDiv w:val="1"/>
      <w:marLeft w:val="0"/>
      <w:marRight w:val="0"/>
      <w:marTop w:val="0"/>
      <w:marBottom w:val="0"/>
      <w:divBdr>
        <w:top w:val="none" w:sz="0" w:space="0" w:color="auto"/>
        <w:left w:val="none" w:sz="0" w:space="0" w:color="auto"/>
        <w:bottom w:val="none" w:sz="0" w:space="0" w:color="auto"/>
        <w:right w:val="none" w:sz="0" w:space="0" w:color="auto"/>
      </w:divBdr>
      <w:divsChild>
        <w:div w:id="1895971077">
          <w:marLeft w:val="0"/>
          <w:marRight w:val="0"/>
          <w:marTop w:val="0"/>
          <w:marBottom w:val="0"/>
          <w:divBdr>
            <w:top w:val="none" w:sz="0" w:space="0" w:color="auto"/>
            <w:left w:val="none" w:sz="0" w:space="0" w:color="auto"/>
            <w:bottom w:val="none" w:sz="0" w:space="0" w:color="auto"/>
            <w:right w:val="none" w:sz="0" w:space="0" w:color="auto"/>
          </w:divBdr>
        </w:div>
        <w:div w:id="2120025612">
          <w:marLeft w:val="0"/>
          <w:marRight w:val="0"/>
          <w:marTop w:val="0"/>
          <w:marBottom w:val="0"/>
          <w:divBdr>
            <w:top w:val="none" w:sz="0" w:space="0" w:color="auto"/>
            <w:left w:val="none" w:sz="0" w:space="0" w:color="auto"/>
            <w:bottom w:val="none" w:sz="0" w:space="0" w:color="auto"/>
            <w:right w:val="none" w:sz="0" w:space="0" w:color="auto"/>
          </w:divBdr>
        </w:div>
        <w:div w:id="136458633">
          <w:marLeft w:val="0"/>
          <w:marRight w:val="0"/>
          <w:marTop w:val="0"/>
          <w:marBottom w:val="0"/>
          <w:divBdr>
            <w:top w:val="none" w:sz="0" w:space="0" w:color="auto"/>
            <w:left w:val="none" w:sz="0" w:space="0" w:color="auto"/>
            <w:bottom w:val="none" w:sz="0" w:space="0" w:color="auto"/>
            <w:right w:val="none" w:sz="0" w:space="0" w:color="auto"/>
          </w:divBdr>
        </w:div>
      </w:divsChild>
    </w:div>
    <w:div w:id="2089687457">
      <w:bodyDiv w:val="1"/>
      <w:marLeft w:val="0"/>
      <w:marRight w:val="0"/>
      <w:marTop w:val="0"/>
      <w:marBottom w:val="0"/>
      <w:divBdr>
        <w:top w:val="none" w:sz="0" w:space="0" w:color="auto"/>
        <w:left w:val="none" w:sz="0" w:space="0" w:color="auto"/>
        <w:bottom w:val="none" w:sz="0" w:space="0" w:color="auto"/>
        <w:right w:val="none" w:sz="0" w:space="0" w:color="auto"/>
      </w:divBdr>
    </w:div>
    <w:div w:id="2119521736">
      <w:bodyDiv w:val="1"/>
      <w:marLeft w:val="0"/>
      <w:marRight w:val="0"/>
      <w:marTop w:val="0"/>
      <w:marBottom w:val="0"/>
      <w:divBdr>
        <w:top w:val="none" w:sz="0" w:space="0" w:color="auto"/>
        <w:left w:val="none" w:sz="0" w:space="0" w:color="auto"/>
        <w:bottom w:val="none" w:sz="0" w:space="0" w:color="auto"/>
        <w:right w:val="none" w:sz="0" w:space="0" w:color="auto"/>
      </w:divBdr>
      <w:divsChild>
        <w:div w:id="1246917426">
          <w:marLeft w:val="0"/>
          <w:marRight w:val="0"/>
          <w:marTop w:val="0"/>
          <w:marBottom w:val="0"/>
          <w:divBdr>
            <w:top w:val="none" w:sz="0" w:space="0" w:color="auto"/>
            <w:left w:val="none" w:sz="0" w:space="0" w:color="auto"/>
            <w:bottom w:val="none" w:sz="0" w:space="0" w:color="auto"/>
            <w:right w:val="none" w:sz="0" w:space="0" w:color="auto"/>
          </w:divBdr>
          <w:divsChild>
            <w:div w:id="226890242">
              <w:marLeft w:val="0"/>
              <w:marRight w:val="0"/>
              <w:marTop w:val="0"/>
              <w:marBottom w:val="0"/>
              <w:divBdr>
                <w:top w:val="none" w:sz="0" w:space="0" w:color="auto"/>
                <w:left w:val="none" w:sz="0" w:space="0" w:color="auto"/>
                <w:bottom w:val="none" w:sz="0" w:space="0" w:color="auto"/>
                <w:right w:val="none" w:sz="0" w:space="0" w:color="auto"/>
              </w:divBdr>
            </w:div>
            <w:div w:id="154101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s.thomas@gre.ac.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nguyen@gre.ac.uk" TargetMode="External"/><Relationship Id="rId5" Type="http://schemas.openxmlformats.org/officeDocument/2006/relationships/settings" Target="settings.xml"/><Relationship Id="rId15" Type="http://schemas.openxmlformats.org/officeDocument/2006/relationships/hyperlink" Target="http://go.worldbank.org/69VJOM9P90" TargetMode="External"/><Relationship Id="rId23" Type="http://schemas.openxmlformats.org/officeDocument/2006/relationships/theme" Target="theme/theme1.xml"/><Relationship Id="rId10" Type="http://schemas.openxmlformats.org/officeDocument/2006/relationships/hyperlink" Target="mailto:sandravn@iafrica.co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d.j.hall@gre.ac.uk" TargetMode="External"/><Relationship Id="rId14" Type="http://schemas.openxmlformats.org/officeDocument/2006/relationships/image" Target="media/image1.emf"/><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vku.de/en/presse/publikationen/position-paper-of-the-german-association-of-local-utilities-vku-for-the-eu-legislative-period-2009-2014.html" TargetMode="External"/><Relationship Id="rId13" Type="http://schemas.openxmlformats.org/officeDocument/2006/relationships/hyperlink" Target="http://www.vku.de/en/ueber-uns.html" TargetMode="External"/><Relationship Id="rId18" Type="http://schemas.openxmlformats.org/officeDocument/2006/relationships/hyperlink" Target="http://library.prospect.org.uk/id/2012/00717" TargetMode="External"/><Relationship Id="rId3" Type="http://schemas.openxmlformats.org/officeDocument/2006/relationships/hyperlink" Target="http://www.lexisnexis.com/uk/nexis/results/docview/docview.do?docLinkInd=true&amp;risb=21_T17907654947&amp;format=GNBFULL&amp;sort=BOOLEAN&amp;startDocNo=1&amp;resultsUrlKey=29_T17907654952&amp;cisb=22_T17907654951&amp;treeMax=true&amp;treeWidth=0&amp;csi=353650&amp;docNo=6" TargetMode="External"/><Relationship Id="rId21" Type="http://schemas.openxmlformats.org/officeDocument/2006/relationships/hyperlink" Target="http://www.abraaj.com/about-us/our-investors" TargetMode="External"/><Relationship Id="rId7" Type="http://schemas.openxmlformats.org/officeDocument/2006/relationships/hyperlink" Target="http://go.worldbank.org/69VJOM9P90" TargetMode="External"/><Relationship Id="rId12" Type="http://schemas.openxmlformats.org/officeDocument/2006/relationships/hyperlink" Target="http://www.monopolkommission.de/aktuell_sg59.html" TargetMode="External"/><Relationship Id="rId17" Type="http://schemas.openxmlformats.org/officeDocument/2006/relationships/hyperlink" Target="http://www.enerdata.net/enerdatauk/press-and-publication/energy-news-001/bolivia-nationalises-iberdrolas-power-distribution-subsidiaries_15444.html" TargetMode="External"/><Relationship Id="rId2" Type="http://schemas.openxmlformats.org/officeDocument/2006/relationships/hyperlink" Target="http://www.psiru.org/reports/electricity-sector-vietnam-competition-answer" TargetMode="External"/><Relationship Id="rId16" Type="http://schemas.openxmlformats.org/officeDocument/2006/relationships/hyperlink" Target="http://icc.oxfordjournals.org/content/early/2011/08/03/icc.dtr044" TargetMode="External"/><Relationship Id="rId20" Type="http://schemas.openxmlformats.org/officeDocument/2006/relationships/hyperlink" Target="http://www.nation.com.pk/pakistan-news-newspaper-daily-english-online/national/27-Oct-2011/KESC-nationalisation-to--end-power-outages" TargetMode="External"/><Relationship Id="rId1" Type="http://schemas.openxmlformats.org/officeDocument/2006/relationships/hyperlink" Target="http://www.psiru.org/sites/default/files/2013-01-E-Africa.docx" TargetMode="External"/><Relationship Id="rId6" Type="http://schemas.openxmlformats.org/officeDocument/2006/relationships/hyperlink" Target="http://www.g20civil.com/documents/196/1546/" TargetMode="External"/><Relationship Id="rId11" Type="http://schemas.openxmlformats.org/officeDocument/2006/relationships/hyperlink" Target="http://www.vku.de/energie/energieerzeugung/kommunale-kraftwerkskapazitaeten/kommunale-kraftwerkskapazitaeten.html" TargetMode="External"/><Relationship Id="rId5" Type="http://schemas.openxmlformats.org/officeDocument/2006/relationships/hyperlink" Target="http://www.weforum.org/reports/strategic-infrastructure-steps-prioritize-and-deliver-infrastructure-effectively-and-efficie" TargetMode="External"/><Relationship Id="rId15" Type="http://schemas.openxmlformats.org/officeDocument/2006/relationships/hyperlink" Target="http://www.trianel.com/de/pressemeldungen/details/article//stadtwerke-gestalten-die-energ.html" TargetMode="External"/><Relationship Id="rId23" Type="http://schemas.openxmlformats.org/officeDocument/2006/relationships/hyperlink" Target="http://sc.judiciary.gov.ph/jurisprudence/2009/december2009/156208.htm" TargetMode="External"/><Relationship Id="rId10" Type="http://schemas.openxmlformats.org/officeDocument/2006/relationships/hyperlink" Target="http://www.vku.de/energie/veroeffentlichungen-gutachten/gutachten-der-monopolkommission/gutachten-der-monopolkommission.html" TargetMode="External"/><Relationship Id="rId19" Type="http://schemas.openxmlformats.org/officeDocument/2006/relationships/hyperlink" Target="http://www.the-star.co.ke/news/article-46087/ketawu-issues-strike-notice-over-hiring-casuals" TargetMode="External"/><Relationship Id="rId4" Type="http://schemas.openxmlformats.org/officeDocument/2006/relationships/hyperlink" Target="http://www.g20.org/news/20130228/781245645.html" TargetMode="External"/><Relationship Id="rId9" Type="http://schemas.openxmlformats.org/officeDocument/2006/relationships/hyperlink" Target="http://www.epsu.org/a/8107" TargetMode="External"/><Relationship Id="rId14" Type="http://schemas.openxmlformats.org/officeDocument/2006/relationships/hyperlink" Target="http://www.meine-stadtwerke.de/" TargetMode="External"/><Relationship Id="rId22" Type="http://schemas.openxmlformats.org/officeDocument/2006/relationships/hyperlink" Target="http://energydemocracyinitiative.org/massive-blackout-in-philippines-to-force-privatization-backfires-say-unions-and-community-groups/"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psiru@psiru.org" TargetMode="External"/><Relationship Id="rId1" Type="http://schemas.openxmlformats.org/officeDocument/2006/relationships/hyperlink" Target="http://www.psiru.org"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11\PSIRU07li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Private share in electricity generation, 1990-2011</a:t>
            </a:r>
          </a:p>
        </c:rich>
      </c:tx>
      <c:overlay val="0"/>
    </c:title>
    <c:autoTitleDeleted val="0"/>
    <c:plotArea>
      <c:layout/>
      <c:lineChart>
        <c:grouping val="standard"/>
        <c:varyColors val="0"/>
        <c:ser>
          <c:idx val="0"/>
          <c:order val="0"/>
          <c:tx>
            <c:strRef>
              <c:f>Sheet1!$D$4</c:f>
              <c:strCache>
                <c:ptCount val="1"/>
                <c:pt idx="0">
                  <c:v>Private share in electricity generation</c:v>
                </c:pt>
              </c:strCache>
            </c:strRef>
          </c:tx>
          <c:marker>
            <c:symbol val="none"/>
          </c:marker>
          <c:cat>
            <c:numRef>
              <c:f>Sheet1!$C$5:$C$14</c:f>
              <c:numCache>
                <c:formatCode>General</c:formatCode>
                <c:ptCount val="10"/>
                <c:pt idx="0">
                  <c:v>1990</c:v>
                </c:pt>
                <c:pt idx="1">
                  <c:v>1995</c:v>
                </c:pt>
                <c:pt idx="2">
                  <c:v>2000</c:v>
                </c:pt>
                <c:pt idx="3">
                  <c:v>2005</c:v>
                </c:pt>
                <c:pt idx="4">
                  <c:v>2006</c:v>
                </c:pt>
                <c:pt idx="5">
                  <c:v>2007</c:v>
                </c:pt>
                <c:pt idx="6">
                  <c:v>2008</c:v>
                </c:pt>
                <c:pt idx="7">
                  <c:v>2009</c:v>
                </c:pt>
                <c:pt idx="8">
                  <c:v>2010</c:v>
                </c:pt>
                <c:pt idx="9">
                  <c:v>2011</c:v>
                </c:pt>
              </c:numCache>
            </c:numRef>
          </c:cat>
          <c:val>
            <c:numRef>
              <c:f>Sheet1!$D$5:$D$14</c:f>
              <c:numCache>
                <c:formatCode>0%</c:formatCode>
                <c:ptCount val="10"/>
                <c:pt idx="0">
                  <c:v>6.0000000000000001E-3</c:v>
                </c:pt>
                <c:pt idx="1">
                  <c:v>0.124</c:v>
                </c:pt>
                <c:pt idx="2">
                  <c:v>0.504</c:v>
                </c:pt>
                <c:pt idx="3">
                  <c:v>0.60199999999999998</c:v>
                </c:pt>
                <c:pt idx="4">
                  <c:v>0.59299999999999997</c:v>
                </c:pt>
                <c:pt idx="5">
                  <c:v>0.60499999999999998</c:v>
                </c:pt>
                <c:pt idx="6">
                  <c:v>0.58799999999999997</c:v>
                </c:pt>
                <c:pt idx="7">
                  <c:v>0.625</c:v>
                </c:pt>
                <c:pt idx="8">
                  <c:v>0.59799999999999998</c:v>
                </c:pt>
                <c:pt idx="9">
                  <c:v>0.60099999999999998</c:v>
                </c:pt>
              </c:numCache>
            </c:numRef>
          </c:val>
          <c:smooth val="0"/>
        </c:ser>
        <c:dLbls>
          <c:showLegendKey val="0"/>
          <c:showVal val="0"/>
          <c:showCatName val="0"/>
          <c:showSerName val="0"/>
          <c:showPercent val="0"/>
          <c:showBubbleSize val="0"/>
        </c:dLbls>
        <c:marker val="1"/>
        <c:smooth val="0"/>
        <c:axId val="42257024"/>
        <c:axId val="104345984"/>
      </c:lineChart>
      <c:catAx>
        <c:axId val="42257024"/>
        <c:scaling>
          <c:orientation val="minMax"/>
        </c:scaling>
        <c:delete val="0"/>
        <c:axPos val="b"/>
        <c:numFmt formatCode="General" sourceLinked="1"/>
        <c:majorTickMark val="out"/>
        <c:minorTickMark val="none"/>
        <c:tickLblPos val="nextTo"/>
        <c:crossAx val="104345984"/>
        <c:crosses val="autoZero"/>
        <c:auto val="1"/>
        <c:lblAlgn val="ctr"/>
        <c:lblOffset val="100"/>
        <c:noMultiLvlLbl val="0"/>
      </c:catAx>
      <c:valAx>
        <c:axId val="104345984"/>
        <c:scaling>
          <c:orientation val="minMax"/>
        </c:scaling>
        <c:delete val="0"/>
        <c:axPos val="l"/>
        <c:majorGridlines>
          <c:spPr>
            <a:ln>
              <a:noFill/>
            </a:ln>
          </c:spPr>
        </c:majorGridlines>
        <c:numFmt formatCode="0%" sourceLinked="1"/>
        <c:majorTickMark val="out"/>
        <c:minorTickMark val="none"/>
        <c:tickLblPos val="nextTo"/>
        <c:crossAx val="4225702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77D2D-9A96-4AD6-9795-091572313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PSIRU07lite.dot</Template>
  <TotalTime>2</TotalTime>
  <Pages>10</Pages>
  <Words>4297</Words>
  <Characters>24495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28735</CharactersWithSpaces>
  <SharedDoc>false</SharedDoc>
  <HLinks>
    <vt:vector size="24" baseType="variant">
      <vt:variant>
        <vt:i4>6946902</vt:i4>
      </vt:variant>
      <vt:variant>
        <vt:i4>18</vt:i4>
      </vt:variant>
      <vt:variant>
        <vt:i4>0</vt:i4>
      </vt:variant>
      <vt:variant>
        <vt:i4>5</vt:i4>
      </vt:variant>
      <vt:variant>
        <vt:lpwstr>mailto:psiru@psiru.org</vt:lpwstr>
      </vt:variant>
      <vt:variant>
        <vt:lpwstr/>
      </vt:variant>
      <vt:variant>
        <vt:i4>5177357</vt:i4>
      </vt:variant>
      <vt:variant>
        <vt:i4>15</vt:i4>
      </vt:variant>
      <vt:variant>
        <vt:i4>0</vt:i4>
      </vt:variant>
      <vt:variant>
        <vt:i4>5</vt:i4>
      </vt:variant>
      <vt:variant>
        <vt:lpwstr>http://www.psiru.org/</vt:lpwstr>
      </vt:variant>
      <vt:variant>
        <vt:lpwstr/>
      </vt:variant>
      <vt:variant>
        <vt:i4>5177357</vt:i4>
      </vt:variant>
      <vt:variant>
        <vt:i4>12</vt:i4>
      </vt:variant>
      <vt:variant>
        <vt:i4>0</vt:i4>
      </vt:variant>
      <vt:variant>
        <vt:i4>5</vt:i4>
      </vt:variant>
      <vt:variant>
        <vt:lpwstr>http://www.psiru.org/</vt:lpwstr>
      </vt:variant>
      <vt:variant>
        <vt:lpwstr/>
      </vt:variant>
      <vt:variant>
        <vt:i4>5177357</vt:i4>
      </vt:variant>
      <vt:variant>
        <vt:i4>0</vt:i4>
      </vt:variant>
      <vt:variant>
        <vt:i4>0</vt:i4>
      </vt:variant>
      <vt:variant>
        <vt:i4>5</vt:i4>
      </vt:variant>
      <vt:variant>
        <vt:lpwstr>http://www.psiru.org/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Hall</dc:creator>
  <cp:lastModifiedBy>dave</cp:lastModifiedBy>
  <cp:revision>3</cp:revision>
  <cp:lastPrinted>2013-09-23T09:55:00Z</cp:lastPrinted>
  <dcterms:created xsi:type="dcterms:W3CDTF">2014-01-30T18:12:00Z</dcterms:created>
  <dcterms:modified xsi:type="dcterms:W3CDTF">2014-05-18T17:00:00Z</dcterms:modified>
</cp:coreProperties>
</file>