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2C" w:rsidRPr="00BB32E6" w:rsidRDefault="00683D11">
      <w:pPr>
        <w:rPr>
          <w:rFonts w:cs="Calibri"/>
          <w:sz w:val="20"/>
          <w:szCs w:val="20"/>
        </w:rPr>
      </w:pPr>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New UoG Logo Jan 2010" style="position:absolute;margin-left:355.8pt;margin-top:-26.6pt;width:118.2pt;height:58.85pt;z-index:251658240;visibility:visible">
            <v:imagedata r:id="rId8" o:title=""/>
          </v:shape>
        </w:pict>
      </w:r>
      <w:r w:rsidR="00E3542C" w:rsidRPr="00BB32E6">
        <w:rPr>
          <w:rFonts w:cs="Calibri"/>
          <w:sz w:val="20"/>
          <w:szCs w:val="20"/>
        </w:rPr>
        <w:t xml:space="preserve">    </w:t>
      </w:r>
    </w:p>
    <w:p w:rsidR="00E3542C" w:rsidRPr="000C3AD6" w:rsidRDefault="00E3542C" w:rsidP="00B336A5">
      <w:pPr>
        <w:rPr>
          <w:rFonts w:cs="Calibri"/>
          <w:sz w:val="24"/>
          <w:szCs w:val="24"/>
        </w:rPr>
      </w:pPr>
    </w:p>
    <w:p w:rsidR="00E3542C" w:rsidRPr="000C3AD6" w:rsidRDefault="00E3542C" w:rsidP="00B336A5">
      <w:pPr>
        <w:jc w:val="center"/>
        <w:rPr>
          <w:rFonts w:cs="Calibri"/>
          <w:sz w:val="24"/>
          <w:szCs w:val="24"/>
        </w:rPr>
      </w:pPr>
      <w:r w:rsidRPr="000C3AD6">
        <w:rPr>
          <w:rFonts w:cs="Calibri"/>
          <w:sz w:val="24"/>
          <w:szCs w:val="24"/>
        </w:rPr>
        <w:t>LEARNING AND QUALITY COMMITTEE</w:t>
      </w:r>
    </w:p>
    <w:p w:rsidR="00E3542C" w:rsidRPr="000C3AD6" w:rsidRDefault="00E3542C" w:rsidP="00B336A5">
      <w:pPr>
        <w:tabs>
          <w:tab w:val="left" w:pos="0"/>
        </w:tabs>
        <w:jc w:val="center"/>
        <w:rPr>
          <w:rFonts w:cs="Calibri"/>
          <w:sz w:val="24"/>
          <w:szCs w:val="24"/>
        </w:rPr>
      </w:pPr>
      <w:r w:rsidRPr="000C3AD6">
        <w:rPr>
          <w:rFonts w:cs="Calibri"/>
          <w:sz w:val="24"/>
          <w:szCs w:val="24"/>
        </w:rPr>
        <w:t>Minutes of the Third meeting of the Learning and Quality Committee in the 2012-13 academic session, held on Wednesday 5th</w:t>
      </w:r>
      <w:r w:rsidRPr="000C3AD6">
        <w:rPr>
          <w:rFonts w:cs="Calibri"/>
          <w:sz w:val="24"/>
          <w:szCs w:val="24"/>
          <w:vertAlign w:val="superscript"/>
        </w:rPr>
        <w:t>th</w:t>
      </w:r>
      <w:r w:rsidRPr="000C3AD6">
        <w:rPr>
          <w:rFonts w:cs="Calibri"/>
          <w:sz w:val="24"/>
          <w:szCs w:val="24"/>
        </w:rPr>
        <w:t xml:space="preserve"> December in Blake 028, Avery Hill Campus</w:t>
      </w:r>
    </w:p>
    <w:p w:rsidR="00E3542C" w:rsidRPr="00BB32E6" w:rsidRDefault="00E3542C" w:rsidP="00B336A5">
      <w:pPr>
        <w:rPr>
          <w:rFonts w:cs="Calibri"/>
          <w:sz w:val="20"/>
          <w:szCs w:val="20"/>
        </w:rPr>
      </w:pPr>
    </w:p>
    <w:tbl>
      <w:tblPr>
        <w:tblW w:w="0" w:type="auto"/>
        <w:tblLayout w:type="fixed"/>
        <w:tblLook w:val="01E0" w:firstRow="1" w:lastRow="1" w:firstColumn="1" w:lastColumn="1" w:noHBand="0" w:noVBand="0"/>
      </w:tblPr>
      <w:tblGrid>
        <w:gridCol w:w="2306"/>
        <w:gridCol w:w="2089"/>
        <w:gridCol w:w="5211"/>
      </w:tblGrid>
      <w:tr w:rsidR="00E3542C" w:rsidRPr="00BB32E6" w:rsidTr="005116F9">
        <w:trPr>
          <w:trHeight w:val="369"/>
        </w:trPr>
        <w:tc>
          <w:tcPr>
            <w:tcW w:w="2306" w:type="dxa"/>
            <w:vAlign w:val="center"/>
          </w:tcPr>
          <w:p w:rsidR="00E3542C" w:rsidRPr="000C3AD6" w:rsidRDefault="00E3542C" w:rsidP="00B336A5">
            <w:pPr>
              <w:rPr>
                <w:rFonts w:cs="Calibri"/>
              </w:rPr>
            </w:pPr>
            <w:r w:rsidRPr="000C3AD6">
              <w:rPr>
                <w:rFonts w:cs="Calibri"/>
              </w:rPr>
              <w:t>Present:</w:t>
            </w:r>
          </w:p>
        </w:tc>
        <w:tc>
          <w:tcPr>
            <w:tcW w:w="2089" w:type="dxa"/>
            <w:vAlign w:val="bottom"/>
          </w:tcPr>
          <w:p w:rsidR="00E3542C" w:rsidRPr="000C3AD6" w:rsidRDefault="00E3542C" w:rsidP="005116F9">
            <w:pPr>
              <w:rPr>
                <w:rFonts w:cs="Calibri"/>
              </w:rPr>
            </w:pPr>
            <w:r w:rsidRPr="000C3AD6">
              <w:rPr>
                <w:rFonts w:cs="Calibri"/>
              </w:rPr>
              <w:t>S. Jarvis (Chair)</w:t>
            </w:r>
          </w:p>
        </w:tc>
        <w:tc>
          <w:tcPr>
            <w:tcW w:w="5211" w:type="dxa"/>
            <w:vAlign w:val="bottom"/>
          </w:tcPr>
          <w:p w:rsidR="00E3542C" w:rsidRPr="000C3AD6" w:rsidRDefault="00E3542C" w:rsidP="005116F9">
            <w:pPr>
              <w:rPr>
                <w:rFonts w:cs="Calibri"/>
              </w:rPr>
            </w:pPr>
            <w:r w:rsidRPr="000C3AD6">
              <w:rPr>
                <w:rFonts w:cs="Calibri"/>
              </w:rPr>
              <w:t>Deputy Vice-Chancellor (Academic Development)</w:t>
            </w:r>
          </w:p>
        </w:tc>
      </w:tr>
      <w:tr w:rsidR="00E3542C" w:rsidRPr="00BB32E6" w:rsidTr="005116F9">
        <w:trPr>
          <w:trHeight w:val="207"/>
        </w:trPr>
        <w:tc>
          <w:tcPr>
            <w:tcW w:w="2306" w:type="dxa"/>
            <w:vAlign w:val="center"/>
          </w:tcPr>
          <w:p w:rsidR="00E3542C" w:rsidRPr="000C3AD6" w:rsidRDefault="00E3542C" w:rsidP="00B336A5">
            <w:pPr>
              <w:rPr>
                <w:rFonts w:cs="Calibri"/>
              </w:rPr>
            </w:pPr>
          </w:p>
        </w:tc>
        <w:tc>
          <w:tcPr>
            <w:tcW w:w="2089" w:type="dxa"/>
            <w:vAlign w:val="bottom"/>
          </w:tcPr>
          <w:p w:rsidR="00E3542C" w:rsidRPr="000C3AD6" w:rsidRDefault="00E3542C" w:rsidP="005116F9">
            <w:pPr>
              <w:rPr>
                <w:rFonts w:cs="Calibri"/>
              </w:rPr>
            </w:pPr>
            <w:r w:rsidRPr="000C3AD6">
              <w:rPr>
                <w:rFonts w:cs="Calibri"/>
              </w:rPr>
              <w:t>S. Naylor (Officer)</w:t>
            </w:r>
          </w:p>
        </w:tc>
        <w:tc>
          <w:tcPr>
            <w:tcW w:w="5211" w:type="dxa"/>
            <w:vAlign w:val="bottom"/>
          </w:tcPr>
          <w:p w:rsidR="00E3542C" w:rsidRPr="000C3AD6" w:rsidRDefault="00E3542C" w:rsidP="005116F9">
            <w:pPr>
              <w:rPr>
                <w:rFonts w:cs="Calibri"/>
              </w:rPr>
            </w:pPr>
            <w:r w:rsidRPr="000C3AD6">
              <w:rPr>
                <w:rFonts w:cs="Calibri"/>
              </w:rPr>
              <w:t>QA Manager Learning and Quality Unit</w:t>
            </w:r>
          </w:p>
        </w:tc>
      </w:tr>
      <w:tr w:rsidR="00E3542C" w:rsidRPr="00BB32E6" w:rsidTr="005116F9">
        <w:trPr>
          <w:trHeight w:val="95"/>
        </w:trPr>
        <w:tc>
          <w:tcPr>
            <w:tcW w:w="2306" w:type="dxa"/>
            <w:vAlign w:val="center"/>
          </w:tcPr>
          <w:p w:rsidR="00E3542C" w:rsidRPr="000C3AD6" w:rsidRDefault="00E3542C" w:rsidP="00B336A5">
            <w:pPr>
              <w:rPr>
                <w:rFonts w:cs="Calibri"/>
              </w:rPr>
            </w:pPr>
          </w:p>
        </w:tc>
        <w:tc>
          <w:tcPr>
            <w:tcW w:w="2089" w:type="dxa"/>
            <w:vAlign w:val="bottom"/>
          </w:tcPr>
          <w:p w:rsidR="00E3542C" w:rsidRPr="000C3AD6" w:rsidRDefault="00E3542C" w:rsidP="005116F9">
            <w:pPr>
              <w:rPr>
                <w:rFonts w:cs="Calibri"/>
              </w:rPr>
            </w:pPr>
            <w:r w:rsidRPr="000C3AD6">
              <w:rPr>
                <w:rFonts w:cs="Calibri"/>
              </w:rPr>
              <w:t>W. Cealey Harrison</w:t>
            </w:r>
          </w:p>
        </w:tc>
        <w:tc>
          <w:tcPr>
            <w:tcW w:w="5211" w:type="dxa"/>
            <w:vAlign w:val="bottom"/>
          </w:tcPr>
          <w:p w:rsidR="00E3542C" w:rsidRPr="000C3AD6" w:rsidRDefault="00E3542C" w:rsidP="005116F9">
            <w:pPr>
              <w:rPr>
                <w:rFonts w:cs="Calibri"/>
              </w:rPr>
            </w:pPr>
            <w:r w:rsidRPr="000C3AD6">
              <w:rPr>
                <w:rFonts w:cs="Calibri"/>
              </w:rPr>
              <w:t>Head of Learning and Quality Unit</w:t>
            </w:r>
          </w:p>
        </w:tc>
      </w:tr>
      <w:tr w:rsidR="00E3542C" w:rsidRPr="00BB32E6" w:rsidTr="005116F9">
        <w:trPr>
          <w:trHeight w:val="113"/>
        </w:trPr>
        <w:tc>
          <w:tcPr>
            <w:tcW w:w="2306" w:type="dxa"/>
            <w:vAlign w:val="center"/>
          </w:tcPr>
          <w:p w:rsidR="00E3542C" w:rsidRPr="000C3AD6" w:rsidRDefault="00E3542C" w:rsidP="00B336A5">
            <w:pPr>
              <w:rPr>
                <w:rFonts w:cs="Calibri"/>
              </w:rPr>
            </w:pPr>
          </w:p>
        </w:tc>
        <w:tc>
          <w:tcPr>
            <w:tcW w:w="2089" w:type="dxa"/>
            <w:vAlign w:val="bottom"/>
          </w:tcPr>
          <w:p w:rsidR="00E3542C" w:rsidRPr="000C3AD6" w:rsidRDefault="00E3542C" w:rsidP="00FB5110">
            <w:pPr>
              <w:rPr>
                <w:rFonts w:cs="Calibri"/>
              </w:rPr>
            </w:pPr>
            <w:r w:rsidRPr="000C3AD6">
              <w:rPr>
                <w:rFonts w:cs="Calibri"/>
              </w:rPr>
              <w:t>C. Delage</w:t>
            </w:r>
          </w:p>
        </w:tc>
        <w:tc>
          <w:tcPr>
            <w:tcW w:w="5211" w:type="dxa"/>
            <w:vAlign w:val="bottom"/>
          </w:tcPr>
          <w:p w:rsidR="00E3542C" w:rsidRPr="000C3AD6" w:rsidRDefault="00E3542C" w:rsidP="005116F9">
            <w:pPr>
              <w:rPr>
                <w:rFonts w:cs="Calibri"/>
              </w:rPr>
            </w:pPr>
            <w:r w:rsidRPr="000C3AD6">
              <w:rPr>
                <w:rFonts w:cs="Calibri"/>
              </w:rPr>
              <w:t>DLQ, School of Architecture, Design and Construction</w:t>
            </w:r>
          </w:p>
        </w:tc>
      </w:tr>
      <w:tr w:rsidR="00E3542C" w:rsidRPr="00BB32E6" w:rsidTr="005116F9">
        <w:trPr>
          <w:trHeight w:val="113"/>
        </w:trPr>
        <w:tc>
          <w:tcPr>
            <w:tcW w:w="2306" w:type="dxa"/>
            <w:vAlign w:val="center"/>
          </w:tcPr>
          <w:p w:rsidR="00E3542C" w:rsidRPr="000C3AD6" w:rsidRDefault="00E3542C" w:rsidP="00B336A5">
            <w:pPr>
              <w:rPr>
                <w:rFonts w:cs="Calibri"/>
              </w:rPr>
            </w:pPr>
          </w:p>
        </w:tc>
        <w:tc>
          <w:tcPr>
            <w:tcW w:w="2089" w:type="dxa"/>
            <w:vAlign w:val="bottom"/>
          </w:tcPr>
          <w:p w:rsidR="00E3542C" w:rsidRPr="000C3AD6" w:rsidRDefault="00E3542C" w:rsidP="005116F9">
            <w:pPr>
              <w:rPr>
                <w:rFonts w:cs="Calibri"/>
              </w:rPr>
            </w:pPr>
            <w:r w:rsidRPr="000C3AD6">
              <w:rPr>
                <w:rFonts w:cs="Calibri"/>
              </w:rPr>
              <w:t>J. Cullinane</w:t>
            </w:r>
          </w:p>
        </w:tc>
        <w:tc>
          <w:tcPr>
            <w:tcW w:w="5211" w:type="dxa"/>
            <w:vAlign w:val="bottom"/>
          </w:tcPr>
          <w:p w:rsidR="00E3542C" w:rsidRPr="000C3AD6" w:rsidRDefault="00E3542C" w:rsidP="005116F9">
            <w:pPr>
              <w:rPr>
                <w:rFonts w:cs="Calibri"/>
              </w:rPr>
            </w:pPr>
            <w:r w:rsidRPr="000C3AD6">
              <w:rPr>
                <w:rFonts w:cs="Calibri"/>
              </w:rPr>
              <w:t>DLQ, School of Business</w:t>
            </w:r>
          </w:p>
        </w:tc>
      </w:tr>
      <w:tr w:rsidR="00E3542C" w:rsidRPr="00BB32E6" w:rsidTr="005116F9">
        <w:trPr>
          <w:trHeight w:val="159"/>
        </w:trPr>
        <w:tc>
          <w:tcPr>
            <w:tcW w:w="2306" w:type="dxa"/>
            <w:vAlign w:val="center"/>
          </w:tcPr>
          <w:p w:rsidR="00E3542C" w:rsidRPr="000C3AD6" w:rsidRDefault="00E3542C" w:rsidP="00B336A5">
            <w:pPr>
              <w:rPr>
                <w:rFonts w:cs="Calibri"/>
              </w:rPr>
            </w:pPr>
          </w:p>
        </w:tc>
        <w:tc>
          <w:tcPr>
            <w:tcW w:w="2089" w:type="dxa"/>
            <w:vAlign w:val="bottom"/>
          </w:tcPr>
          <w:p w:rsidR="00E3542C" w:rsidRPr="000C3AD6" w:rsidRDefault="00E3542C" w:rsidP="005116F9">
            <w:pPr>
              <w:rPr>
                <w:rFonts w:cs="Calibri"/>
              </w:rPr>
            </w:pPr>
            <w:r w:rsidRPr="000C3AD6">
              <w:rPr>
                <w:rFonts w:cs="Calibri"/>
              </w:rPr>
              <w:t>A. Grant</w:t>
            </w:r>
          </w:p>
        </w:tc>
        <w:tc>
          <w:tcPr>
            <w:tcW w:w="5211" w:type="dxa"/>
            <w:vAlign w:val="bottom"/>
          </w:tcPr>
          <w:p w:rsidR="00E3542C" w:rsidRPr="000C3AD6" w:rsidRDefault="00E3542C" w:rsidP="005116F9">
            <w:pPr>
              <w:rPr>
                <w:rFonts w:cs="Calibri"/>
              </w:rPr>
            </w:pPr>
            <w:r w:rsidRPr="000C3AD6">
              <w:rPr>
                <w:rFonts w:cs="Calibri"/>
              </w:rPr>
              <w:t>DLQ, School of Engineering</w:t>
            </w:r>
          </w:p>
        </w:tc>
      </w:tr>
      <w:tr w:rsidR="00E3542C" w:rsidRPr="00BB32E6" w:rsidTr="005116F9">
        <w:trPr>
          <w:trHeight w:val="113"/>
        </w:trPr>
        <w:tc>
          <w:tcPr>
            <w:tcW w:w="2306" w:type="dxa"/>
            <w:vAlign w:val="center"/>
          </w:tcPr>
          <w:p w:rsidR="00E3542C" w:rsidRPr="000C3AD6" w:rsidRDefault="00E3542C" w:rsidP="00B336A5">
            <w:pPr>
              <w:rPr>
                <w:rFonts w:cs="Calibri"/>
              </w:rPr>
            </w:pPr>
          </w:p>
        </w:tc>
        <w:tc>
          <w:tcPr>
            <w:tcW w:w="2089" w:type="dxa"/>
            <w:vAlign w:val="bottom"/>
          </w:tcPr>
          <w:p w:rsidR="00E3542C" w:rsidRPr="000C3AD6" w:rsidRDefault="00E3542C" w:rsidP="005116F9">
            <w:pPr>
              <w:rPr>
                <w:rFonts w:cs="Calibri"/>
              </w:rPr>
            </w:pPr>
            <w:r w:rsidRPr="000C3AD6">
              <w:rPr>
                <w:rFonts w:cs="Calibri"/>
              </w:rPr>
              <w:t>C. Ierotheou</w:t>
            </w:r>
          </w:p>
        </w:tc>
        <w:tc>
          <w:tcPr>
            <w:tcW w:w="5211" w:type="dxa"/>
            <w:vAlign w:val="bottom"/>
          </w:tcPr>
          <w:p w:rsidR="00E3542C" w:rsidRPr="000C3AD6" w:rsidRDefault="00E3542C" w:rsidP="005116F9">
            <w:pPr>
              <w:rPr>
                <w:rFonts w:cs="Calibri"/>
              </w:rPr>
            </w:pPr>
            <w:r w:rsidRPr="000C3AD6">
              <w:rPr>
                <w:rFonts w:cs="Calibri"/>
              </w:rPr>
              <w:t>DLQ, School of Computing &amp; Mathematical Sciences</w:t>
            </w:r>
          </w:p>
        </w:tc>
      </w:tr>
      <w:tr w:rsidR="00E3542C" w:rsidRPr="00BB32E6" w:rsidTr="005116F9">
        <w:trPr>
          <w:trHeight w:val="113"/>
        </w:trPr>
        <w:tc>
          <w:tcPr>
            <w:tcW w:w="2306" w:type="dxa"/>
            <w:vAlign w:val="center"/>
          </w:tcPr>
          <w:p w:rsidR="00E3542C" w:rsidRPr="000C3AD6" w:rsidRDefault="00E3542C" w:rsidP="00B336A5">
            <w:pPr>
              <w:rPr>
                <w:rFonts w:cs="Calibri"/>
              </w:rPr>
            </w:pPr>
          </w:p>
        </w:tc>
        <w:tc>
          <w:tcPr>
            <w:tcW w:w="2089" w:type="dxa"/>
            <w:vAlign w:val="bottom"/>
          </w:tcPr>
          <w:p w:rsidR="00E3542C" w:rsidRPr="000C3AD6" w:rsidRDefault="00E3542C" w:rsidP="005116F9">
            <w:pPr>
              <w:rPr>
                <w:rFonts w:cs="Calibri"/>
              </w:rPr>
            </w:pPr>
            <w:r w:rsidRPr="000C3AD6">
              <w:rPr>
                <w:rFonts w:cs="Calibri"/>
              </w:rPr>
              <w:t>Z. Pettit</w:t>
            </w:r>
          </w:p>
        </w:tc>
        <w:tc>
          <w:tcPr>
            <w:tcW w:w="5211" w:type="dxa"/>
            <w:vAlign w:val="bottom"/>
          </w:tcPr>
          <w:p w:rsidR="00E3542C" w:rsidRPr="000C3AD6" w:rsidRDefault="00E3542C" w:rsidP="005116F9">
            <w:pPr>
              <w:rPr>
                <w:rFonts w:cs="Calibri"/>
              </w:rPr>
            </w:pPr>
            <w:r w:rsidRPr="000C3AD6">
              <w:rPr>
                <w:rFonts w:cs="Calibri"/>
              </w:rPr>
              <w:t>DLQ, School of Humanities &amp; Social Sciences</w:t>
            </w:r>
          </w:p>
        </w:tc>
      </w:tr>
      <w:tr w:rsidR="00E3542C" w:rsidRPr="00BB32E6" w:rsidTr="005116F9">
        <w:trPr>
          <w:trHeight w:val="113"/>
        </w:trPr>
        <w:tc>
          <w:tcPr>
            <w:tcW w:w="2306" w:type="dxa"/>
            <w:vAlign w:val="center"/>
          </w:tcPr>
          <w:p w:rsidR="00E3542C" w:rsidRPr="000C3AD6" w:rsidRDefault="00E3542C" w:rsidP="00B336A5">
            <w:pPr>
              <w:rPr>
                <w:rFonts w:cs="Calibri"/>
              </w:rPr>
            </w:pPr>
          </w:p>
        </w:tc>
        <w:tc>
          <w:tcPr>
            <w:tcW w:w="2089" w:type="dxa"/>
            <w:vAlign w:val="bottom"/>
          </w:tcPr>
          <w:p w:rsidR="00E3542C" w:rsidRPr="000C3AD6" w:rsidRDefault="00E3542C" w:rsidP="005116F9">
            <w:pPr>
              <w:rPr>
                <w:rFonts w:cs="Calibri"/>
              </w:rPr>
            </w:pPr>
            <w:r w:rsidRPr="000C3AD6">
              <w:rPr>
                <w:rFonts w:cs="Calibri"/>
              </w:rPr>
              <w:t>S. Walker</w:t>
            </w:r>
          </w:p>
        </w:tc>
        <w:tc>
          <w:tcPr>
            <w:tcW w:w="5211" w:type="dxa"/>
            <w:vAlign w:val="bottom"/>
          </w:tcPr>
          <w:p w:rsidR="00E3542C" w:rsidRPr="000C3AD6" w:rsidRDefault="00E3542C" w:rsidP="005116F9">
            <w:pPr>
              <w:rPr>
                <w:rFonts w:cs="Calibri"/>
              </w:rPr>
            </w:pPr>
            <w:r w:rsidRPr="000C3AD6">
              <w:rPr>
                <w:rFonts w:cs="Calibri"/>
              </w:rPr>
              <w:t>Head of Educational Development Unit</w:t>
            </w:r>
          </w:p>
        </w:tc>
      </w:tr>
      <w:tr w:rsidR="00E3542C" w:rsidRPr="00BB32E6" w:rsidTr="005116F9">
        <w:tc>
          <w:tcPr>
            <w:tcW w:w="2306" w:type="dxa"/>
            <w:vAlign w:val="center"/>
          </w:tcPr>
          <w:p w:rsidR="00E3542C" w:rsidRPr="000C3AD6" w:rsidRDefault="00E3542C" w:rsidP="00B336A5">
            <w:pPr>
              <w:rPr>
                <w:rFonts w:cs="Calibri"/>
              </w:rPr>
            </w:pPr>
            <w:r w:rsidRPr="000C3AD6">
              <w:rPr>
                <w:rFonts w:cs="Calibri"/>
              </w:rPr>
              <w:t>Apologies</w:t>
            </w:r>
          </w:p>
        </w:tc>
        <w:tc>
          <w:tcPr>
            <w:tcW w:w="2089" w:type="dxa"/>
            <w:vAlign w:val="bottom"/>
          </w:tcPr>
          <w:p w:rsidR="00E3542C" w:rsidRPr="000C3AD6" w:rsidRDefault="00E3542C" w:rsidP="005116F9">
            <w:pPr>
              <w:rPr>
                <w:rFonts w:cs="Calibri"/>
              </w:rPr>
            </w:pPr>
            <w:r w:rsidRPr="000C3AD6">
              <w:rPr>
                <w:rFonts w:cs="Calibri"/>
              </w:rPr>
              <w:t>S. Leggatt</w:t>
            </w:r>
          </w:p>
        </w:tc>
        <w:tc>
          <w:tcPr>
            <w:tcW w:w="5211" w:type="dxa"/>
            <w:vAlign w:val="bottom"/>
          </w:tcPr>
          <w:p w:rsidR="00E3542C" w:rsidRPr="000C3AD6" w:rsidRDefault="00E3542C" w:rsidP="005116F9">
            <w:pPr>
              <w:rPr>
                <w:rFonts w:cs="Calibri"/>
              </w:rPr>
            </w:pPr>
            <w:r w:rsidRPr="000C3AD6">
              <w:rPr>
                <w:rFonts w:cs="Calibri"/>
              </w:rPr>
              <w:t>DLQ, School of Education</w:t>
            </w:r>
          </w:p>
        </w:tc>
      </w:tr>
      <w:tr w:rsidR="00E3542C" w:rsidRPr="00BB32E6" w:rsidTr="005116F9">
        <w:tc>
          <w:tcPr>
            <w:tcW w:w="2306" w:type="dxa"/>
            <w:vAlign w:val="center"/>
          </w:tcPr>
          <w:p w:rsidR="00E3542C" w:rsidRPr="000C3AD6" w:rsidRDefault="00E3542C" w:rsidP="00B336A5">
            <w:pPr>
              <w:rPr>
                <w:rFonts w:cs="Calibri"/>
              </w:rPr>
            </w:pPr>
          </w:p>
        </w:tc>
        <w:tc>
          <w:tcPr>
            <w:tcW w:w="2089" w:type="dxa"/>
            <w:vAlign w:val="bottom"/>
          </w:tcPr>
          <w:p w:rsidR="00E3542C" w:rsidRPr="000C3AD6" w:rsidRDefault="00E3542C" w:rsidP="005116F9">
            <w:pPr>
              <w:rPr>
                <w:rFonts w:cs="Calibri"/>
              </w:rPr>
            </w:pPr>
            <w:r w:rsidRPr="000C3AD6">
              <w:rPr>
                <w:rFonts w:cs="Calibri"/>
              </w:rPr>
              <w:t>V. Habgood</w:t>
            </w:r>
          </w:p>
        </w:tc>
        <w:tc>
          <w:tcPr>
            <w:tcW w:w="5211" w:type="dxa"/>
            <w:vAlign w:val="bottom"/>
          </w:tcPr>
          <w:p w:rsidR="00E3542C" w:rsidRPr="000C3AD6" w:rsidRDefault="00E3542C" w:rsidP="005116F9">
            <w:pPr>
              <w:rPr>
                <w:rFonts w:cs="Calibri"/>
              </w:rPr>
            </w:pPr>
            <w:r w:rsidRPr="000C3AD6">
              <w:rPr>
                <w:rFonts w:cs="Calibri"/>
              </w:rPr>
              <w:t>DLQ, School of Health &amp; Social Care</w:t>
            </w:r>
          </w:p>
        </w:tc>
      </w:tr>
      <w:tr w:rsidR="00E3542C" w:rsidRPr="00BB32E6" w:rsidTr="005116F9">
        <w:tc>
          <w:tcPr>
            <w:tcW w:w="2306" w:type="dxa"/>
            <w:vAlign w:val="center"/>
          </w:tcPr>
          <w:p w:rsidR="00E3542C" w:rsidRPr="000C3AD6" w:rsidRDefault="00E3542C" w:rsidP="00B336A5">
            <w:pPr>
              <w:rPr>
                <w:rFonts w:cs="Calibri"/>
              </w:rPr>
            </w:pPr>
          </w:p>
        </w:tc>
        <w:tc>
          <w:tcPr>
            <w:tcW w:w="2089" w:type="dxa"/>
            <w:vAlign w:val="bottom"/>
          </w:tcPr>
          <w:p w:rsidR="00E3542C" w:rsidRPr="000C3AD6" w:rsidRDefault="00E3542C" w:rsidP="00252771">
            <w:pPr>
              <w:rPr>
                <w:rFonts w:cs="Calibri"/>
              </w:rPr>
            </w:pPr>
            <w:r w:rsidRPr="000C3AD6">
              <w:rPr>
                <w:rFonts w:cs="Calibri"/>
              </w:rPr>
              <w:t>D. Hayes</w:t>
            </w:r>
          </w:p>
        </w:tc>
        <w:tc>
          <w:tcPr>
            <w:tcW w:w="5211" w:type="dxa"/>
            <w:vAlign w:val="bottom"/>
          </w:tcPr>
          <w:p w:rsidR="00E3542C" w:rsidRPr="000C3AD6" w:rsidRDefault="00E3542C" w:rsidP="00252771">
            <w:pPr>
              <w:rPr>
                <w:rFonts w:cs="Calibri"/>
              </w:rPr>
            </w:pPr>
            <w:r w:rsidRPr="000C3AD6">
              <w:rPr>
                <w:rFonts w:cs="Calibri"/>
              </w:rPr>
              <w:t>Head of Partnership Division</w:t>
            </w:r>
          </w:p>
        </w:tc>
      </w:tr>
      <w:tr w:rsidR="00E3542C" w:rsidRPr="00BB32E6" w:rsidTr="005116F9">
        <w:tc>
          <w:tcPr>
            <w:tcW w:w="2306" w:type="dxa"/>
            <w:vAlign w:val="center"/>
          </w:tcPr>
          <w:p w:rsidR="00E3542C" w:rsidRPr="000C3AD6" w:rsidRDefault="00E3542C" w:rsidP="00B336A5">
            <w:pPr>
              <w:rPr>
                <w:rFonts w:cs="Calibri"/>
              </w:rPr>
            </w:pPr>
          </w:p>
        </w:tc>
        <w:tc>
          <w:tcPr>
            <w:tcW w:w="2089" w:type="dxa"/>
            <w:vAlign w:val="bottom"/>
          </w:tcPr>
          <w:p w:rsidR="00E3542C" w:rsidRPr="000C3AD6" w:rsidRDefault="00E3542C" w:rsidP="005116F9">
            <w:pPr>
              <w:rPr>
                <w:rFonts w:cs="Calibri"/>
              </w:rPr>
            </w:pPr>
            <w:r w:rsidRPr="000C3AD6">
              <w:rPr>
                <w:rFonts w:cs="Calibri"/>
              </w:rPr>
              <w:t>A.. Murphy</w:t>
            </w:r>
          </w:p>
        </w:tc>
        <w:tc>
          <w:tcPr>
            <w:tcW w:w="5211" w:type="dxa"/>
            <w:vAlign w:val="bottom"/>
          </w:tcPr>
          <w:p w:rsidR="00E3542C" w:rsidRPr="000C3AD6" w:rsidRDefault="00E3542C" w:rsidP="005116F9">
            <w:pPr>
              <w:rPr>
                <w:rFonts w:cs="Calibri"/>
              </w:rPr>
            </w:pPr>
            <w:r w:rsidRPr="000C3AD6">
              <w:rPr>
                <w:rFonts w:cs="Calibri"/>
              </w:rPr>
              <w:t>Head of Learning Services, ILS</w:t>
            </w:r>
          </w:p>
        </w:tc>
      </w:tr>
      <w:tr w:rsidR="00E3542C" w:rsidRPr="00BB32E6" w:rsidTr="005116F9">
        <w:tc>
          <w:tcPr>
            <w:tcW w:w="2306" w:type="dxa"/>
            <w:vAlign w:val="center"/>
          </w:tcPr>
          <w:p w:rsidR="00E3542C" w:rsidRPr="000C3AD6" w:rsidRDefault="00E3542C" w:rsidP="00B336A5">
            <w:pPr>
              <w:rPr>
                <w:rFonts w:cs="Calibri"/>
              </w:rPr>
            </w:pPr>
          </w:p>
        </w:tc>
        <w:tc>
          <w:tcPr>
            <w:tcW w:w="2089" w:type="dxa"/>
            <w:vAlign w:val="bottom"/>
          </w:tcPr>
          <w:p w:rsidR="00E3542C" w:rsidRPr="000C3AD6" w:rsidRDefault="00E3542C" w:rsidP="00DD1934">
            <w:pPr>
              <w:rPr>
                <w:rFonts w:cs="Calibri"/>
              </w:rPr>
            </w:pPr>
            <w:r w:rsidRPr="000C3AD6">
              <w:rPr>
                <w:rFonts w:cs="Calibri"/>
              </w:rPr>
              <w:t>D. Sheppard</w:t>
            </w:r>
          </w:p>
        </w:tc>
        <w:tc>
          <w:tcPr>
            <w:tcW w:w="5211" w:type="dxa"/>
            <w:vAlign w:val="bottom"/>
          </w:tcPr>
          <w:p w:rsidR="00E3542C" w:rsidRPr="000C3AD6" w:rsidRDefault="00E3542C" w:rsidP="00DD1934">
            <w:pPr>
              <w:rPr>
                <w:rFonts w:cs="Calibri"/>
              </w:rPr>
            </w:pPr>
            <w:r w:rsidRPr="000C3AD6">
              <w:rPr>
                <w:rFonts w:cs="Calibri"/>
              </w:rPr>
              <w:t>SQAO, School of Business</w:t>
            </w:r>
          </w:p>
        </w:tc>
      </w:tr>
      <w:tr w:rsidR="00E3542C" w:rsidRPr="00BB32E6" w:rsidTr="005116F9">
        <w:tc>
          <w:tcPr>
            <w:tcW w:w="2306" w:type="dxa"/>
            <w:vAlign w:val="center"/>
          </w:tcPr>
          <w:p w:rsidR="00E3542C" w:rsidRPr="000C3AD6" w:rsidRDefault="00E3542C" w:rsidP="00B336A5">
            <w:pPr>
              <w:rPr>
                <w:rFonts w:cs="Calibri"/>
              </w:rPr>
            </w:pPr>
            <w:r>
              <w:rPr>
                <w:rFonts w:cs="Calibri"/>
              </w:rPr>
              <w:t xml:space="preserve">In attendance </w:t>
            </w:r>
          </w:p>
        </w:tc>
        <w:tc>
          <w:tcPr>
            <w:tcW w:w="2089" w:type="dxa"/>
            <w:vAlign w:val="bottom"/>
          </w:tcPr>
          <w:p w:rsidR="00E3542C" w:rsidRPr="000C3AD6" w:rsidRDefault="00E3542C" w:rsidP="00DD1934">
            <w:pPr>
              <w:rPr>
                <w:rFonts w:cs="Calibri"/>
              </w:rPr>
            </w:pPr>
            <w:r>
              <w:rPr>
                <w:rFonts w:cs="Calibri"/>
              </w:rPr>
              <w:t>S. Alsford</w:t>
            </w:r>
          </w:p>
        </w:tc>
        <w:tc>
          <w:tcPr>
            <w:tcW w:w="5211" w:type="dxa"/>
            <w:vAlign w:val="bottom"/>
          </w:tcPr>
          <w:p w:rsidR="00E3542C" w:rsidRPr="000C3AD6" w:rsidRDefault="00E3542C" w:rsidP="00DD1934">
            <w:pPr>
              <w:rPr>
                <w:rFonts w:cs="Calibri"/>
              </w:rPr>
            </w:pPr>
            <w:r>
              <w:rPr>
                <w:rFonts w:cs="Calibri"/>
              </w:rPr>
              <w:t>Educational Development Unit</w:t>
            </w:r>
          </w:p>
        </w:tc>
      </w:tr>
      <w:tr w:rsidR="00E3542C" w:rsidRPr="00BB32E6" w:rsidTr="005116F9">
        <w:tc>
          <w:tcPr>
            <w:tcW w:w="2306" w:type="dxa"/>
            <w:vAlign w:val="center"/>
          </w:tcPr>
          <w:p w:rsidR="00E3542C" w:rsidRDefault="00E3542C" w:rsidP="00B336A5">
            <w:pPr>
              <w:rPr>
                <w:rFonts w:cs="Calibri"/>
              </w:rPr>
            </w:pPr>
          </w:p>
        </w:tc>
        <w:tc>
          <w:tcPr>
            <w:tcW w:w="2089" w:type="dxa"/>
            <w:vAlign w:val="bottom"/>
          </w:tcPr>
          <w:p w:rsidR="00E3542C" w:rsidRDefault="00E3542C" w:rsidP="00DD1934">
            <w:pPr>
              <w:rPr>
                <w:rFonts w:cs="Calibri"/>
              </w:rPr>
            </w:pPr>
            <w:r>
              <w:rPr>
                <w:rFonts w:cs="Calibri"/>
              </w:rPr>
              <w:t>K. Smith</w:t>
            </w:r>
          </w:p>
        </w:tc>
        <w:tc>
          <w:tcPr>
            <w:tcW w:w="5211" w:type="dxa"/>
            <w:vAlign w:val="bottom"/>
          </w:tcPr>
          <w:p w:rsidR="00E3542C" w:rsidRDefault="00E3542C" w:rsidP="00DD1934">
            <w:pPr>
              <w:rPr>
                <w:rFonts w:cs="Calibri"/>
              </w:rPr>
            </w:pPr>
            <w:r>
              <w:rPr>
                <w:rFonts w:cs="Calibri"/>
              </w:rPr>
              <w:t>Educational Development Unit</w:t>
            </w:r>
          </w:p>
        </w:tc>
      </w:tr>
    </w:tbl>
    <w:p w:rsidR="00E3542C" w:rsidRPr="00BB32E6" w:rsidRDefault="00E3542C">
      <w:pPr>
        <w:rPr>
          <w:rFonts w:cs="Calibri"/>
          <w:sz w:val="20"/>
          <w:szCs w:val="20"/>
        </w:rPr>
      </w:pPr>
      <w:r w:rsidRPr="00BB32E6">
        <w:rPr>
          <w:rFonts w:cs="Calibri"/>
          <w:sz w:val="20"/>
          <w:szCs w:val="20"/>
        </w:rPr>
        <w:br w:type="page"/>
      </w:r>
    </w:p>
    <w:tbl>
      <w:tblPr>
        <w:tblW w:w="10008" w:type="dxa"/>
        <w:tblLayout w:type="fixed"/>
        <w:tblLook w:val="01E0" w:firstRow="1" w:lastRow="1" w:firstColumn="1" w:lastColumn="1" w:noHBand="0" w:noVBand="0"/>
      </w:tblPr>
      <w:tblGrid>
        <w:gridCol w:w="1548"/>
        <w:gridCol w:w="7380"/>
        <w:gridCol w:w="1080"/>
      </w:tblGrid>
      <w:tr w:rsidR="00E3542C" w:rsidRPr="000C3AD6" w:rsidTr="008F6BE1">
        <w:tc>
          <w:tcPr>
            <w:tcW w:w="1548" w:type="dxa"/>
          </w:tcPr>
          <w:p w:rsidR="00E3542C" w:rsidRPr="008108AD" w:rsidRDefault="00E3542C" w:rsidP="00FB5110">
            <w:pPr>
              <w:spacing w:after="240"/>
              <w:jc w:val="both"/>
              <w:rPr>
                <w:rFonts w:cs="Calibri"/>
                <w:b/>
              </w:rPr>
            </w:pPr>
            <w:r w:rsidRPr="008108AD">
              <w:rPr>
                <w:rFonts w:cs="Calibri"/>
                <w:b/>
              </w:rPr>
              <w:t>LQC/12/3.1</w:t>
            </w:r>
          </w:p>
        </w:tc>
        <w:tc>
          <w:tcPr>
            <w:tcW w:w="7380" w:type="dxa"/>
          </w:tcPr>
          <w:p w:rsidR="00E3542C" w:rsidRPr="008108AD" w:rsidRDefault="00E3542C" w:rsidP="00CA7635">
            <w:pPr>
              <w:spacing w:after="240"/>
              <w:rPr>
                <w:rFonts w:cs="Calibri"/>
                <w:b/>
              </w:rPr>
            </w:pPr>
            <w:r w:rsidRPr="008108AD">
              <w:rPr>
                <w:rFonts w:cs="Calibri"/>
                <w:b/>
              </w:rPr>
              <w:t>Items from Chair</w:t>
            </w:r>
          </w:p>
        </w:tc>
        <w:tc>
          <w:tcPr>
            <w:tcW w:w="1080" w:type="dxa"/>
          </w:tcPr>
          <w:p w:rsidR="00E3542C" w:rsidRPr="000C3AD6" w:rsidRDefault="00E3542C" w:rsidP="00CA7635">
            <w:pPr>
              <w:spacing w:after="240"/>
              <w:rPr>
                <w:rFonts w:cs="Calibri"/>
              </w:rPr>
            </w:pPr>
          </w:p>
        </w:tc>
      </w:tr>
      <w:tr w:rsidR="00E3542C" w:rsidRPr="000C3AD6" w:rsidTr="002369A4">
        <w:tc>
          <w:tcPr>
            <w:tcW w:w="1548" w:type="dxa"/>
          </w:tcPr>
          <w:p w:rsidR="00E3542C" w:rsidRPr="000C3AD6" w:rsidRDefault="00E3542C" w:rsidP="00CA7635">
            <w:pPr>
              <w:spacing w:after="240"/>
              <w:jc w:val="right"/>
              <w:rPr>
                <w:rFonts w:cs="Calibri"/>
              </w:rPr>
            </w:pPr>
          </w:p>
        </w:tc>
        <w:tc>
          <w:tcPr>
            <w:tcW w:w="7380" w:type="dxa"/>
          </w:tcPr>
          <w:p w:rsidR="00E3542C" w:rsidRPr="000C3AD6" w:rsidRDefault="00E3542C" w:rsidP="00E1526B">
            <w:pPr>
              <w:spacing w:after="240"/>
              <w:rPr>
                <w:rFonts w:cs="Calibri"/>
              </w:rPr>
            </w:pPr>
            <w:r w:rsidRPr="000C3AD6">
              <w:rPr>
                <w:rFonts w:cs="Calibri"/>
              </w:rPr>
              <w:t xml:space="preserve">The Chair reported </w:t>
            </w:r>
            <w:r>
              <w:rPr>
                <w:rFonts w:cs="Calibri"/>
              </w:rPr>
              <w:t>that</w:t>
            </w:r>
            <w:r w:rsidRPr="000C3AD6">
              <w:rPr>
                <w:rFonts w:cs="Calibri"/>
              </w:rPr>
              <w:t xml:space="preserve"> the </w:t>
            </w:r>
            <w:r>
              <w:rPr>
                <w:rFonts w:cs="Calibri"/>
              </w:rPr>
              <w:t xml:space="preserve">final draft of the </w:t>
            </w:r>
            <w:r w:rsidRPr="000C3AD6">
              <w:rPr>
                <w:rFonts w:cs="Calibri"/>
              </w:rPr>
              <w:t>University’s Learning, Teaching and Assessment Strategy has been endorsed by Academic Council.  The Strategy will now move into a phase in which School</w:t>
            </w:r>
            <w:r>
              <w:rPr>
                <w:rFonts w:cs="Calibri"/>
              </w:rPr>
              <w:t>, Faculty and Office</w:t>
            </w:r>
            <w:r w:rsidRPr="000C3AD6">
              <w:rPr>
                <w:rFonts w:cs="Calibri"/>
              </w:rPr>
              <w:t xml:space="preserve"> based implementation will be considered in greater detail.</w:t>
            </w:r>
          </w:p>
          <w:p w:rsidR="00E3542C" w:rsidRPr="000C3AD6" w:rsidRDefault="00E3542C" w:rsidP="00E67AF8">
            <w:pPr>
              <w:spacing w:after="240"/>
              <w:rPr>
                <w:rFonts w:cs="Calibri"/>
              </w:rPr>
            </w:pPr>
            <w:r w:rsidRPr="000C3AD6">
              <w:rPr>
                <w:rFonts w:cs="Calibri"/>
              </w:rPr>
              <w:t>The E</w:t>
            </w:r>
            <w:r>
              <w:rPr>
                <w:rFonts w:cs="Calibri"/>
              </w:rPr>
              <w:t xml:space="preserve">ducational Development Unit </w:t>
            </w:r>
            <w:r w:rsidRPr="000C3AD6">
              <w:rPr>
                <w:rFonts w:cs="Calibri"/>
              </w:rPr>
              <w:t xml:space="preserve"> has drafted a broad implementation plan that covers the University in the </w:t>
            </w:r>
            <w:r>
              <w:rPr>
                <w:rFonts w:cs="Calibri"/>
              </w:rPr>
              <w:t>widest</w:t>
            </w:r>
            <w:r w:rsidRPr="000C3AD6">
              <w:rPr>
                <w:rFonts w:cs="Calibri"/>
              </w:rPr>
              <w:t xml:space="preserve"> sense and which is focussing on a number of projects to enhance student experience – including use of physical space and e-learning.  The former engendered a discussion of classroom usage and timetabling issues</w:t>
            </w:r>
            <w:r>
              <w:rPr>
                <w:rFonts w:cs="Calibri"/>
              </w:rPr>
              <w:t xml:space="preserve"> that emphasised the need for</w:t>
            </w:r>
            <w:r w:rsidRPr="000C3AD6">
              <w:rPr>
                <w:rFonts w:cs="Calibri"/>
              </w:rPr>
              <w:t xml:space="preserve"> timetabling to be driven more by</w:t>
            </w:r>
            <w:r>
              <w:rPr>
                <w:rFonts w:cs="Calibri"/>
              </w:rPr>
              <w:t xml:space="preserve"> programme pedagogy and nature </w:t>
            </w:r>
            <w:r w:rsidRPr="000C3AD6">
              <w:rPr>
                <w:rFonts w:cs="Calibri"/>
              </w:rPr>
              <w:t xml:space="preserve">than is currently the case.  LQC </w:t>
            </w:r>
            <w:r>
              <w:rPr>
                <w:rFonts w:cs="Calibri"/>
              </w:rPr>
              <w:t>suggested</w:t>
            </w:r>
            <w:r w:rsidRPr="000C3AD6">
              <w:rPr>
                <w:rFonts w:cs="Calibri"/>
              </w:rPr>
              <w:t xml:space="preserve">  that a number of actions could be taken to ensure that timetabling is more geared to specific student needs and th</w:t>
            </w:r>
            <w:r>
              <w:rPr>
                <w:rFonts w:cs="Calibri"/>
              </w:rPr>
              <w:t>e</w:t>
            </w:r>
            <w:r w:rsidRPr="000C3AD6">
              <w:rPr>
                <w:rFonts w:cs="Calibri"/>
              </w:rPr>
              <w:t>se included:</w:t>
            </w:r>
          </w:p>
          <w:p w:rsidR="00E3542C" w:rsidRPr="000C3AD6" w:rsidRDefault="00E3542C" w:rsidP="00DE5E93">
            <w:pPr>
              <w:numPr>
                <w:ilvl w:val="0"/>
                <w:numId w:val="8"/>
              </w:numPr>
              <w:spacing w:after="120" w:line="240" w:lineRule="auto"/>
              <w:ind w:left="714" w:hanging="357"/>
              <w:rPr>
                <w:rFonts w:cs="Calibri"/>
              </w:rPr>
            </w:pPr>
            <w:r w:rsidRPr="000C3AD6">
              <w:rPr>
                <w:rFonts w:cs="Calibri"/>
              </w:rPr>
              <w:t xml:space="preserve">focus on programme pedagogy and nature as a basis for timetabling the student experience </w:t>
            </w:r>
          </w:p>
          <w:p w:rsidR="00E3542C" w:rsidRPr="000C3AD6" w:rsidRDefault="00E3542C" w:rsidP="00DE5E93">
            <w:pPr>
              <w:numPr>
                <w:ilvl w:val="0"/>
                <w:numId w:val="8"/>
              </w:numPr>
              <w:spacing w:after="120" w:line="240" w:lineRule="auto"/>
              <w:ind w:left="714" w:hanging="357"/>
              <w:rPr>
                <w:rFonts w:cs="Calibri"/>
              </w:rPr>
            </w:pPr>
            <w:r w:rsidRPr="000C3AD6">
              <w:rPr>
                <w:rFonts w:cs="Calibri"/>
              </w:rPr>
              <w:t>consider creative use of space for timetabled activities in alternate weeks for different student groups</w:t>
            </w:r>
          </w:p>
          <w:p w:rsidR="00E3542C" w:rsidRPr="000C3AD6" w:rsidRDefault="00E3542C" w:rsidP="00DE5E93">
            <w:pPr>
              <w:numPr>
                <w:ilvl w:val="0"/>
                <w:numId w:val="8"/>
              </w:numPr>
              <w:spacing w:after="120" w:line="240" w:lineRule="auto"/>
              <w:ind w:left="714" w:hanging="357"/>
              <w:rPr>
                <w:rFonts w:cs="Calibri"/>
              </w:rPr>
            </w:pPr>
            <w:r w:rsidRPr="000C3AD6">
              <w:rPr>
                <w:rFonts w:cs="Calibri"/>
              </w:rPr>
              <w:t>reduce complexity of programme structures and choice to facilitate a less complex programme matrix</w:t>
            </w:r>
          </w:p>
          <w:p w:rsidR="00E3542C" w:rsidRPr="000C3AD6" w:rsidRDefault="00E3542C" w:rsidP="00DE5E93">
            <w:pPr>
              <w:numPr>
                <w:ilvl w:val="0"/>
                <w:numId w:val="8"/>
              </w:numPr>
              <w:spacing w:after="120" w:line="240" w:lineRule="auto"/>
              <w:ind w:left="714" w:hanging="357"/>
              <w:rPr>
                <w:rFonts w:cs="Calibri"/>
              </w:rPr>
            </w:pPr>
            <w:r w:rsidRPr="000C3AD6">
              <w:rPr>
                <w:rFonts w:cs="Calibri"/>
              </w:rPr>
              <w:t xml:space="preserve">improved communications </w:t>
            </w:r>
            <w:r>
              <w:rPr>
                <w:rFonts w:cs="Calibri"/>
              </w:rPr>
              <w:t>between Schools and</w:t>
            </w:r>
            <w:r w:rsidRPr="000C3AD6">
              <w:rPr>
                <w:rFonts w:cs="Calibri"/>
              </w:rPr>
              <w:t xml:space="preserve"> Space Management through increasing the number of iterations of the timetable</w:t>
            </w:r>
          </w:p>
          <w:p w:rsidR="00E3542C" w:rsidRPr="000C3AD6" w:rsidRDefault="00E3542C" w:rsidP="00DE5E93">
            <w:pPr>
              <w:numPr>
                <w:ilvl w:val="0"/>
                <w:numId w:val="8"/>
              </w:numPr>
              <w:spacing w:after="120" w:line="240" w:lineRule="auto"/>
              <w:ind w:left="714" w:hanging="357"/>
              <w:rPr>
                <w:rFonts w:cs="Calibri"/>
              </w:rPr>
            </w:pPr>
            <w:r w:rsidRPr="000C3AD6">
              <w:rPr>
                <w:rFonts w:cs="Calibri"/>
              </w:rPr>
              <w:t xml:space="preserve">Schools to place greater emphasis on meeting required deadlines for data </w:t>
            </w:r>
          </w:p>
          <w:p w:rsidR="00E3542C" w:rsidRPr="000C3AD6" w:rsidRDefault="00E3542C" w:rsidP="00DE5E93">
            <w:pPr>
              <w:numPr>
                <w:ilvl w:val="0"/>
                <w:numId w:val="8"/>
              </w:numPr>
              <w:spacing w:after="120" w:line="240" w:lineRule="auto"/>
              <w:ind w:left="714" w:hanging="357"/>
              <w:rPr>
                <w:rFonts w:cs="Calibri"/>
              </w:rPr>
            </w:pPr>
            <w:r>
              <w:rPr>
                <w:rFonts w:cs="Calibri"/>
              </w:rPr>
              <w:t>d</w:t>
            </w:r>
            <w:r w:rsidRPr="000C3AD6">
              <w:rPr>
                <w:rFonts w:cs="Calibri"/>
              </w:rPr>
              <w:t>evise means whereby students are encouraged to do more research into their potential choices of courses and ensuring that choices made remain a commitment during their study.</w:t>
            </w:r>
          </w:p>
        </w:tc>
        <w:tc>
          <w:tcPr>
            <w:tcW w:w="1080" w:type="dxa"/>
          </w:tcPr>
          <w:p w:rsidR="00E3542C" w:rsidRPr="000C3AD6" w:rsidRDefault="00E3542C" w:rsidP="00CA7635">
            <w:pPr>
              <w:spacing w:after="240"/>
              <w:rPr>
                <w:rFonts w:cs="Calibri"/>
              </w:rPr>
            </w:pPr>
          </w:p>
        </w:tc>
      </w:tr>
      <w:tr w:rsidR="00E3542C" w:rsidRPr="000C3AD6" w:rsidTr="002369A4">
        <w:tc>
          <w:tcPr>
            <w:tcW w:w="1548" w:type="dxa"/>
          </w:tcPr>
          <w:p w:rsidR="00E3542C" w:rsidRPr="008108AD" w:rsidRDefault="00E3542C" w:rsidP="00CA7635">
            <w:pPr>
              <w:spacing w:after="240"/>
              <w:rPr>
                <w:rFonts w:cs="Calibri"/>
                <w:b/>
              </w:rPr>
            </w:pPr>
            <w:r w:rsidRPr="008108AD">
              <w:rPr>
                <w:rFonts w:cs="Calibri"/>
                <w:b/>
              </w:rPr>
              <w:t>LQC/12/3.2</w:t>
            </w:r>
          </w:p>
        </w:tc>
        <w:tc>
          <w:tcPr>
            <w:tcW w:w="7380" w:type="dxa"/>
          </w:tcPr>
          <w:p w:rsidR="00E3542C" w:rsidRPr="008108AD" w:rsidRDefault="00E3542C" w:rsidP="00CA7635">
            <w:pPr>
              <w:spacing w:after="240"/>
              <w:rPr>
                <w:rFonts w:cs="Calibri"/>
                <w:b/>
              </w:rPr>
            </w:pPr>
            <w:r w:rsidRPr="008108AD">
              <w:rPr>
                <w:rFonts w:cs="Calibri"/>
                <w:b/>
              </w:rPr>
              <w:t>Minutes of the Previous Meeting</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0C3AD6" w:rsidRDefault="00E3542C" w:rsidP="00CA7635">
            <w:pPr>
              <w:spacing w:after="240"/>
              <w:rPr>
                <w:rFonts w:cs="Calibri"/>
              </w:rPr>
            </w:pPr>
          </w:p>
        </w:tc>
        <w:tc>
          <w:tcPr>
            <w:tcW w:w="7380" w:type="dxa"/>
          </w:tcPr>
          <w:p w:rsidR="00E3542C" w:rsidRPr="000C3AD6" w:rsidRDefault="00E3542C" w:rsidP="00CA7635">
            <w:pPr>
              <w:spacing w:after="240"/>
              <w:rPr>
                <w:rFonts w:cs="Calibri"/>
              </w:rPr>
            </w:pPr>
            <w:r w:rsidRPr="000C3AD6">
              <w:rPr>
                <w:rFonts w:cs="Calibri"/>
              </w:rPr>
              <w:t>The minutes of the meeting of October 2012 were agreed as an accurate record.</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8108AD" w:rsidRDefault="00E3542C" w:rsidP="00CA7635">
            <w:pPr>
              <w:spacing w:after="240"/>
              <w:rPr>
                <w:rFonts w:cs="Calibri"/>
                <w:b/>
              </w:rPr>
            </w:pPr>
            <w:r w:rsidRPr="008108AD">
              <w:rPr>
                <w:rFonts w:cs="Calibri"/>
                <w:b/>
              </w:rPr>
              <w:t>LQC/12/3.3</w:t>
            </w:r>
          </w:p>
        </w:tc>
        <w:tc>
          <w:tcPr>
            <w:tcW w:w="7380" w:type="dxa"/>
          </w:tcPr>
          <w:p w:rsidR="00E3542C" w:rsidRPr="008108AD" w:rsidRDefault="00E3542C" w:rsidP="00CA7635">
            <w:pPr>
              <w:spacing w:after="240"/>
              <w:rPr>
                <w:rFonts w:cs="Calibri"/>
                <w:b/>
              </w:rPr>
            </w:pPr>
            <w:r w:rsidRPr="008108AD">
              <w:rPr>
                <w:rFonts w:cs="Calibri"/>
                <w:b/>
              </w:rPr>
              <w:t>Matters arising from the Minutes</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0C3AD6" w:rsidRDefault="00E3542C" w:rsidP="00CA7635">
            <w:pPr>
              <w:spacing w:after="240"/>
              <w:jc w:val="right"/>
              <w:rPr>
                <w:rFonts w:cs="Calibri"/>
              </w:rPr>
            </w:pPr>
          </w:p>
        </w:tc>
        <w:tc>
          <w:tcPr>
            <w:tcW w:w="7380" w:type="dxa"/>
          </w:tcPr>
          <w:p w:rsidR="00E3542C" w:rsidRPr="000C3AD6" w:rsidRDefault="00E3542C" w:rsidP="00984CED">
            <w:pPr>
              <w:spacing w:after="240"/>
              <w:rPr>
                <w:rFonts w:cs="Calibri"/>
              </w:rPr>
            </w:pPr>
            <w:r w:rsidRPr="000C3AD6">
              <w:rPr>
                <w:rFonts w:cs="Calibri"/>
              </w:rPr>
              <w:t>LQC noted that all matters had been completed, were part of the current agenda or are part of future actions being undertaken in response to the Learning, Teaching and Assessment Strategy.  Some issues were raised in respect of specific minutes:</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Default="00E3542C" w:rsidP="00A637C7">
            <w:pPr>
              <w:spacing w:after="120" w:line="240" w:lineRule="auto"/>
              <w:jc w:val="right"/>
              <w:rPr>
                <w:rFonts w:cs="Calibri"/>
                <w:b/>
                <w:color w:val="FF0000"/>
              </w:rPr>
            </w:pPr>
            <w:r w:rsidRPr="000C3AD6">
              <w:rPr>
                <w:rFonts w:cs="Calibri"/>
                <w:b/>
                <w:color w:val="FF0000"/>
              </w:rPr>
              <w:t>Action</w:t>
            </w:r>
          </w:p>
          <w:p w:rsidR="00E3542C" w:rsidRPr="000C3AD6" w:rsidRDefault="00E3542C" w:rsidP="00A637C7">
            <w:pPr>
              <w:spacing w:after="120" w:line="240" w:lineRule="auto"/>
              <w:jc w:val="right"/>
              <w:rPr>
                <w:rFonts w:cs="Calibri"/>
                <w:b/>
                <w:color w:val="FF0000"/>
              </w:rPr>
            </w:pPr>
            <w:r w:rsidRPr="000C3AD6">
              <w:rPr>
                <w:rFonts w:cs="Calibri"/>
                <w:b/>
                <w:color w:val="FF0000"/>
              </w:rPr>
              <w:t xml:space="preserve">(Minute </w:t>
            </w:r>
            <w:r>
              <w:rPr>
                <w:rFonts w:cs="Calibri"/>
                <w:b/>
                <w:color w:val="FF0000"/>
              </w:rPr>
              <w:t>1</w:t>
            </w:r>
            <w:r w:rsidRPr="000C3AD6">
              <w:rPr>
                <w:rFonts w:cs="Calibri"/>
                <w:b/>
                <w:color w:val="FF0000"/>
              </w:rPr>
              <w:t xml:space="preserve">2.26 </w:t>
            </w:r>
            <w:r w:rsidRPr="000C3AD6">
              <w:rPr>
                <w:rFonts w:cs="Calibri"/>
                <w:b/>
                <w:color w:val="FF0000"/>
              </w:rPr>
              <w:lastRenderedPageBreak/>
              <w:t xml:space="preserve">refers)  </w:t>
            </w:r>
          </w:p>
        </w:tc>
        <w:tc>
          <w:tcPr>
            <w:tcW w:w="7380" w:type="dxa"/>
          </w:tcPr>
          <w:p w:rsidR="00E3542C" w:rsidRPr="000C3AD6" w:rsidRDefault="00E3542C" w:rsidP="00D2314B">
            <w:pPr>
              <w:spacing w:after="240"/>
              <w:rPr>
                <w:rFonts w:cs="Calibri"/>
                <w:b/>
                <w:color w:val="FF0000"/>
              </w:rPr>
            </w:pPr>
            <w:r w:rsidRPr="000C3AD6">
              <w:rPr>
                <w:rFonts w:cs="Calibri"/>
                <w:b/>
                <w:color w:val="FF0000"/>
              </w:rPr>
              <w:lastRenderedPageBreak/>
              <w:t>LQC officer agreed to circulate the University proposal for the “Employability Passport” for inclusion in School LQC agendas</w:t>
            </w:r>
          </w:p>
        </w:tc>
        <w:tc>
          <w:tcPr>
            <w:tcW w:w="1080" w:type="dxa"/>
            <w:tcBorders>
              <w:left w:val="nil"/>
            </w:tcBorders>
          </w:tcPr>
          <w:p w:rsidR="00E3542C" w:rsidRPr="000C3AD6" w:rsidRDefault="00E3542C" w:rsidP="00CA7635">
            <w:pPr>
              <w:spacing w:after="240"/>
              <w:rPr>
                <w:rFonts w:cs="Calibri"/>
                <w:b/>
                <w:color w:val="FF0000"/>
              </w:rPr>
            </w:pPr>
            <w:r w:rsidRPr="000C3AD6">
              <w:rPr>
                <w:rFonts w:cs="Calibri"/>
                <w:b/>
                <w:color w:val="FF0000"/>
              </w:rPr>
              <w:t>SN</w:t>
            </w:r>
          </w:p>
        </w:tc>
      </w:tr>
      <w:tr w:rsidR="00E3542C" w:rsidRPr="000C3AD6" w:rsidTr="002369A4">
        <w:tc>
          <w:tcPr>
            <w:tcW w:w="1548" w:type="dxa"/>
          </w:tcPr>
          <w:p w:rsidR="00E3542C" w:rsidRPr="000C3AD6" w:rsidRDefault="00E3542C" w:rsidP="00CA7635">
            <w:pPr>
              <w:spacing w:after="240"/>
              <w:jc w:val="right"/>
              <w:rPr>
                <w:rFonts w:cs="Calibri"/>
              </w:rPr>
            </w:pPr>
            <w:r w:rsidRPr="00A637C7">
              <w:rPr>
                <w:rFonts w:cs="Calibri"/>
              </w:rPr>
              <w:lastRenderedPageBreak/>
              <w:t xml:space="preserve">(Minute </w:t>
            </w:r>
            <w:r>
              <w:rPr>
                <w:rFonts w:cs="Calibri"/>
              </w:rPr>
              <w:t>1</w:t>
            </w:r>
            <w:r w:rsidRPr="00A637C7">
              <w:rPr>
                <w:rFonts w:cs="Calibri"/>
              </w:rPr>
              <w:t>2.</w:t>
            </w:r>
            <w:r>
              <w:rPr>
                <w:rFonts w:cs="Calibri"/>
              </w:rPr>
              <w:t>2</w:t>
            </w:r>
            <w:r w:rsidRPr="00A637C7">
              <w:rPr>
                <w:rFonts w:cs="Calibri"/>
              </w:rPr>
              <w:t>7 refers)</w:t>
            </w:r>
          </w:p>
        </w:tc>
        <w:tc>
          <w:tcPr>
            <w:tcW w:w="7380" w:type="dxa"/>
          </w:tcPr>
          <w:p w:rsidR="00E3542C" w:rsidRPr="000C3AD6" w:rsidRDefault="00E3542C" w:rsidP="00984CED">
            <w:pPr>
              <w:spacing w:after="240"/>
              <w:rPr>
                <w:rFonts w:cs="Calibri"/>
              </w:rPr>
            </w:pPr>
            <w:r w:rsidRPr="000C3AD6">
              <w:rPr>
                <w:rFonts w:cs="Calibri"/>
              </w:rPr>
              <w:t xml:space="preserve">Discussion took place over the nature and skills of staff who can </w:t>
            </w:r>
            <w:r>
              <w:rPr>
                <w:rFonts w:cs="Calibri"/>
              </w:rPr>
              <w:t>be expected to undertake a c</w:t>
            </w:r>
            <w:r w:rsidRPr="000C3AD6">
              <w:rPr>
                <w:rFonts w:cs="Calibri"/>
              </w:rPr>
              <w:t xml:space="preserve">hairing role for approval and review panels.  It was agreed that the Chair’s list should focus on staff with </w:t>
            </w:r>
            <w:r>
              <w:rPr>
                <w:rFonts w:cs="Calibri"/>
              </w:rPr>
              <w:t>experience of</w:t>
            </w:r>
            <w:r w:rsidRPr="000C3AD6">
              <w:rPr>
                <w:rFonts w:cs="Calibri"/>
              </w:rPr>
              <w:t xml:space="preserve"> academic leadership and curriculum development, expertise in collaborations and other areas of specialism to which many events adhere</w:t>
            </w:r>
            <w:r>
              <w:rPr>
                <w:rFonts w:cs="Calibri"/>
              </w:rPr>
              <w:t>: that role and level alone are not sufficient for the purposes of chairing</w:t>
            </w:r>
            <w:r w:rsidRPr="000C3AD6">
              <w:rPr>
                <w:rFonts w:cs="Calibri"/>
              </w:rPr>
              <w:t xml:space="preserve">.  LQC agreed that Schools, in nominating staff to undertake this role in future, should give weight to staff expertise as appointment criteria to areas such as </w:t>
            </w:r>
          </w:p>
          <w:p w:rsidR="00E3542C" w:rsidRPr="000C3AD6" w:rsidRDefault="00E3542C" w:rsidP="00984CED">
            <w:pPr>
              <w:numPr>
                <w:ilvl w:val="0"/>
                <w:numId w:val="9"/>
              </w:numPr>
              <w:spacing w:after="0" w:line="240" w:lineRule="auto"/>
              <w:ind w:left="714" w:hanging="357"/>
              <w:rPr>
                <w:rFonts w:cs="Calibri"/>
              </w:rPr>
            </w:pPr>
            <w:r w:rsidRPr="000C3AD6">
              <w:rPr>
                <w:rFonts w:cs="Calibri"/>
              </w:rPr>
              <w:t>Engagement as an examiner in another HEI</w:t>
            </w:r>
          </w:p>
          <w:p w:rsidR="00E3542C" w:rsidRPr="000C3AD6" w:rsidRDefault="00E3542C" w:rsidP="00984CED">
            <w:pPr>
              <w:numPr>
                <w:ilvl w:val="0"/>
                <w:numId w:val="9"/>
              </w:numPr>
              <w:spacing w:after="0" w:line="240" w:lineRule="auto"/>
              <w:ind w:left="714" w:hanging="357"/>
              <w:rPr>
                <w:rFonts w:cs="Calibri"/>
              </w:rPr>
            </w:pPr>
            <w:r w:rsidRPr="000C3AD6">
              <w:rPr>
                <w:rFonts w:cs="Calibri"/>
              </w:rPr>
              <w:t>Engagement with a professional Body</w:t>
            </w:r>
          </w:p>
          <w:p w:rsidR="00E3542C" w:rsidRPr="000C3AD6" w:rsidRDefault="00E3542C" w:rsidP="00984CED">
            <w:pPr>
              <w:numPr>
                <w:ilvl w:val="0"/>
                <w:numId w:val="9"/>
              </w:numPr>
              <w:spacing w:after="0" w:line="240" w:lineRule="auto"/>
              <w:ind w:left="714" w:hanging="357"/>
              <w:rPr>
                <w:rFonts w:cs="Calibri"/>
              </w:rPr>
            </w:pPr>
            <w:r w:rsidRPr="000C3AD6">
              <w:rPr>
                <w:rFonts w:cs="Calibri"/>
              </w:rPr>
              <w:t>Programme Leadership and curriculum design</w:t>
            </w:r>
            <w:r>
              <w:rPr>
                <w:rFonts w:cs="Calibri"/>
              </w:rPr>
              <w:t xml:space="preserve"> expertise</w:t>
            </w:r>
          </w:p>
          <w:p w:rsidR="00E3542C" w:rsidRPr="000C3AD6" w:rsidRDefault="00E3542C" w:rsidP="00984CED">
            <w:pPr>
              <w:numPr>
                <w:ilvl w:val="0"/>
                <w:numId w:val="9"/>
              </w:numPr>
              <w:spacing w:after="0" w:line="240" w:lineRule="auto"/>
              <w:ind w:left="714" w:hanging="357"/>
              <w:rPr>
                <w:rFonts w:cs="Calibri"/>
              </w:rPr>
            </w:pPr>
            <w:r w:rsidRPr="000C3AD6">
              <w:rPr>
                <w:rFonts w:cs="Calibri"/>
              </w:rPr>
              <w:t>Involvement with the Higher Education Academy</w:t>
            </w:r>
          </w:p>
          <w:p w:rsidR="00E3542C" w:rsidRPr="000C3AD6" w:rsidRDefault="00E3542C" w:rsidP="00984CED">
            <w:pPr>
              <w:numPr>
                <w:ilvl w:val="0"/>
                <w:numId w:val="9"/>
              </w:numPr>
              <w:spacing w:after="0" w:line="240" w:lineRule="auto"/>
              <w:ind w:left="714" w:hanging="357"/>
              <w:rPr>
                <w:rFonts w:cs="Calibri"/>
              </w:rPr>
            </w:pPr>
            <w:r w:rsidRPr="000C3AD6">
              <w:rPr>
                <w:rFonts w:cs="Calibri"/>
              </w:rPr>
              <w:t>Link Tutoring</w:t>
            </w:r>
          </w:p>
          <w:p w:rsidR="00E3542C" w:rsidRPr="000C3AD6" w:rsidRDefault="00E3542C" w:rsidP="00984CED">
            <w:pPr>
              <w:spacing w:after="0" w:line="240" w:lineRule="auto"/>
              <w:rPr>
                <w:rFonts w:cs="Calibri"/>
              </w:rPr>
            </w:pPr>
          </w:p>
          <w:p w:rsidR="00E3542C" w:rsidRPr="000C3AD6" w:rsidRDefault="00E3542C" w:rsidP="00984CED">
            <w:pPr>
              <w:spacing w:after="0" w:line="240" w:lineRule="auto"/>
              <w:rPr>
                <w:rFonts w:cs="Calibri"/>
              </w:rPr>
            </w:pPr>
            <w:r>
              <w:rPr>
                <w:rFonts w:cs="Calibri"/>
              </w:rPr>
              <w:t xml:space="preserve">The </w:t>
            </w:r>
            <w:r w:rsidRPr="000C3AD6">
              <w:rPr>
                <w:rFonts w:cs="Calibri"/>
              </w:rPr>
              <w:t>LQU Officer noted that many of these considerations will be put into effect when proposing Chairs for 2013/14 events.  EDU staff noted that the pool of staff who are engaged with the PG Certificate</w:t>
            </w:r>
            <w:r>
              <w:rPr>
                <w:rFonts w:cs="Calibri"/>
              </w:rPr>
              <w:t xml:space="preserve"> Higher Education</w:t>
            </w:r>
            <w:r w:rsidRPr="000C3AD6">
              <w:rPr>
                <w:rFonts w:cs="Calibri"/>
              </w:rPr>
              <w:t xml:space="preserve"> should be included as potential panel members for future reference.  Current </w:t>
            </w:r>
            <w:r>
              <w:rPr>
                <w:rFonts w:cs="Calibri"/>
              </w:rPr>
              <w:t>p</w:t>
            </w:r>
            <w:r w:rsidRPr="000C3AD6">
              <w:rPr>
                <w:rFonts w:cs="Calibri"/>
              </w:rPr>
              <w:t>ractice is that registered students on this programme must attend at least one Panel event as part of their study activities.</w:t>
            </w:r>
          </w:p>
          <w:p w:rsidR="00E3542C" w:rsidRPr="000C3AD6" w:rsidRDefault="00E3542C" w:rsidP="00984CED">
            <w:pPr>
              <w:spacing w:after="0" w:line="240" w:lineRule="auto"/>
              <w:rPr>
                <w:rFonts w:cs="Calibri"/>
              </w:rPr>
            </w:pPr>
          </w:p>
          <w:p w:rsidR="00E3542C" w:rsidRPr="000C3AD6" w:rsidRDefault="00E3542C" w:rsidP="00A55BCA">
            <w:pPr>
              <w:spacing w:after="0" w:line="240" w:lineRule="auto"/>
              <w:rPr>
                <w:rFonts w:cs="Calibri"/>
              </w:rPr>
            </w:pPr>
            <w:r>
              <w:rPr>
                <w:rFonts w:cs="Calibri"/>
              </w:rPr>
              <w:t>All Schools were urged to provide opportunities for</w:t>
            </w:r>
            <w:r w:rsidRPr="000C3AD6">
              <w:rPr>
                <w:rFonts w:cs="Calibri"/>
              </w:rPr>
              <w:t xml:space="preserve"> staff </w:t>
            </w:r>
            <w:r>
              <w:rPr>
                <w:rFonts w:cs="Calibri"/>
              </w:rPr>
              <w:t xml:space="preserve">to attend </w:t>
            </w:r>
            <w:r w:rsidRPr="000C3AD6">
              <w:rPr>
                <w:rFonts w:cs="Calibri"/>
              </w:rPr>
              <w:t>events as observers in line with effective practice adopted by the School of Health and Social Care.</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0C3AD6" w:rsidRDefault="00E3542C" w:rsidP="00CA7635">
            <w:pPr>
              <w:spacing w:after="240"/>
              <w:jc w:val="right"/>
              <w:rPr>
                <w:rFonts w:cs="Calibri"/>
                <w:b/>
                <w:color w:val="FF0000"/>
              </w:rPr>
            </w:pPr>
            <w:r w:rsidRPr="000C3AD6">
              <w:rPr>
                <w:rFonts w:cs="Calibri"/>
                <w:b/>
                <w:color w:val="FF0000"/>
              </w:rPr>
              <w:t>Action</w:t>
            </w:r>
          </w:p>
        </w:tc>
        <w:tc>
          <w:tcPr>
            <w:tcW w:w="7380" w:type="dxa"/>
          </w:tcPr>
          <w:p w:rsidR="00E3542C" w:rsidRPr="000C3AD6" w:rsidRDefault="00E3542C" w:rsidP="00FC4CBE">
            <w:pPr>
              <w:spacing w:after="240"/>
              <w:rPr>
                <w:rFonts w:cs="Calibri"/>
                <w:b/>
                <w:color w:val="FF0000"/>
              </w:rPr>
            </w:pPr>
            <w:r w:rsidRPr="000C3AD6">
              <w:rPr>
                <w:rFonts w:cs="Calibri"/>
                <w:b/>
                <w:color w:val="FF0000"/>
              </w:rPr>
              <w:t>Provide list of PG Cert staff t</w:t>
            </w:r>
            <w:r>
              <w:rPr>
                <w:rFonts w:cs="Calibri"/>
                <w:b/>
                <w:color w:val="FF0000"/>
              </w:rPr>
              <w:t>o LQU and write to the group re</w:t>
            </w:r>
            <w:r w:rsidRPr="000C3AD6">
              <w:rPr>
                <w:rFonts w:cs="Calibri"/>
                <w:b/>
                <w:color w:val="FF0000"/>
              </w:rPr>
              <w:t>garding future panel membership.</w:t>
            </w:r>
          </w:p>
        </w:tc>
        <w:tc>
          <w:tcPr>
            <w:tcW w:w="1080" w:type="dxa"/>
            <w:tcBorders>
              <w:left w:val="nil"/>
            </w:tcBorders>
          </w:tcPr>
          <w:p w:rsidR="00E3542C" w:rsidRPr="000C3AD6" w:rsidRDefault="00E3542C" w:rsidP="00A637C7">
            <w:pPr>
              <w:spacing w:after="0" w:line="240" w:lineRule="auto"/>
              <w:rPr>
                <w:rFonts w:cs="Calibri"/>
                <w:b/>
                <w:color w:val="FF0000"/>
              </w:rPr>
            </w:pPr>
            <w:r w:rsidRPr="000C3AD6">
              <w:rPr>
                <w:rFonts w:cs="Calibri"/>
                <w:b/>
                <w:color w:val="FF0000"/>
              </w:rPr>
              <w:t>SW</w:t>
            </w:r>
          </w:p>
          <w:p w:rsidR="00E3542C" w:rsidRPr="000C3AD6" w:rsidRDefault="00E3542C" w:rsidP="00A637C7">
            <w:pPr>
              <w:spacing w:after="0" w:line="240" w:lineRule="auto"/>
              <w:rPr>
                <w:rFonts w:cs="Calibri"/>
                <w:b/>
                <w:color w:val="FF0000"/>
              </w:rPr>
            </w:pPr>
            <w:r w:rsidRPr="000C3AD6">
              <w:rPr>
                <w:rFonts w:cs="Calibri"/>
                <w:b/>
                <w:color w:val="FF0000"/>
              </w:rPr>
              <w:t>SN</w:t>
            </w:r>
          </w:p>
        </w:tc>
      </w:tr>
      <w:tr w:rsidR="00E3542C" w:rsidRPr="000C3AD6" w:rsidTr="002369A4">
        <w:tc>
          <w:tcPr>
            <w:tcW w:w="1548" w:type="dxa"/>
          </w:tcPr>
          <w:p w:rsidR="00E3542C" w:rsidRPr="008108AD" w:rsidRDefault="00E3542C" w:rsidP="00CA7635">
            <w:pPr>
              <w:spacing w:after="240"/>
              <w:rPr>
                <w:rFonts w:cs="Calibri"/>
                <w:b/>
              </w:rPr>
            </w:pPr>
            <w:r w:rsidRPr="008108AD">
              <w:rPr>
                <w:rFonts w:cs="Calibri"/>
                <w:b/>
              </w:rPr>
              <w:t>LQC/12/3.4</w:t>
            </w:r>
          </w:p>
        </w:tc>
        <w:tc>
          <w:tcPr>
            <w:tcW w:w="7380" w:type="dxa"/>
          </w:tcPr>
          <w:p w:rsidR="00E3542C" w:rsidRPr="008108AD" w:rsidRDefault="00E3542C" w:rsidP="00CA7635">
            <w:pPr>
              <w:spacing w:after="240"/>
              <w:rPr>
                <w:rFonts w:cs="Calibri"/>
                <w:b/>
              </w:rPr>
            </w:pPr>
            <w:r w:rsidRPr="008108AD">
              <w:rPr>
                <w:rFonts w:cs="Calibri"/>
                <w:b/>
              </w:rPr>
              <w:t>Postgraduate Transition</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0C3AD6" w:rsidRDefault="00E3542C" w:rsidP="00CA7635">
            <w:pPr>
              <w:spacing w:after="240"/>
              <w:rPr>
                <w:rFonts w:cs="Calibri"/>
              </w:rPr>
            </w:pPr>
          </w:p>
        </w:tc>
        <w:tc>
          <w:tcPr>
            <w:tcW w:w="7380" w:type="dxa"/>
          </w:tcPr>
          <w:p w:rsidR="00E3542C" w:rsidRPr="000C3AD6" w:rsidRDefault="00E3542C" w:rsidP="00FB3322">
            <w:pPr>
              <w:spacing w:after="240"/>
              <w:rPr>
                <w:rFonts w:cs="Calibri"/>
              </w:rPr>
            </w:pPr>
            <w:r w:rsidRPr="000C3AD6">
              <w:rPr>
                <w:rFonts w:cs="Calibri"/>
              </w:rPr>
              <w:t xml:space="preserve">LQC received and noted a detailed paper on postgraduate student transition to the University.  The committee endorsed the paper, recommending </w:t>
            </w:r>
            <w:r>
              <w:rPr>
                <w:rFonts w:cs="Calibri"/>
              </w:rPr>
              <w:t xml:space="preserve">however </w:t>
            </w:r>
            <w:r w:rsidRPr="000C3AD6">
              <w:rPr>
                <w:rFonts w:cs="Calibri"/>
              </w:rPr>
              <w:t xml:space="preserve">that </w:t>
            </w:r>
            <w:r>
              <w:rPr>
                <w:rFonts w:cs="Calibri"/>
              </w:rPr>
              <w:t>it filters</w:t>
            </w:r>
            <w:r w:rsidRPr="000C3AD6">
              <w:rPr>
                <w:rFonts w:cs="Calibri"/>
              </w:rPr>
              <w:t xml:space="preserve"> its proposals relating to postgraduate research students and takes these through appropriate Research Degrees for</w:t>
            </w:r>
            <w:r>
              <w:rPr>
                <w:rFonts w:cs="Calibri"/>
              </w:rPr>
              <w:t>a</w:t>
            </w:r>
            <w:r w:rsidRPr="000C3AD6">
              <w:rPr>
                <w:rFonts w:cs="Calibri"/>
              </w:rPr>
              <w:t>.</w:t>
            </w:r>
          </w:p>
          <w:p w:rsidR="00E3542C" w:rsidRPr="000C3AD6" w:rsidRDefault="00E3542C" w:rsidP="00FB3322">
            <w:pPr>
              <w:spacing w:after="240"/>
              <w:rPr>
                <w:rFonts w:cs="Calibri"/>
              </w:rPr>
            </w:pPr>
            <w:r w:rsidRPr="000C3AD6">
              <w:rPr>
                <w:rFonts w:cs="Calibri"/>
              </w:rPr>
              <w:t xml:space="preserve">LQC also recommended that a reading of this report’s sections relating to Research Students is taken together with the actions </w:t>
            </w:r>
            <w:r>
              <w:rPr>
                <w:rFonts w:cs="Calibri"/>
              </w:rPr>
              <w:t>arising from</w:t>
            </w:r>
            <w:r w:rsidRPr="000C3AD6">
              <w:rPr>
                <w:rFonts w:cs="Calibri"/>
              </w:rPr>
              <w:t xml:space="preserve"> the last QAA institu</w:t>
            </w:r>
            <w:r>
              <w:rPr>
                <w:rFonts w:cs="Calibri"/>
              </w:rPr>
              <w:t>tional audit of the University,</w:t>
            </w:r>
            <w:r w:rsidRPr="000C3AD6">
              <w:rPr>
                <w:rFonts w:cs="Calibri"/>
              </w:rPr>
              <w:t xml:space="preserve"> which contained requirements </w:t>
            </w:r>
            <w:r>
              <w:rPr>
                <w:rFonts w:cs="Calibri"/>
              </w:rPr>
              <w:t>for the University to address</w:t>
            </w:r>
            <w:r w:rsidRPr="000C3AD6">
              <w:rPr>
                <w:rFonts w:cs="Calibri"/>
              </w:rPr>
              <w:t xml:space="preserve"> how research students </w:t>
            </w:r>
            <w:r>
              <w:rPr>
                <w:rFonts w:cs="Calibri"/>
              </w:rPr>
              <w:t xml:space="preserve">should be </w:t>
            </w:r>
            <w:r w:rsidRPr="000C3AD6">
              <w:rPr>
                <w:rFonts w:cs="Calibri"/>
              </w:rPr>
              <w:t>supported when engaged in teaching.</w:t>
            </w:r>
            <w:r>
              <w:rPr>
                <w:rFonts w:cs="Calibri"/>
              </w:rPr>
              <w:t xml:space="preserve"> Also, consideration should be given to the QAA code of Practice on Research Students.</w:t>
            </w:r>
          </w:p>
          <w:p w:rsidR="00E3542C" w:rsidRPr="000C3AD6" w:rsidRDefault="00E3542C" w:rsidP="00FB3322">
            <w:pPr>
              <w:spacing w:after="240"/>
              <w:rPr>
                <w:rFonts w:cs="Calibri"/>
              </w:rPr>
            </w:pPr>
            <w:r w:rsidRPr="000C3AD6">
              <w:rPr>
                <w:rFonts w:cs="Calibri"/>
              </w:rPr>
              <w:t>LQC recommended that any further information and guidance that the EDU prov</w:t>
            </w:r>
            <w:r>
              <w:rPr>
                <w:rFonts w:cs="Calibri"/>
              </w:rPr>
              <w:t>i</w:t>
            </w:r>
            <w:r w:rsidRPr="000C3AD6">
              <w:rPr>
                <w:rFonts w:cs="Calibri"/>
              </w:rPr>
              <w:t>des await the outcomes of the</w:t>
            </w:r>
            <w:r>
              <w:rPr>
                <w:rFonts w:cs="Calibri"/>
              </w:rPr>
              <w:t xml:space="preserve"> </w:t>
            </w:r>
            <w:r w:rsidRPr="000C3AD6">
              <w:rPr>
                <w:rFonts w:cs="Calibri"/>
              </w:rPr>
              <w:t>iGraduate and Postgraduate Student Survey</w:t>
            </w:r>
            <w:r>
              <w:rPr>
                <w:rFonts w:cs="Calibri"/>
              </w:rPr>
              <w:t>s</w:t>
            </w:r>
            <w:r w:rsidRPr="000C3AD6">
              <w:rPr>
                <w:rFonts w:cs="Calibri"/>
              </w:rPr>
              <w:t xml:space="preserve"> being undertaken in early 2013.</w:t>
            </w:r>
          </w:p>
          <w:p w:rsidR="00E3542C" w:rsidRPr="000C3AD6" w:rsidRDefault="00E3542C" w:rsidP="00A55BCA">
            <w:pPr>
              <w:spacing w:after="240"/>
              <w:rPr>
                <w:rFonts w:cs="Calibri"/>
              </w:rPr>
            </w:pPr>
            <w:r w:rsidRPr="000C3AD6">
              <w:rPr>
                <w:rFonts w:cs="Calibri"/>
              </w:rPr>
              <w:lastRenderedPageBreak/>
              <w:t>LQC endorsed the development of specific activities in weeks 1 and 2 aimed at inclusion for postgraduate students, particularly in view of the wide cultural demography of the University’s postgraduate student body.  The general view being that greater customisation is nece</w:t>
            </w:r>
            <w:r>
              <w:rPr>
                <w:rFonts w:cs="Calibri"/>
              </w:rPr>
              <w:t>ssa</w:t>
            </w:r>
            <w:r w:rsidRPr="000C3AD6">
              <w:rPr>
                <w:rFonts w:cs="Calibri"/>
              </w:rPr>
              <w:t>ry for this group of students.</w:t>
            </w:r>
            <w:r>
              <w:rPr>
                <w:rFonts w:cs="Calibri"/>
              </w:rPr>
              <w:t xml:space="preserve">  It was recommended that opportunities for socialisation of PG students be considered with the related Personal Tutoring Paper.</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8108AD" w:rsidRDefault="00E3542C" w:rsidP="00CA7635">
            <w:pPr>
              <w:spacing w:after="240"/>
              <w:rPr>
                <w:rFonts w:cs="Calibri"/>
                <w:b/>
              </w:rPr>
            </w:pPr>
            <w:r w:rsidRPr="008108AD">
              <w:rPr>
                <w:rFonts w:cs="Calibri"/>
                <w:b/>
              </w:rPr>
              <w:lastRenderedPageBreak/>
              <w:t>LQC/12/2.5</w:t>
            </w:r>
          </w:p>
        </w:tc>
        <w:tc>
          <w:tcPr>
            <w:tcW w:w="7380" w:type="dxa"/>
          </w:tcPr>
          <w:p w:rsidR="00E3542C" w:rsidRPr="008108AD" w:rsidRDefault="00E3542C" w:rsidP="00B71293">
            <w:pPr>
              <w:spacing w:after="240"/>
              <w:rPr>
                <w:rFonts w:cs="Calibri"/>
                <w:b/>
              </w:rPr>
            </w:pPr>
            <w:r w:rsidRPr="008108AD">
              <w:rPr>
                <w:rFonts w:cs="Calibri"/>
                <w:b/>
              </w:rPr>
              <w:t>Personal Tutoring</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0C3AD6" w:rsidRDefault="00E3542C" w:rsidP="00CA7635">
            <w:pPr>
              <w:spacing w:after="240"/>
              <w:rPr>
                <w:rFonts w:cs="Calibri"/>
              </w:rPr>
            </w:pPr>
          </w:p>
        </w:tc>
        <w:tc>
          <w:tcPr>
            <w:tcW w:w="7380" w:type="dxa"/>
          </w:tcPr>
          <w:p w:rsidR="00E3542C" w:rsidRPr="000C3AD6" w:rsidRDefault="00E3542C" w:rsidP="00241917">
            <w:pPr>
              <w:spacing w:after="240" w:line="240" w:lineRule="auto"/>
              <w:rPr>
                <w:rFonts w:cs="Calibri"/>
              </w:rPr>
            </w:pPr>
            <w:r w:rsidRPr="000C3AD6">
              <w:rPr>
                <w:rFonts w:cs="Calibri"/>
              </w:rPr>
              <w:t xml:space="preserve">LQC received an in-depth report on personal tutoring, written following the conduct of interviews with both students and staff by the EDU.  This constituted a part of a general review of 2T@UG and aimed at identifying best practice, support required </w:t>
            </w:r>
            <w:r>
              <w:rPr>
                <w:rFonts w:cs="Calibri"/>
              </w:rPr>
              <w:t xml:space="preserve">for an effective system </w:t>
            </w:r>
            <w:r w:rsidRPr="000C3AD6">
              <w:rPr>
                <w:rFonts w:cs="Calibri"/>
              </w:rPr>
              <w:t>and to assure</w:t>
            </w:r>
            <w:r>
              <w:rPr>
                <w:rFonts w:cs="Calibri"/>
              </w:rPr>
              <w:t xml:space="preserve"> greater consistency of outcomes across all Schools.</w:t>
            </w:r>
            <w:r w:rsidRPr="000C3AD6">
              <w:rPr>
                <w:rFonts w:cs="Calibri"/>
              </w:rPr>
              <w:t xml:space="preserve">  The report and LQC concluded that a number of features are needed to ensure a successful personal tutoring system.  These include</w:t>
            </w:r>
          </w:p>
          <w:p w:rsidR="00E3542C" w:rsidRPr="000C3AD6" w:rsidRDefault="00E3542C" w:rsidP="00241917">
            <w:pPr>
              <w:numPr>
                <w:ilvl w:val="0"/>
                <w:numId w:val="10"/>
              </w:numPr>
              <w:spacing w:after="0" w:line="240" w:lineRule="auto"/>
              <w:rPr>
                <w:rFonts w:cs="Calibri"/>
              </w:rPr>
            </w:pPr>
            <w:r w:rsidRPr="000C3AD6">
              <w:rPr>
                <w:rFonts w:cs="Calibri"/>
              </w:rPr>
              <w:t>focus on the development of relationships both student to staff and student to student (in particular focussing on group tutoring methods as well as individual)</w:t>
            </w:r>
          </w:p>
          <w:p w:rsidR="00E3542C" w:rsidRPr="00A55BCA" w:rsidRDefault="00E3542C" w:rsidP="00A55BCA">
            <w:pPr>
              <w:numPr>
                <w:ilvl w:val="0"/>
                <w:numId w:val="10"/>
              </w:numPr>
              <w:spacing w:after="0" w:line="240" w:lineRule="auto"/>
              <w:rPr>
                <w:rFonts w:cs="Calibri"/>
              </w:rPr>
            </w:pPr>
            <w:r>
              <w:rPr>
                <w:rFonts w:cs="Calibri"/>
              </w:rPr>
              <w:t>p</w:t>
            </w:r>
            <w:r w:rsidRPr="00A55BCA">
              <w:rPr>
                <w:rFonts w:cs="Calibri"/>
              </w:rPr>
              <w:t>rovision of timetabled personal tutorial sessions for ALL Level 4 students</w:t>
            </w:r>
          </w:p>
          <w:p w:rsidR="00E3542C" w:rsidRPr="000C3AD6" w:rsidRDefault="00E3542C" w:rsidP="00241917">
            <w:pPr>
              <w:numPr>
                <w:ilvl w:val="0"/>
                <w:numId w:val="10"/>
              </w:numPr>
              <w:spacing w:after="0" w:line="240" w:lineRule="auto"/>
              <w:rPr>
                <w:rFonts w:cs="Calibri"/>
              </w:rPr>
            </w:pPr>
            <w:r>
              <w:rPr>
                <w:rFonts w:cs="Calibri"/>
              </w:rPr>
              <w:t>l</w:t>
            </w:r>
            <w:r w:rsidRPr="000C3AD6">
              <w:rPr>
                <w:rFonts w:cs="Calibri"/>
              </w:rPr>
              <w:t>inking personal tutoring groups and activities to the students’ curricula</w:t>
            </w:r>
          </w:p>
          <w:p w:rsidR="00E3542C" w:rsidRPr="000C3AD6" w:rsidRDefault="00E3542C" w:rsidP="00241917">
            <w:pPr>
              <w:numPr>
                <w:ilvl w:val="0"/>
                <w:numId w:val="10"/>
              </w:numPr>
              <w:spacing w:after="0" w:line="240" w:lineRule="auto"/>
              <w:rPr>
                <w:rFonts w:cs="Calibri"/>
              </w:rPr>
            </w:pPr>
            <w:r w:rsidRPr="000C3AD6">
              <w:rPr>
                <w:rFonts w:cs="Calibri"/>
              </w:rPr>
              <w:t>development of a universally utilised attendance recording system with automatic notifications and focus on non attending students to develop higher levels of engagement</w:t>
            </w:r>
          </w:p>
          <w:p w:rsidR="00E3542C" w:rsidRPr="000C3AD6" w:rsidRDefault="00E3542C" w:rsidP="00241917">
            <w:pPr>
              <w:numPr>
                <w:ilvl w:val="0"/>
                <w:numId w:val="10"/>
              </w:numPr>
              <w:spacing w:after="0" w:line="240" w:lineRule="auto"/>
              <w:rPr>
                <w:rFonts w:cs="Calibri"/>
              </w:rPr>
            </w:pPr>
            <w:r w:rsidRPr="000C3AD6">
              <w:rPr>
                <w:rFonts w:cs="Calibri"/>
              </w:rPr>
              <w:t xml:space="preserve">development of a policy document to guide Schools and </w:t>
            </w:r>
            <w:r>
              <w:rPr>
                <w:rFonts w:cs="Calibri"/>
              </w:rPr>
              <w:t xml:space="preserve">to clarify for students the role of personal tutors and their </w:t>
            </w:r>
            <w:r w:rsidRPr="000C3AD6">
              <w:rPr>
                <w:rFonts w:cs="Calibri"/>
              </w:rPr>
              <w:t>entitlement</w:t>
            </w:r>
          </w:p>
          <w:p w:rsidR="00E3542C" w:rsidRPr="000C3AD6" w:rsidRDefault="00E3542C" w:rsidP="00241917">
            <w:pPr>
              <w:numPr>
                <w:ilvl w:val="0"/>
                <w:numId w:val="10"/>
              </w:numPr>
              <w:spacing w:after="0" w:line="240" w:lineRule="auto"/>
              <w:rPr>
                <w:rFonts w:cs="Calibri"/>
              </w:rPr>
            </w:pPr>
            <w:r w:rsidRPr="000C3AD6">
              <w:rPr>
                <w:rFonts w:cs="Calibri"/>
              </w:rPr>
              <w:t>development of School based and discipline focussed activities that meet the general policy requirements</w:t>
            </w:r>
          </w:p>
          <w:p w:rsidR="00E3542C" w:rsidRPr="000C3AD6" w:rsidRDefault="00E3542C" w:rsidP="00241917">
            <w:pPr>
              <w:spacing w:after="240" w:line="240" w:lineRule="auto"/>
              <w:rPr>
                <w:rFonts w:cs="Calibri"/>
              </w:rPr>
            </w:pPr>
          </w:p>
          <w:p w:rsidR="00E3542C" w:rsidRPr="000C3AD6" w:rsidRDefault="00E3542C" w:rsidP="00241917">
            <w:pPr>
              <w:spacing w:after="240" w:line="240" w:lineRule="auto"/>
              <w:rPr>
                <w:rFonts w:cs="Calibri"/>
              </w:rPr>
            </w:pPr>
            <w:r w:rsidRPr="000C3AD6">
              <w:rPr>
                <w:rFonts w:cs="Calibri"/>
              </w:rPr>
              <w:t>LQC agreed that following the agreement of base line principles Schools will need to provide detail on how they meet the tenets of the general policy within their different disciplines.</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0C3AD6" w:rsidRDefault="00E3542C" w:rsidP="00CA7635">
            <w:pPr>
              <w:spacing w:after="240"/>
              <w:rPr>
                <w:rFonts w:cs="Calibri"/>
                <w:b/>
                <w:color w:val="FF0000"/>
              </w:rPr>
            </w:pPr>
            <w:r w:rsidRPr="000C3AD6">
              <w:rPr>
                <w:rFonts w:cs="Calibri"/>
                <w:b/>
                <w:color w:val="FF0000"/>
              </w:rPr>
              <w:t>Action</w:t>
            </w:r>
          </w:p>
        </w:tc>
        <w:tc>
          <w:tcPr>
            <w:tcW w:w="7380" w:type="dxa"/>
          </w:tcPr>
          <w:p w:rsidR="00E3542C" w:rsidRPr="000C3AD6" w:rsidRDefault="00E3542C" w:rsidP="00241917">
            <w:pPr>
              <w:numPr>
                <w:ilvl w:val="0"/>
                <w:numId w:val="12"/>
              </w:numPr>
              <w:spacing w:after="240" w:line="240" w:lineRule="auto"/>
              <w:rPr>
                <w:rFonts w:cs="Calibri"/>
                <w:b/>
                <w:color w:val="FF0000"/>
              </w:rPr>
            </w:pPr>
            <w:r w:rsidRPr="000C3AD6">
              <w:rPr>
                <w:rFonts w:cs="Calibri"/>
                <w:b/>
                <w:color w:val="FF0000"/>
              </w:rPr>
              <w:t>The EDU provide a draft paper which identifies base level principles arising from the report and which:</w:t>
            </w:r>
          </w:p>
          <w:p w:rsidR="00E3542C" w:rsidRPr="000C3AD6" w:rsidRDefault="00E3542C" w:rsidP="00241917">
            <w:pPr>
              <w:numPr>
                <w:ilvl w:val="0"/>
                <w:numId w:val="11"/>
              </w:numPr>
              <w:spacing w:after="0" w:line="240" w:lineRule="auto"/>
              <w:ind w:left="714" w:hanging="357"/>
              <w:rPr>
                <w:rFonts w:cs="Calibri"/>
                <w:b/>
                <w:color w:val="FF0000"/>
              </w:rPr>
            </w:pPr>
            <w:r w:rsidRPr="000C3AD6">
              <w:rPr>
                <w:rFonts w:cs="Calibri"/>
                <w:b/>
                <w:color w:val="FF0000"/>
              </w:rPr>
              <w:t>Identifies general principles of personal tutoring</w:t>
            </w:r>
          </w:p>
          <w:p w:rsidR="00E3542C" w:rsidRPr="000C3AD6" w:rsidRDefault="00E3542C" w:rsidP="00241917">
            <w:pPr>
              <w:numPr>
                <w:ilvl w:val="0"/>
                <w:numId w:val="11"/>
              </w:numPr>
              <w:spacing w:after="0" w:line="240" w:lineRule="auto"/>
              <w:ind w:left="714" w:hanging="357"/>
              <w:rPr>
                <w:rFonts w:cs="Calibri"/>
                <w:b/>
                <w:color w:val="FF0000"/>
              </w:rPr>
            </w:pPr>
            <w:r w:rsidRPr="000C3AD6">
              <w:rPr>
                <w:rFonts w:cs="Calibri"/>
                <w:b/>
                <w:color w:val="FF0000"/>
              </w:rPr>
              <w:t>Identifies base level entitlement for students (non</w:t>
            </w:r>
            <w:r>
              <w:rPr>
                <w:rFonts w:cs="Calibri"/>
                <w:b/>
                <w:color w:val="FF0000"/>
              </w:rPr>
              <w:t>-</w:t>
            </w:r>
            <w:r w:rsidRPr="000C3AD6">
              <w:rPr>
                <w:rFonts w:cs="Calibri"/>
                <w:b/>
                <w:color w:val="FF0000"/>
              </w:rPr>
              <w:t>negotiable minima)</w:t>
            </w:r>
          </w:p>
          <w:p w:rsidR="00E3542C" w:rsidRPr="000C3AD6" w:rsidRDefault="00E3542C" w:rsidP="00241917">
            <w:pPr>
              <w:numPr>
                <w:ilvl w:val="0"/>
                <w:numId w:val="11"/>
              </w:numPr>
              <w:spacing w:after="0" w:line="240" w:lineRule="auto"/>
              <w:ind w:left="714" w:hanging="357"/>
              <w:rPr>
                <w:rFonts w:cs="Calibri"/>
                <w:b/>
                <w:color w:val="FF0000"/>
              </w:rPr>
            </w:pPr>
            <w:r w:rsidRPr="000C3AD6">
              <w:rPr>
                <w:rFonts w:cs="Calibri"/>
                <w:b/>
                <w:color w:val="FF0000"/>
              </w:rPr>
              <w:t xml:space="preserve">Includes the potential for part time staff to act as personal tutors </w:t>
            </w:r>
          </w:p>
          <w:p w:rsidR="00E3542C" w:rsidRPr="000C3AD6" w:rsidRDefault="00E3542C" w:rsidP="00241917">
            <w:pPr>
              <w:numPr>
                <w:ilvl w:val="0"/>
                <w:numId w:val="11"/>
              </w:numPr>
              <w:spacing w:after="0" w:line="240" w:lineRule="auto"/>
              <w:ind w:left="714" w:hanging="357"/>
              <w:rPr>
                <w:rFonts w:cs="Calibri"/>
                <w:b/>
                <w:color w:val="FF0000"/>
              </w:rPr>
            </w:pPr>
            <w:r w:rsidRPr="000C3AD6">
              <w:rPr>
                <w:rFonts w:cs="Calibri"/>
                <w:b/>
                <w:color w:val="FF0000"/>
              </w:rPr>
              <w:t>Provides indicative models and exemplars of practice</w:t>
            </w:r>
          </w:p>
          <w:p w:rsidR="00E3542C" w:rsidRPr="000C3AD6" w:rsidRDefault="00E3542C" w:rsidP="00241917">
            <w:pPr>
              <w:spacing w:after="240" w:line="240" w:lineRule="auto"/>
              <w:rPr>
                <w:rFonts w:cs="Calibri"/>
                <w:b/>
                <w:color w:val="FF0000"/>
              </w:rPr>
            </w:pPr>
          </w:p>
          <w:p w:rsidR="00E3542C" w:rsidRPr="000C3AD6" w:rsidRDefault="00E3542C" w:rsidP="00241917">
            <w:pPr>
              <w:numPr>
                <w:ilvl w:val="0"/>
                <w:numId w:val="12"/>
              </w:numPr>
              <w:spacing w:after="240" w:line="240" w:lineRule="auto"/>
              <w:rPr>
                <w:rFonts w:cs="Calibri"/>
                <w:b/>
                <w:color w:val="FF0000"/>
              </w:rPr>
            </w:pPr>
            <w:r w:rsidRPr="000C3AD6">
              <w:rPr>
                <w:rFonts w:cs="Calibri"/>
                <w:b/>
                <w:color w:val="FF0000"/>
              </w:rPr>
              <w:t xml:space="preserve">All School </w:t>
            </w:r>
            <w:r>
              <w:rPr>
                <w:rFonts w:cs="Calibri"/>
                <w:b/>
                <w:color w:val="FF0000"/>
              </w:rPr>
              <w:t xml:space="preserve">DLQ </w:t>
            </w:r>
            <w:r w:rsidRPr="000C3AD6">
              <w:rPr>
                <w:rFonts w:cs="Calibri"/>
                <w:b/>
                <w:color w:val="FF0000"/>
              </w:rPr>
              <w:t xml:space="preserve">members to provide the EDU with feedback on the base level principles which could be included in the policy </w:t>
            </w:r>
          </w:p>
        </w:tc>
        <w:tc>
          <w:tcPr>
            <w:tcW w:w="1080" w:type="dxa"/>
            <w:tcBorders>
              <w:left w:val="nil"/>
            </w:tcBorders>
          </w:tcPr>
          <w:p w:rsidR="00E3542C" w:rsidRPr="000C3AD6" w:rsidRDefault="00E3542C" w:rsidP="00CA7635">
            <w:pPr>
              <w:spacing w:after="240"/>
              <w:rPr>
                <w:rFonts w:cs="Calibri"/>
                <w:b/>
                <w:color w:val="FF0000"/>
              </w:rPr>
            </w:pPr>
            <w:r w:rsidRPr="000C3AD6">
              <w:rPr>
                <w:rFonts w:cs="Calibri"/>
                <w:b/>
                <w:color w:val="FF0000"/>
              </w:rPr>
              <w:t>EDU</w:t>
            </w:r>
          </w:p>
          <w:p w:rsidR="00E3542C" w:rsidRPr="000C3AD6" w:rsidRDefault="00E3542C" w:rsidP="00CA7635">
            <w:pPr>
              <w:spacing w:after="240"/>
              <w:rPr>
                <w:rFonts w:cs="Calibri"/>
                <w:b/>
                <w:color w:val="FF0000"/>
              </w:rPr>
            </w:pPr>
          </w:p>
          <w:p w:rsidR="00E3542C" w:rsidRPr="000C3AD6" w:rsidRDefault="00E3542C" w:rsidP="00CA7635">
            <w:pPr>
              <w:spacing w:after="240"/>
              <w:rPr>
                <w:rFonts w:cs="Calibri"/>
                <w:b/>
                <w:color w:val="FF0000"/>
              </w:rPr>
            </w:pPr>
          </w:p>
          <w:p w:rsidR="00E3542C" w:rsidRPr="000C3AD6" w:rsidRDefault="00E3542C" w:rsidP="00CA7635">
            <w:pPr>
              <w:spacing w:after="240"/>
              <w:rPr>
                <w:rFonts w:cs="Calibri"/>
                <w:b/>
                <w:color w:val="FF0000"/>
              </w:rPr>
            </w:pPr>
          </w:p>
          <w:p w:rsidR="00E3542C" w:rsidRPr="000C3AD6" w:rsidRDefault="00E3542C" w:rsidP="00CA7635">
            <w:pPr>
              <w:spacing w:after="240"/>
              <w:rPr>
                <w:rFonts w:cs="Calibri"/>
                <w:b/>
                <w:color w:val="FF0000"/>
              </w:rPr>
            </w:pPr>
          </w:p>
          <w:p w:rsidR="00E3542C" w:rsidRPr="000C3AD6" w:rsidRDefault="00E3542C" w:rsidP="00CA7635">
            <w:pPr>
              <w:spacing w:after="240"/>
              <w:rPr>
                <w:rFonts w:cs="Calibri"/>
                <w:b/>
                <w:color w:val="FF0000"/>
              </w:rPr>
            </w:pPr>
            <w:r w:rsidRPr="000C3AD6">
              <w:rPr>
                <w:rFonts w:cs="Calibri"/>
                <w:b/>
                <w:color w:val="FF0000"/>
              </w:rPr>
              <w:t>DLQ</w:t>
            </w:r>
          </w:p>
        </w:tc>
      </w:tr>
      <w:tr w:rsidR="00E3542C" w:rsidRPr="000C3AD6" w:rsidTr="002369A4">
        <w:tc>
          <w:tcPr>
            <w:tcW w:w="1548" w:type="dxa"/>
          </w:tcPr>
          <w:p w:rsidR="00E3542C" w:rsidRPr="008108AD" w:rsidRDefault="00E3542C" w:rsidP="00CA7635">
            <w:pPr>
              <w:spacing w:after="240"/>
              <w:rPr>
                <w:rFonts w:cs="Calibri"/>
                <w:b/>
              </w:rPr>
            </w:pPr>
            <w:r w:rsidRPr="008108AD">
              <w:rPr>
                <w:rFonts w:cs="Calibri"/>
                <w:b/>
              </w:rPr>
              <w:br w:type="page"/>
              <w:t>LQC/12/3.6</w:t>
            </w:r>
          </w:p>
        </w:tc>
        <w:tc>
          <w:tcPr>
            <w:tcW w:w="7380" w:type="dxa"/>
          </w:tcPr>
          <w:p w:rsidR="00E3542C" w:rsidRPr="008108AD" w:rsidRDefault="00E3542C" w:rsidP="00D66F89">
            <w:pPr>
              <w:spacing w:after="240"/>
              <w:rPr>
                <w:rFonts w:cs="Calibri"/>
                <w:b/>
              </w:rPr>
            </w:pPr>
            <w:r w:rsidRPr="008108AD">
              <w:rPr>
                <w:rFonts w:cs="Calibri"/>
                <w:b/>
              </w:rPr>
              <w:t>Higher Education Achievement Report</w:t>
            </w:r>
          </w:p>
        </w:tc>
        <w:tc>
          <w:tcPr>
            <w:tcW w:w="1080" w:type="dxa"/>
            <w:tcBorders>
              <w:left w:val="nil"/>
            </w:tcBorders>
          </w:tcPr>
          <w:p w:rsidR="00E3542C" w:rsidRPr="000C3AD6" w:rsidRDefault="00E3542C" w:rsidP="00CA7635">
            <w:pPr>
              <w:spacing w:after="240"/>
              <w:rPr>
                <w:rFonts w:cs="Calibri"/>
              </w:rPr>
            </w:pPr>
          </w:p>
        </w:tc>
      </w:tr>
      <w:tr w:rsidR="00E3542C" w:rsidRPr="000C3AD6" w:rsidTr="008108AD">
        <w:trPr>
          <w:trHeight w:val="647"/>
        </w:trPr>
        <w:tc>
          <w:tcPr>
            <w:tcW w:w="1548" w:type="dxa"/>
          </w:tcPr>
          <w:p w:rsidR="00E3542C" w:rsidRPr="000C3AD6" w:rsidRDefault="00E3542C" w:rsidP="00CA7635">
            <w:pPr>
              <w:spacing w:after="240"/>
              <w:rPr>
                <w:rFonts w:cs="Calibri"/>
              </w:rPr>
            </w:pPr>
          </w:p>
        </w:tc>
        <w:tc>
          <w:tcPr>
            <w:tcW w:w="7380" w:type="dxa"/>
          </w:tcPr>
          <w:p w:rsidR="00E3542C" w:rsidRPr="000C3AD6" w:rsidRDefault="00E3542C" w:rsidP="008108AD">
            <w:pPr>
              <w:spacing w:after="240"/>
              <w:rPr>
                <w:rFonts w:cs="Calibri"/>
              </w:rPr>
            </w:pPr>
            <w:r w:rsidRPr="000C3AD6">
              <w:rPr>
                <w:rFonts w:cs="Calibri"/>
              </w:rPr>
              <w:t>The Committee received a short written report on the current status of the HEAR from the Deputy Director of OSA.  Whilst the report addressed some of the issues that the Committee had requested it was agreed that it fell sh</w:t>
            </w:r>
            <w:r>
              <w:rPr>
                <w:rFonts w:cs="Calibri"/>
              </w:rPr>
              <w:t>ort of a complete status report.  Members requested further information.</w:t>
            </w:r>
            <w:r w:rsidRPr="000C3AD6">
              <w:rPr>
                <w:rFonts w:cs="Calibri"/>
              </w:rPr>
              <w:t xml:space="preserve">  </w:t>
            </w:r>
          </w:p>
        </w:tc>
        <w:tc>
          <w:tcPr>
            <w:tcW w:w="1080" w:type="dxa"/>
            <w:tcBorders>
              <w:left w:val="nil"/>
            </w:tcBorders>
          </w:tcPr>
          <w:p w:rsidR="00E3542C" w:rsidRPr="000C3AD6" w:rsidRDefault="00E3542C" w:rsidP="00CA7635">
            <w:pPr>
              <w:spacing w:after="240"/>
              <w:rPr>
                <w:rFonts w:cs="Calibri"/>
              </w:rPr>
            </w:pPr>
          </w:p>
        </w:tc>
      </w:tr>
      <w:tr w:rsidR="00E3542C" w:rsidRPr="000C3AD6" w:rsidTr="008108AD">
        <w:trPr>
          <w:trHeight w:val="647"/>
        </w:trPr>
        <w:tc>
          <w:tcPr>
            <w:tcW w:w="1548" w:type="dxa"/>
            <w:tcBorders>
              <w:bottom w:val="single" w:sz="4" w:space="0" w:color="auto"/>
            </w:tcBorders>
          </w:tcPr>
          <w:p w:rsidR="00E3542C" w:rsidRPr="008108AD" w:rsidRDefault="00E3542C" w:rsidP="00CA7635">
            <w:pPr>
              <w:spacing w:after="240"/>
              <w:rPr>
                <w:rFonts w:cs="Calibri"/>
                <w:b/>
                <w:color w:val="FF0000"/>
              </w:rPr>
            </w:pPr>
            <w:r w:rsidRPr="008108AD">
              <w:rPr>
                <w:rFonts w:cs="Calibri"/>
                <w:b/>
                <w:color w:val="FF0000"/>
              </w:rPr>
              <w:t>Action</w:t>
            </w:r>
          </w:p>
        </w:tc>
        <w:tc>
          <w:tcPr>
            <w:tcW w:w="7380" w:type="dxa"/>
            <w:tcBorders>
              <w:bottom w:val="single" w:sz="4" w:space="0" w:color="auto"/>
            </w:tcBorders>
          </w:tcPr>
          <w:p w:rsidR="00E3542C" w:rsidRDefault="00E3542C" w:rsidP="00241917">
            <w:pPr>
              <w:spacing w:after="0" w:line="240" w:lineRule="auto"/>
              <w:ind w:left="357"/>
              <w:rPr>
                <w:rFonts w:cs="Calibri"/>
                <w:b/>
                <w:color w:val="FF0000"/>
              </w:rPr>
            </w:pPr>
            <w:r w:rsidRPr="008108AD">
              <w:rPr>
                <w:rFonts w:cs="Calibri"/>
                <w:b/>
                <w:color w:val="FF0000"/>
              </w:rPr>
              <w:t>Office of Student Affairs to provide a more detailed report which includes</w:t>
            </w:r>
            <w:r>
              <w:rPr>
                <w:rFonts w:cs="Calibri"/>
                <w:b/>
                <w:color w:val="FF0000"/>
              </w:rPr>
              <w:t>:</w:t>
            </w:r>
          </w:p>
          <w:p w:rsidR="00E3542C" w:rsidRPr="008108AD" w:rsidRDefault="00E3542C" w:rsidP="00241917">
            <w:pPr>
              <w:spacing w:after="0" w:line="240" w:lineRule="auto"/>
              <w:ind w:left="357"/>
              <w:rPr>
                <w:rFonts w:cs="Calibri"/>
                <w:b/>
                <w:color w:val="FF0000"/>
                <w:lang w:val="en-US"/>
              </w:rPr>
            </w:pPr>
            <w:r w:rsidRPr="008108AD">
              <w:rPr>
                <w:rFonts w:cs="Calibri"/>
                <w:b/>
                <w:color w:val="FF0000"/>
              </w:rPr>
              <w:t xml:space="preserve"> </w:t>
            </w:r>
          </w:p>
          <w:p w:rsidR="00E3542C" w:rsidRPr="008108AD" w:rsidRDefault="00E3542C" w:rsidP="008108AD">
            <w:pPr>
              <w:numPr>
                <w:ilvl w:val="0"/>
                <w:numId w:val="7"/>
              </w:numPr>
              <w:spacing w:after="0" w:line="240" w:lineRule="auto"/>
              <w:ind w:left="714" w:hanging="357"/>
              <w:rPr>
                <w:rFonts w:cs="Calibri"/>
                <w:b/>
                <w:color w:val="FF0000"/>
                <w:lang w:val="en-US"/>
              </w:rPr>
            </w:pPr>
            <w:r w:rsidRPr="008108AD">
              <w:rPr>
                <w:rFonts w:cs="Calibri"/>
                <w:b/>
                <w:color w:val="FF0000"/>
              </w:rPr>
              <w:t>Accounts for the total spends of HEAR Pilot Scheme funding provided by HEFCE</w:t>
            </w:r>
            <w:r>
              <w:rPr>
                <w:rFonts w:cs="Calibri"/>
                <w:b/>
                <w:color w:val="FF0000"/>
                <w:lang w:val="en-US"/>
              </w:rPr>
              <w:t xml:space="preserve"> and an update on the HEAR pilot programme projects at the university</w:t>
            </w:r>
            <w:r w:rsidRPr="008108AD">
              <w:rPr>
                <w:rFonts w:cs="Calibri"/>
                <w:b/>
                <w:color w:val="FF0000"/>
                <w:lang w:val="en-US"/>
              </w:rPr>
              <w:t xml:space="preserve"> </w:t>
            </w:r>
          </w:p>
          <w:p w:rsidR="00E3542C" w:rsidRPr="008108AD" w:rsidRDefault="00E3542C" w:rsidP="008108AD">
            <w:pPr>
              <w:numPr>
                <w:ilvl w:val="0"/>
                <w:numId w:val="7"/>
              </w:numPr>
              <w:spacing w:after="0" w:line="240" w:lineRule="auto"/>
              <w:ind w:left="714" w:hanging="357"/>
              <w:rPr>
                <w:rFonts w:cs="Calibri"/>
                <w:b/>
                <w:color w:val="FF0000"/>
                <w:lang w:val="en-US"/>
              </w:rPr>
            </w:pPr>
            <w:r>
              <w:rPr>
                <w:rFonts w:cs="Calibri"/>
                <w:b/>
                <w:color w:val="FF0000"/>
                <w:lang w:val="en-US"/>
              </w:rPr>
              <w:t>D</w:t>
            </w:r>
            <w:r w:rsidRPr="008108AD">
              <w:rPr>
                <w:rFonts w:cs="Calibri"/>
                <w:b/>
                <w:color w:val="FF0000"/>
                <w:lang w:val="en-US"/>
              </w:rPr>
              <w:t>etail on how the Student Records Systems Project Board is taking the project to completion. (specify systems requirements that have been agreed)</w:t>
            </w:r>
          </w:p>
          <w:p w:rsidR="00E3542C" w:rsidRPr="008108AD" w:rsidRDefault="00E3542C" w:rsidP="008108AD">
            <w:pPr>
              <w:numPr>
                <w:ilvl w:val="0"/>
                <w:numId w:val="7"/>
              </w:numPr>
              <w:spacing w:after="0" w:line="240" w:lineRule="auto"/>
              <w:ind w:left="714" w:hanging="357"/>
              <w:rPr>
                <w:rFonts w:cs="Calibri"/>
                <w:b/>
                <w:color w:val="FF0000"/>
                <w:lang w:val="en-US"/>
              </w:rPr>
            </w:pPr>
            <w:r>
              <w:rPr>
                <w:rFonts w:cs="Calibri"/>
                <w:b/>
                <w:color w:val="FF0000"/>
                <w:lang w:val="en-US"/>
              </w:rPr>
              <w:t>D</w:t>
            </w:r>
            <w:r w:rsidRPr="008108AD">
              <w:rPr>
                <w:rFonts w:cs="Calibri"/>
                <w:b/>
                <w:color w:val="FF0000"/>
                <w:lang w:val="en-US"/>
              </w:rPr>
              <w:t>etail on how PSRB statements will be incorporated into  the HEAR</w:t>
            </w:r>
          </w:p>
          <w:p w:rsidR="00E3542C" w:rsidRPr="008108AD" w:rsidRDefault="00E3542C" w:rsidP="008108AD">
            <w:pPr>
              <w:numPr>
                <w:ilvl w:val="0"/>
                <w:numId w:val="7"/>
              </w:numPr>
              <w:spacing w:after="0" w:line="240" w:lineRule="auto"/>
              <w:ind w:left="714" w:hanging="357"/>
              <w:rPr>
                <w:rFonts w:cs="Calibri"/>
                <w:b/>
                <w:color w:val="FF0000"/>
                <w:lang w:val="en-US"/>
              </w:rPr>
            </w:pPr>
            <w:r>
              <w:rPr>
                <w:rFonts w:cs="Calibri"/>
                <w:b/>
                <w:color w:val="FF0000"/>
                <w:lang w:val="en-US"/>
              </w:rPr>
              <w:t>D</w:t>
            </w:r>
            <w:r w:rsidRPr="008108AD">
              <w:rPr>
                <w:rFonts w:cs="Calibri"/>
                <w:b/>
                <w:color w:val="FF0000"/>
                <w:lang w:val="en-US"/>
              </w:rPr>
              <w:t>etail on the procedures and systems being put into place for the systematic collation and use of information under section 6.1 of the HEAR</w:t>
            </w:r>
          </w:p>
          <w:p w:rsidR="00E3542C" w:rsidRPr="008108AD" w:rsidRDefault="00E3542C" w:rsidP="008108AD">
            <w:pPr>
              <w:numPr>
                <w:ilvl w:val="0"/>
                <w:numId w:val="7"/>
              </w:numPr>
              <w:spacing w:after="0" w:line="240" w:lineRule="auto"/>
              <w:ind w:left="714" w:hanging="357"/>
              <w:rPr>
                <w:rFonts w:cs="Calibri"/>
                <w:b/>
                <w:color w:val="FF0000"/>
              </w:rPr>
            </w:pPr>
            <w:r w:rsidRPr="008108AD">
              <w:rPr>
                <w:rFonts w:cs="Calibri"/>
                <w:b/>
                <w:color w:val="FF0000"/>
                <w:lang w:val="en-US"/>
              </w:rPr>
              <w:t>Confirm</w:t>
            </w:r>
            <w:r>
              <w:rPr>
                <w:rFonts w:cs="Calibri"/>
                <w:b/>
                <w:color w:val="FF0000"/>
                <w:lang w:val="en-US"/>
              </w:rPr>
              <w:t xml:space="preserve">ation of </w:t>
            </w:r>
            <w:r w:rsidRPr="008108AD">
              <w:rPr>
                <w:rFonts w:cs="Calibri"/>
                <w:b/>
                <w:color w:val="FF0000"/>
                <w:lang w:val="en-US"/>
              </w:rPr>
              <w:t xml:space="preserve"> how the proposed  "Employability Passport" </w:t>
            </w:r>
            <w:r>
              <w:rPr>
                <w:rFonts w:cs="Calibri"/>
                <w:b/>
                <w:color w:val="FF0000"/>
                <w:lang w:val="en-US"/>
              </w:rPr>
              <w:t>may</w:t>
            </w:r>
            <w:r w:rsidRPr="008108AD">
              <w:rPr>
                <w:rFonts w:cs="Calibri"/>
                <w:b/>
                <w:color w:val="FF0000"/>
                <w:lang w:val="en-US"/>
              </w:rPr>
              <w:t xml:space="preserve"> be incorporated into the HEAR</w:t>
            </w:r>
          </w:p>
          <w:p w:rsidR="00E3542C" w:rsidRPr="008108AD" w:rsidRDefault="00E3542C" w:rsidP="008108AD">
            <w:pPr>
              <w:numPr>
                <w:ilvl w:val="0"/>
                <w:numId w:val="7"/>
              </w:numPr>
              <w:spacing w:after="0" w:line="240" w:lineRule="auto"/>
              <w:ind w:left="714" w:hanging="357"/>
              <w:rPr>
                <w:rFonts w:cs="Calibri"/>
                <w:b/>
                <w:color w:val="FF0000"/>
              </w:rPr>
            </w:pPr>
            <w:r w:rsidRPr="008108AD">
              <w:rPr>
                <w:rFonts w:cs="Calibri"/>
                <w:b/>
                <w:color w:val="FF0000"/>
                <w:lang w:val="en-US"/>
              </w:rPr>
              <w:t>Provide a working facsimile of the University HEAR and confirmation of when the first HEARs will be issued.</w:t>
            </w:r>
          </w:p>
          <w:p w:rsidR="00E3542C" w:rsidRPr="008108AD" w:rsidRDefault="00E3542C" w:rsidP="005116F9">
            <w:pPr>
              <w:spacing w:after="240"/>
              <w:rPr>
                <w:rFonts w:cs="Calibri"/>
                <w:b/>
                <w:color w:val="FF0000"/>
              </w:rPr>
            </w:pPr>
          </w:p>
        </w:tc>
        <w:tc>
          <w:tcPr>
            <w:tcW w:w="1080" w:type="dxa"/>
            <w:tcBorders>
              <w:left w:val="nil"/>
            </w:tcBorders>
          </w:tcPr>
          <w:p w:rsidR="00E3542C" w:rsidRPr="008108AD" w:rsidRDefault="00E3542C" w:rsidP="00CA7635">
            <w:pPr>
              <w:spacing w:after="240"/>
              <w:rPr>
                <w:rFonts w:cs="Calibri"/>
                <w:b/>
                <w:color w:val="FF0000"/>
              </w:rPr>
            </w:pPr>
            <w:r w:rsidRPr="008108AD">
              <w:rPr>
                <w:rFonts w:cs="Calibri"/>
                <w:b/>
                <w:color w:val="FF0000"/>
              </w:rPr>
              <w:t>OSA</w:t>
            </w:r>
          </w:p>
        </w:tc>
      </w:tr>
      <w:tr w:rsidR="00E3542C" w:rsidRPr="000C3AD6" w:rsidTr="008108AD">
        <w:tc>
          <w:tcPr>
            <w:tcW w:w="1548" w:type="dxa"/>
            <w:tcBorders>
              <w:top w:val="single" w:sz="4" w:space="0" w:color="auto"/>
            </w:tcBorders>
          </w:tcPr>
          <w:p w:rsidR="00E3542C" w:rsidRPr="008108AD" w:rsidRDefault="00E3542C" w:rsidP="00CA7635">
            <w:pPr>
              <w:spacing w:after="240"/>
              <w:rPr>
                <w:rFonts w:cs="Calibri"/>
                <w:b/>
              </w:rPr>
            </w:pPr>
            <w:r w:rsidRPr="008108AD">
              <w:rPr>
                <w:rFonts w:cs="Calibri"/>
                <w:b/>
              </w:rPr>
              <w:t>LQC/12/3.7</w:t>
            </w:r>
          </w:p>
        </w:tc>
        <w:tc>
          <w:tcPr>
            <w:tcW w:w="7380" w:type="dxa"/>
            <w:tcBorders>
              <w:top w:val="single" w:sz="4" w:space="0" w:color="auto"/>
            </w:tcBorders>
          </w:tcPr>
          <w:p w:rsidR="00E3542C" w:rsidRPr="008108AD" w:rsidRDefault="00E3542C" w:rsidP="00E72FBF">
            <w:pPr>
              <w:spacing w:after="240"/>
              <w:rPr>
                <w:rFonts w:cs="Calibri"/>
                <w:b/>
              </w:rPr>
            </w:pPr>
            <w:r w:rsidRPr="008108AD">
              <w:rPr>
                <w:rFonts w:cs="Calibri"/>
                <w:b/>
              </w:rPr>
              <w:t>2011-12 Annual Report on Approval and Review</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0C3AD6" w:rsidRDefault="00E3542C" w:rsidP="00277E32">
            <w:pPr>
              <w:spacing w:after="0"/>
              <w:jc w:val="right"/>
              <w:rPr>
                <w:rFonts w:cs="Calibri"/>
              </w:rPr>
            </w:pPr>
          </w:p>
        </w:tc>
        <w:tc>
          <w:tcPr>
            <w:tcW w:w="7380" w:type="dxa"/>
          </w:tcPr>
          <w:p w:rsidR="00E3542C" w:rsidRPr="000C3AD6" w:rsidRDefault="00E3542C" w:rsidP="007516C5">
            <w:pPr>
              <w:spacing w:after="0"/>
              <w:rPr>
                <w:rFonts w:cs="Calibri"/>
              </w:rPr>
            </w:pPr>
            <w:r w:rsidRPr="000C3AD6">
              <w:rPr>
                <w:rFonts w:cs="Calibri"/>
              </w:rPr>
              <w:t xml:space="preserve">The Committee received and noted a general report on the 2011-12 approval and review activities.  The Committee endorsed the report, noting that the first recommendation, to centralise appointment of panel Chairs, is already under way.  In respect of the second recommendation, to appoint student members of panels, the Committee agreed that such a move would be in keeping with the current direction of QAA thought.  However, prior to coming to a formal agreement the committee requested that a paper be submitted which provides detail on general sector practice and arguments as to the advantages and disadvantages of adopting this as policy.  </w:t>
            </w:r>
          </w:p>
          <w:p w:rsidR="00E3542C" w:rsidRPr="000C3AD6" w:rsidRDefault="00E3542C" w:rsidP="007516C5">
            <w:pPr>
              <w:spacing w:after="0"/>
              <w:rPr>
                <w:rFonts w:cs="Calibri"/>
              </w:rPr>
            </w:pPr>
          </w:p>
        </w:tc>
        <w:tc>
          <w:tcPr>
            <w:tcW w:w="1080" w:type="dxa"/>
            <w:tcBorders>
              <w:left w:val="nil"/>
            </w:tcBorders>
          </w:tcPr>
          <w:p w:rsidR="00E3542C" w:rsidRPr="000C3AD6" w:rsidRDefault="00E3542C" w:rsidP="00277E32">
            <w:pPr>
              <w:spacing w:after="0"/>
              <w:rPr>
                <w:rFonts w:cs="Calibri"/>
              </w:rPr>
            </w:pPr>
          </w:p>
        </w:tc>
      </w:tr>
      <w:tr w:rsidR="00E3542C" w:rsidRPr="000C3AD6" w:rsidTr="002369A4">
        <w:tc>
          <w:tcPr>
            <w:tcW w:w="1548" w:type="dxa"/>
          </w:tcPr>
          <w:p w:rsidR="00E3542C" w:rsidRPr="00241917" w:rsidRDefault="00E3542C" w:rsidP="00277E32">
            <w:pPr>
              <w:spacing w:after="0"/>
              <w:jc w:val="right"/>
              <w:rPr>
                <w:rFonts w:cs="Calibri"/>
                <w:b/>
                <w:color w:val="FF0000"/>
              </w:rPr>
            </w:pPr>
            <w:r w:rsidRPr="00241917">
              <w:rPr>
                <w:rFonts w:cs="Calibri"/>
                <w:b/>
                <w:color w:val="FF0000"/>
              </w:rPr>
              <w:t>Action</w:t>
            </w:r>
          </w:p>
        </w:tc>
        <w:tc>
          <w:tcPr>
            <w:tcW w:w="7380" w:type="dxa"/>
          </w:tcPr>
          <w:p w:rsidR="00E3542C" w:rsidRDefault="00E3542C" w:rsidP="00241917">
            <w:pPr>
              <w:spacing w:after="0"/>
              <w:rPr>
                <w:rFonts w:cs="Calibri"/>
                <w:b/>
                <w:color w:val="FF0000"/>
              </w:rPr>
            </w:pPr>
            <w:r w:rsidRPr="00241917">
              <w:rPr>
                <w:rFonts w:cs="Calibri"/>
                <w:b/>
                <w:color w:val="FF0000"/>
              </w:rPr>
              <w:t xml:space="preserve">Provide details of sector endorsement </w:t>
            </w:r>
            <w:r>
              <w:rPr>
                <w:rFonts w:cs="Calibri"/>
                <w:b/>
                <w:color w:val="FF0000"/>
              </w:rPr>
              <w:t xml:space="preserve">and utilisation </w:t>
            </w:r>
            <w:r w:rsidRPr="00241917">
              <w:rPr>
                <w:rFonts w:cs="Calibri"/>
                <w:b/>
                <w:color w:val="FF0000"/>
              </w:rPr>
              <w:t>of student</w:t>
            </w:r>
            <w:r>
              <w:rPr>
                <w:rFonts w:cs="Calibri"/>
                <w:b/>
                <w:color w:val="FF0000"/>
              </w:rPr>
              <w:t>s on</w:t>
            </w:r>
            <w:r w:rsidRPr="00241917">
              <w:rPr>
                <w:rFonts w:cs="Calibri"/>
                <w:b/>
                <w:color w:val="FF0000"/>
              </w:rPr>
              <w:t xml:space="preserve"> approval and review </w:t>
            </w:r>
            <w:r>
              <w:rPr>
                <w:rFonts w:cs="Calibri"/>
                <w:b/>
                <w:color w:val="FF0000"/>
              </w:rPr>
              <w:t xml:space="preserve">event </w:t>
            </w:r>
            <w:r w:rsidRPr="00241917">
              <w:rPr>
                <w:rFonts w:cs="Calibri"/>
                <w:b/>
                <w:color w:val="FF0000"/>
              </w:rPr>
              <w:t xml:space="preserve">and </w:t>
            </w:r>
            <w:r>
              <w:rPr>
                <w:rFonts w:cs="Calibri"/>
                <w:b/>
                <w:color w:val="FF0000"/>
              </w:rPr>
              <w:t xml:space="preserve">which </w:t>
            </w:r>
            <w:r w:rsidRPr="00241917">
              <w:rPr>
                <w:rFonts w:cs="Calibri"/>
                <w:b/>
                <w:color w:val="FF0000"/>
              </w:rPr>
              <w:t>includ</w:t>
            </w:r>
            <w:r>
              <w:rPr>
                <w:rFonts w:cs="Calibri"/>
                <w:b/>
                <w:color w:val="FF0000"/>
              </w:rPr>
              <w:t>es</w:t>
            </w:r>
            <w:r w:rsidRPr="00241917">
              <w:rPr>
                <w:rFonts w:cs="Calibri"/>
                <w:b/>
                <w:color w:val="FF0000"/>
              </w:rPr>
              <w:t xml:space="preserve"> pros and cons of adopting such a policy.</w:t>
            </w:r>
          </w:p>
          <w:p w:rsidR="00E3542C" w:rsidRPr="00241917" w:rsidRDefault="00E3542C" w:rsidP="00241917">
            <w:pPr>
              <w:spacing w:after="0"/>
              <w:rPr>
                <w:rFonts w:cs="Calibri"/>
                <w:b/>
                <w:color w:val="FF0000"/>
              </w:rPr>
            </w:pPr>
          </w:p>
        </w:tc>
        <w:tc>
          <w:tcPr>
            <w:tcW w:w="1080" w:type="dxa"/>
            <w:tcBorders>
              <w:left w:val="nil"/>
            </w:tcBorders>
          </w:tcPr>
          <w:p w:rsidR="00E3542C" w:rsidRPr="00241917" w:rsidRDefault="00E3542C" w:rsidP="00277E32">
            <w:pPr>
              <w:spacing w:after="0"/>
              <w:rPr>
                <w:rFonts w:cs="Calibri"/>
                <w:b/>
                <w:color w:val="FF0000"/>
              </w:rPr>
            </w:pPr>
            <w:r w:rsidRPr="00241917">
              <w:rPr>
                <w:rFonts w:cs="Calibri"/>
                <w:b/>
                <w:color w:val="FF0000"/>
              </w:rPr>
              <w:t>LQU</w:t>
            </w:r>
          </w:p>
        </w:tc>
      </w:tr>
      <w:tr w:rsidR="00E3542C" w:rsidRPr="000C3AD6" w:rsidTr="002369A4">
        <w:tc>
          <w:tcPr>
            <w:tcW w:w="1548" w:type="dxa"/>
          </w:tcPr>
          <w:p w:rsidR="00E3542C" w:rsidRPr="008108AD" w:rsidRDefault="00E3542C" w:rsidP="00FF664E">
            <w:pPr>
              <w:spacing w:after="240"/>
              <w:rPr>
                <w:rFonts w:cs="Calibri"/>
                <w:b/>
              </w:rPr>
            </w:pPr>
            <w:r w:rsidRPr="008108AD">
              <w:rPr>
                <w:rFonts w:cs="Calibri"/>
                <w:b/>
              </w:rPr>
              <w:t>LQC/12/3.8</w:t>
            </w:r>
          </w:p>
        </w:tc>
        <w:tc>
          <w:tcPr>
            <w:tcW w:w="7380" w:type="dxa"/>
          </w:tcPr>
          <w:p w:rsidR="00E3542C" w:rsidRPr="008108AD" w:rsidRDefault="00E3542C" w:rsidP="00CA7635">
            <w:pPr>
              <w:spacing w:after="240"/>
              <w:rPr>
                <w:rFonts w:cs="Calibri"/>
                <w:b/>
              </w:rPr>
            </w:pPr>
            <w:r w:rsidRPr="008108AD">
              <w:rPr>
                <w:rFonts w:cs="Calibri"/>
                <w:b/>
              </w:rPr>
              <w:t>Professional and Statutory Body Reports</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0C3AD6" w:rsidRDefault="00E3542C" w:rsidP="00FF664E">
            <w:pPr>
              <w:spacing w:after="240"/>
              <w:rPr>
                <w:rFonts w:cs="Calibri"/>
              </w:rPr>
            </w:pPr>
          </w:p>
        </w:tc>
        <w:tc>
          <w:tcPr>
            <w:tcW w:w="7380" w:type="dxa"/>
          </w:tcPr>
          <w:p w:rsidR="00E3542C" w:rsidRPr="000C3AD6" w:rsidRDefault="00E3542C" w:rsidP="00CA7635">
            <w:pPr>
              <w:spacing w:after="240"/>
              <w:rPr>
                <w:rFonts w:cs="Calibri"/>
              </w:rPr>
            </w:pPr>
            <w:r w:rsidRPr="000C3AD6">
              <w:rPr>
                <w:rFonts w:cs="Calibri"/>
              </w:rPr>
              <w:t xml:space="preserve">LQC received and noted reports from </w:t>
            </w:r>
            <w:r>
              <w:rPr>
                <w:rFonts w:cs="Calibri"/>
              </w:rPr>
              <w:t xml:space="preserve">two </w:t>
            </w:r>
            <w:r w:rsidRPr="000C3AD6">
              <w:rPr>
                <w:rFonts w:cs="Calibri"/>
              </w:rPr>
              <w:t>professional bodies:</w:t>
            </w:r>
          </w:p>
          <w:p w:rsidR="00E3542C" w:rsidRDefault="00E3542C" w:rsidP="00483488">
            <w:pPr>
              <w:numPr>
                <w:ilvl w:val="0"/>
                <w:numId w:val="13"/>
              </w:numPr>
              <w:autoSpaceDE w:val="0"/>
              <w:autoSpaceDN w:val="0"/>
              <w:adjustRightInd w:val="0"/>
              <w:spacing w:after="0" w:line="240" w:lineRule="auto"/>
              <w:rPr>
                <w:rFonts w:cs="Calibri"/>
                <w:lang w:eastAsia="en-GB"/>
              </w:rPr>
            </w:pPr>
            <w:r w:rsidRPr="00241917">
              <w:rPr>
                <w:rFonts w:cs="Calibri"/>
              </w:rPr>
              <w:t>School of Health:  Nursing and Midwifery Cou</w:t>
            </w:r>
            <w:r>
              <w:rPr>
                <w:rFonts w:cs="Calibri"/>
              </w:rPr>
              <w:t>n</w:t>
            </w:r>
            <w:r w:rsidRPr="00241917">
              <w:rPr>
                <w:rFonts w:cs="Calibri"/>
              </w:rPr>
              <w:t xml:space="preserve">cil confirmation of accreditation for the BSc Specialist Practitioner for a period of 5 years from October 2012.  LQC was pleased to note the report includes two areas that have moved from Unsatisfactory to Good: </w:t>
            </w:r>
            <w:r w:rsidRPr="00241917">
              <w:rPr>
                <w:rFonts w:cs="Calibri"/>
                <w:i/>
              </w:rPr>
              <w:t>Length and Content of Programme</w:t>
            </w:r>
            <w:r w:rsidRPr="00241917">
              <w:rPr>
                <w:rFonts w:cs="Calibri"/>
              </w:rPr>
              <w:t xml:space="preserve"> and </w:t>
            </w:r>
            <w:r w:rsidRPr="00241917">
              <w:rPr>
                <w:rFonts w:cs="Calibri"/>
                <w:i/>
              </w:rPr>
              <w:t>Education</w:t>
            </w:r>
            <w:r w:rsidRPr="00241917">
              <w:rPr>
                <w:rFonts w:cs="Calibri"/>
              </w:rPr>
              <w:t xml:space="preserve">.  The latter focussed on engagement of service users whilst the former focussed on provision of </w:t>
            </w:r>
            <w:r w:rsidRPr="00241917">
              <w:rPr>
                <w:rFonts w:cs="Calibri"/>
              </w:rPr>
              <w:lastRenderedPageBreak/>
              <w:t>detail on APL and the mandatory status of some programme elements.  LQC expressed its congratulations to the School for achieving this improvement.</w:t>
            </w:r>
          </w:p>
          <w:p w:rsidR="00E3542C" w:rsidRDefault="00E3542C" w:rsidP="00241917">
            <w:pPr>
              <w:autoSpaceDE w:val="0"/>
              <w:autoSpaceDN w:val="0"/>
              <w:adjustRightInd w:val="0"/>
              <w:spacing w:after="0" w:line="240" w:lineRule="auto"/>
              <w:ind w:left="360"/>
              <w:rPr>
                <w:rFonts w:cs="Calibri"/>
                <w:lang w:eastAsia="en-GB"/>
              </w:rPr>
            </w:pPr>
          </w:p>
          <w:p w:rsidR="00E3542C" w:rsidRPr="00241917" w:rsidRDefault="00E3542C" w:rsidP="00483488">
            <w:pPr>
              <w:numPr>
                <w:ilvl w:val="0"/>
                <w:numId w:val="13"/>
              </w:numPr>
              <w:autoSpaceDE w:val="0"/>
              <w:autoSpaceDN w:val="0"/>
              <w:adjustRightInd w:val="0"/>
              <w:spacing w:after="0" w:line="240" w:lineRule="auto"/>
              <w:rPr>
                <w:rFonts w:cs="Calibri"/>
                <w:lang w:eastAsia="en-GB"/>
              </w:rPr>
            </w:pPr>
            <w:r w:rsidRPr="00241917">
              <w:rPr>
                <w:rFonts w:cs="Calibri"/>
              </w:rPr>
              <w:t xml:space="preserve">School of Engineering:  Joint Board of Moderators review report from May 2012 was received.  Of key note was the extent to which the School has addressed issues surrounding conceptual design raised by the Board in its last major visit – noting that “significant </w:t>
            </w:r>
            <w:r w:rsidRPr="00241917">
              <w:rPr>
                <w:rFonts w:cs="Calibri"/>
                <w:lang w:eastAsia="en-GB"/>
              </w:rPr>
              <w:t xml:space="preserve">improvements in provision of conceptual design introduced since the last JBM visit are fully acknowledged”,   The JMBM continues to urge the School that that </w:t>
            </w:r>
            <w:r>
              <w:rPr>
                <w:rFonts w:cs="Calibri"/>
                <w:lang w:eastAsia="en-GB"/>
              </w:rPr>
              <w:t>“</w:t>
            </w:r>
            <w:r w:rsidRPr="00241917">
              <w:rPr>
                <w:rFonts w:cs="Calibri"/>
                <w:lang w:eastAsia="en-GB"/>
              </w:rPr>
              <w:t>further development should tip the balance more towards creative thinking….[   ] and thus student learning should be more clearly focussed on design of a project from scratch and on assessment of different options</w:t>
            </w:r>
            <w:r>
              <w:rPr>
                <w:rFonts w:cs="Calibri"/>
                <w:lang w:eastAsia="en-GB"/>
              </w:rPr>
              <w:t>”</w:t>
            </w:r>
            <w:r w:rsidRPr="00241917">
              <w:rPr>
                <w:rFonts w:cs="Calibri"/>
                <w:lang w:eastAsia="en-GB"/>
              </w:rPr>
              <w:t>.</w:t>
            </w:r>
          </w:p>
          <w:p w:rsidR="00E3542C" w:rsidRPr="000C3AD6" w:rsidRDefault="00E3542C" w:rsidP="00483488">
            <w:pPr>
              <w:autoSpaceDE w:val="0"/>
              <w:autoSpaceDN w:val="0"/>
              <w:adjustRightInd w:val="0"/>
              <w:spacing w:after="0" w:line="240" w:lineRule="auto"/>
              <w:rPr>
                <w:rFonts w:cs="Calibri"/>
                <w:lang w:eastAsia="en-GB"/>
              </w:rPr>
            </w:pPr>
          </w:p>
          <w:p w:rsidR="00E3542C" w:rsidRPr="000C3AD6" w:rsidRDefault="00E3542C" w:rsidP="00241917">
            <w:pPr>
              <w:autoSpaceDE w:val="0"/>
              <w:autoSpaceDN w:val="0"/>
              <w:adjustRightInd w:val="0"/>
              <w:spacing w:after="0" w:line="240" w:lineRule="auto"/>
              <w:rPr>
                <w:rFonts w:cs="Calibri"/>
                <w:lang w:eastAsia="en-GB"/>
              </w:rPr>
            </w:pPr>
            <w:r w:rsidRPr="000C3AD6">
              <w:rPr>
                <w:rFonts w:cs="Calibri"/>
                <w:lang w:eastAsia="en-GB"/>
              </w:rPr>
              <w:t>LQC noted that the School will be adopting the JBM’s request to limit compensation to no more than 20 credits as opposed to the University’s current 30.  LQC noted that this is permissible within current University regulations and is not viewed as a derogation</w:t>
            </w:r>
            <w:r>
              <w:rPr>
                <w:rFonts w:cs="Calibri"/>
                <w:lang w:eastAsia="en-GB"/>
              </w:rPr>
              <w:t>.</w:t>
            </w:r>
          </w:p>
          <w:p w:rsidR="00E3542C" w:rsidRPr="000C3AD6" w:rsidRDefault="00E3542C" w:rsidP="00483488">
            <w:pPr>
              <w:autoSpaceDE w:val="0"/>
              <w:autoSpaceDN w:val="0"/>
              <w:adjustRightInd w:val="0"/>
              <w:spacing w:after="0" w:line="240" w:lineRule="auto"/>
              <w:rPr>
                <w:rFonts w:cs="Calibri"/>
                <w:b/>
              </w:rPr>
            </w:pP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8108AD" w:rsidRDefault="00E3542C" w:rsidP="00FF664E">
            <w:pPr>
              <w:spacing w:after="240"/>
              <w:rPr>
                <w:rFonts w:cs="Calibri"/>
                <w:b/>
              </w:rPr>
            </w:pPr>
            <w:r w:rsidRPr="008108AD">
              <w:rPr>
                <w:rFonts w:cs="Calibri"/>
                <w:b/>
              </w:rPr>
              <w:lastRenderedPageBreak/>
              <w:t>LQC/12/3.9</w:t>
            </w:r>
          </w:p>
        </w:tc>
        <w:tc>
          <w:tcPr>
            <w:tcW w:w="7380" w:type="dxa"/>
          </w:tcPr>
          <w:p w:rsidR="00E3542C" w:rsidRPr="008108AD" w:rsidRDefault="00E3542C" w:rsidP="00CA7635">
            <w:pPr>
              <w:spacing w:after="240"/>
              <w:rPr>
                <w:rFonts w:cs="Calibri"/>
                <w:b/>
              </w:rPr>
            </w:pPr>
            <w:r w:rsidRPr="008108AD">
              <w:rPr>
                <w:rFonts w:cs="Calibri"/>
                <w:b/>
              </w:rPr>
              <w:t>External Examiner nominations</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0C3AD6" w:rsidRDefault="00E3542C" w:rsidP="00CA7635">
            <w:pPr>
              <w:spacing w:after="240"/>
              <w:rPr>
                <w:rFonts w:cs="Calibri"/>
              </w:rPr>
            </w:pPr>
          </w:p>
        </w:tc>
        <w:tc>
          <w:tcPr>
            <w:tcW w:w="7380" w:type="dxa"/>
          </w:tcPr>
          <w:p w:rsidR="00E3542C" w:rsidRPr="000C3AD6" w:rsidRDefault="00E3542C" w:rsidP="00241917">
            <w:pPr>
              <w:spacing w:after="240"/>
              <w:rPr>
                <w:rFonts w:cs="Calibri"/>
              </w:rPr>
            </w:pPr>
            <w:r w:rsidRPr="000C3AD6">
              <w:rPr>
                <w:rFonts w:cs="Calibri"/>
              </w:rPr>
              <w:t>The Committee received notification of nominations received since its last meeting.  The LQU officer responsible for the examiner system noted that a significant number of nominations</w:t>
            </w:r>
            <w:r>
              <w:rPr>
                <w:rFonts w:cs="Calibri"/>
              </w:rPr>
              <w:t xml:space="preserve"> (some 20+)</w:t>
            </w:r>
            <w:r w:rsidRPr="000C3AD6">
              <w:rPr>
                <w:rFonts w:cs="Calibri"/>
              </w:rPr>
              <w:t xml:space="preserve"> had been provided by the all Schools which were recent</w:t>
            </w:r>
            <w:r>
              <w:rPr>
                <w:rFonts w:cs="Calibri"/>
              </w:rPr>
              <w:t xml:space="preserve"> and </w:t>
            </w:r>
            <w:r w:rsidRPr="000C3AD6">
              <w:rPr>
                <w:rFonts w:cs="Calibri"/>
              </w:rPr>
              <w:t>they had not been included.  Coverage across the University is now near completion with some 6 examiners in Architecture Construction and Design and 2 in Humanities and Social Sciences where status requires confirmation.</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241917" w:rsidRDefault="00E3542C" w:rsidP="00CA7635">
            <w:pPr>
              <w:spacing w:after="240"/>
              <w:rPr>
                <w:rFonts w:cs="Calibri"/>
                <w:b/>
                <w:color w:val="FF0000"/>
              </w:rPr>
            </w:pPr>
            <w:r w:rsidRPr="00241917">
              <w:rPr>
                <w:rFonts w:cs="Calibri"/>
                <w:b/>
                <w:color w:val="FF0000"/>
              </w:rPr>
              <w:t>Action</w:t>
            </w:r>
          </w:p>
        </w:tc>
        <w:tc>
          <w:tcPr>
            <w:tcW w:w="7380" w:type="dxa"/>
          </w:tcPr>
          <w:p w:rsidR="00E3542C" w:rsidRPr="00241917" w:rsidRDefault="00E3542C" w:rsidP="00241917">
            <w:pPr>
              <w:spacing w:after="240"/>
              <w:rPr>
                <w:rFonts w:cs="Calibri"/>
                <w:b/>
                <w:color w:val="FF0000"/>
              </w:rPr>
            </w:pPr>
            <w:r w:rsidRPr="00241917">
              <w:rPr>
                <w:rFonts w:cs="Calibri"/>
                <w:b/>
                <w:color w:val="FF0000"/>
              </w:rPr>
              <w:t>Schools of Architecture, Design &amp; Construction and Humanities &amp; Social Sciences to confirm status of final examiners  prior to 31/12/2012</w:t>
            </w:r>
          </w:p>
        </w:tc>
        <w:tc>
          <w:tcPr>
            <w:tcW w:w="1080" w:type="dxa"/>
            <w:tcBorders>
              <w:left w:val="nil"/>
            </w:tcBorders>
          </w:tcPr>
          <w:p w:rsidR="00E3542C" w:rsidRPr="00241917" w:rsidRDefault="00E3542C" w:rsidP="00241917">
            <w:pPr>
              <w:spacing w:after="0" w:line="240" w:lineRule="auto"/>
              <w:rPr>
                <w:rFonts w:cs="Calibri"/>
                <w:b/>
                <w:color w:val="FF0000"/>
              </w:rPr>
            </w:pPr>
            <w:r w:rsidRPr="00241917">
              <w:rPr>
                <w:rFonts w:cs="Calibri"/>
                <w:b/>
                <w:color w:val="FF0000"/>
              </w:rPr>
              <w:t>CD</w:t>
            </w:r>
          </w:p>
          <w:p w:rsidR="00E3542C" w:rsidRPr="00241917" w:rsidRDefault="00E3542C" w:rsidP="00241917">
            <w:pPr>
              <w:spacing w:after="0" w:line="240" w:lineRule="auto"/>
              <w:rPr>
                <w:rFonts w:cs="Calibri"/>
                <w:b/>
                <w:color w:val="FF0000"/>
              </w:rPr>
            </w:pPr>
            <w:r w:rsidRPr="00241917">
              <w:rPr>
                <w:rFonts w:cs="Calibri"/>
                <w:b/>
                <w:color w:val="FF0000"/>
              </w:rPr>
              <w:t>ZP</w:t>
            </w:r>
          </w:p>
        </w:tc>
      </w:tr>
      <w:tr w:rsidR="00E3542C" w:rsidRPr="000C3AD6" w:rsidTr="002369A4">
        <w:tc>
          <w:tcPr>
            <w:tcW w:w="1548" w:type="dxa"/>
          </w:tcPr>
          <w:p w:rsidR="00E3542C" w:rsidRPr="008108AD" w:rsidRDefault="00E3542C" w:rsidP="00C16DF1">
            <w:pPr>
              <w:spacing w:after="240"/>
              <w:rPr>
                <w:rFonts w:cs="Calibri"/>
                <w:b/>
              </w:rPr>
            </w:pPr>
            <w:r w:rsidRPr="008108AD">
              <w:rPr>
                <w:rFonts w:cs="Calibri"/>
                <w:b/>
              </w:rPr>
              <w:t>LQC/12/3.10</w:t>
            </w:r>
          </w:p>
        </w:tc>
        <w:tc>
          <w:tcPr>
            <w:tcW w:w="7380" w:type="dxa"/>
          </w:tcPr>
          <w:p w:rsidR="00E3542C" w:rsidRPr="008108AD" w:rsidRDefault="00E3542C" w:rsidP="00CA7635">
            <w:pPr>
              <w:spacing w:after="240"/>
              <w:rPr>
                <w:rFonts w:cs="Calibri"/>
                <w:b/>
              </w:rPr>
            </w:pPr>
            <w:r w:rsidRPr="008108AD">
              <w:rPr>
                <w:rFonts w:cs="Calibri"/>
                <w:b/>
              </w:rPr>
              <w:t>School LQC Minutes</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0C3AD6" w:rsidRDefault="00E3542C" w:rsidP="00C16DF1">
            <w:pPr>
              <w:spacing w:after="240"/>
              <w:rPr>
                <w:rFonts w:cs="Calibri"/>
              </w:rPr>
            </w:pPr>
          </w:p>
        </w:tc>
        <w:tc>
          <w:tcPr>
            <w:tcW w:w="7380" w:type="dxa"/>
          </w:tcPr>
          <w:p w:rsidR="00E3542C" w:rsidRPr="000C3AD6" w:rsidRDefault="00E3542C" w:rsidP="00441349">
            <w:pPr>
              <w:spacing w:after="240"/>
              <w:rPr>
                <w:rFonts w:cs="Calibri"/>
              </w:rPr>
            </w:pPr>
            <w:r w:rsidRPr="000C3AD6">
              <w:rPr>
                <w:rFonts w:cs="Calibri"/>
              </w:rPr>
              <w:t>LQC received and noted sets of Minutes from Architecture, Business, Computing, Engineering, Education, Health and Science.  Two issues were raised for Schools to address.</w:t>
            </w:r>
          </w:p>
          <w:p w:rsidR="00E3542C" w:rsidRPr="000C3AD6" w:rsidRDefault="00E3542C" w:rsidP="00241917">
            <w:pPr>
              <w:numPr>
                <w:ilvl w:val="0"/>
                <w:numId w:val="14"/>
              </w:numPr>
              <w:spacing w:after="240"/>
              <w:rPr>
                <w:rFonts w:cs="Calibri"/>
              </w:rPr>
            </w:pPr>
            <w:r w:rsidRPr="000C3AD6">
              <w:rPr>
                <w:rFonts w:cs="Calibri"/>
              </w:rPr>
              <w:t>Business:  LQC requested that future minutes be written in a manner to reduce internal shorthand so that they can be more clearly understood by an external audience.</w:t>
            </w:r>
          </w:p>
          <w:p w:rsidR="00E3542C" w:rsidRPr="000C3AD6" w:rsidRDefault="00E3542C" w:rsidP="00241917">
            <w:pPr>
              <w:numPr>
                <w:ilvl w:val="0"/>
                <w:numId w:val="14"/>
              </w:numPr>
              <w:spacing w:after="240"/>
              <w:rPr>
                <w:rFonts w:cs="Calibri"/>
              </w:rPr>
            </w:pPr>
            <w:r w:rsidRPr="000C3AD6">
              <w:rPr>
                <w:rFonts w:cs="Calibri"/>
              </w:rPr>
              <w:t>Science:  The School to review the exact nature and meaning of its minute relating to Postgraduate students in the NRI (October 2012 Minute 2.14.6 refers)</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8108AD" w:rsidRDefault="00E3542C" w:rsidP="00CA7635">
            <w:pPr>
              <w:spacing w:after="240"/>
              <w:rPr>
                <w:rFonts w:cs="Calibri"/>
                <w:b/>
              </w:rPr>
            </w:pPr>
            <w:r w:rsidRPr="008108AD">
              <w:rPr>
                <w:rFonts w:cs="Calibri"/>
                <w:b/>
              </w:rPr>
              <w:t>LQC/12/3.11</w:t>
            </w:r>
          </w:p>
        </w:tc>
        <w:tc>
          <w:tcPr>
            <w:tcW w:w="7380" w:type="dxa"/>
          </w:tcPr>
          <w:p w:rsidR="00E3542C" w:rsidRPr="008108AD" w:rsidRDefault="00E3542C" w:rsidP="00410DB5">
            <w:pPr>
              <w:spacing w:after="240"/>
              <w:rPr>
                <w:rFonts w:cs="Calibri"/>
                <w:b/>
              </w:rPr>
            </w:pPr>
            <w:r w:rsidRPr="008108AD">
              <w:rPr>
                <w:rFonts w:cs="Calibri"/>
                <w:b/>
              </w:rPr>
              <w:t>Items from the Directors of Learning and Quality</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0C3AD6" w:rsidRDefault="00E3542C" w:rsidP="00CA7635">
            <w:pPr>
              <w:spacing w:after="240"/>
              <w:rPr>
                <w:rFonts w:cs="Calibri"/>
              </w:rPr>
            </w:pPr>
          </w:p>
        </w:tc>
        <w:tc>
          <w:tcPr>
            <w:tcW w:w="7380" w:type="dxa"/>
          </w:tcPr>
          <w:p w:rsidR="00E3542C" w:rsidRPr="000C3AD6" w:rsidRDefault="00E3542C" w:rsidP="00241917">
            <w:pPr>
              <w:spacing w:after="240"/>
              <w:rPr>
                <w:rFonts w:cs="Calibri"/>
              </w:rPr>
            </w:pPr>
            <w:r w:rsidRPr="000C3AD6">
              <w:rPr>
                <w:rFonts w:cs="Calibri"/>
              </w:rPr>
              <w:t>The group had not been able to meet prior to the LQC and no papers were presented or issues raised.</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0C3AD6" w:rsidRDefault="00E3542C" w:rsidP="00CA7635">
            <w:pPr>
              <w:spacing w:after="240"/>
              <w:rPr>
                <w:rFonts w:cs="Calibri"/>
              </w:rPr>
            </w:pPr>
          </w:p>
        </w:tc>
        <w:tc>
          <w:tcPr>
            <w:tcW w:w="7380" w:type="dxa"/>
          </w:tcPr>
          <w:p w:rsidR="00E3542C" w:rsidRPr="000C3AD6" w:rsidRDefault="00E3542C" w:rsidP="00CA7635">
            <w:pPr>
              <w:spacing w:after="240"/>
              <w:rPr>
                <w:rFonts w:cs="Calibri"/>
              </w:rPr>
            </w:pPr>
            <w:r w:rsidRPr="000C3AD6">
              <w:rPr>
                <w:rFonts w:cs="Calibri"/>
              </w:rPr>
              <w:t>Date and time of next meeting</w:t>
            </w:r>
          </w:p>
        </w:tc>
        <w:tc>
          <w:tcPr>
            <w:tcW w:w="1080" w:type="dxa"/>
            <w:tcBorders>
              <w:left w:val="nil"/>
            </w:tcBorders>
          </w:tcPr>
          <w:p w:rsidR="00E3542C" w:rsidRPr="000C3AD6" w:rsidRDefault="00E3542C" w:rsidP="00CA7635">
            <w:pPr>
              <w:spacing w:after="240"/>
              <w:rPr>
                <w:rFonts w:cs="Calibri"/>
              </w:rPr>
            </w:pPr>
          </w:p>
        </w:tc>
      </w:tr>
      <w:tr w:rsidR="00E3542C" w:rsidRPr="000C3AD6" w:rsidTr="002369A4">
        <w:tc>
          <w:tcPr>
            <w:tcW w:w="1548" w:type="dxa"/>
          </w:tcPr>
          <w:p w:rsidR="00E3542C" w:rsidRPr="000C3AD6" w:rsidRDefault="00E3542C" w:rsidP="00CA7635">
            <w:pPr>
              <w:spacing w:after="240"/>
              <w:rPr>
                <w:rFonts w:cs="Calibri"/>
              </w:rPr>
            </w:pPr>
          </w:p>
        </w:tc>
        <w:tc>
          <w:tcPr>
            <w:tcW w:w="7380" w:type="dxa"/>
          </w:tcPr>
          <w:p w:rsidR="00E3542C" w:rsidRPr="000C3AD6" w:rsidRDefault="00E3542C" w:rsidP="00FB5061">
            <w:pPr>
              <w:spacing w:after="240"/>
              <w:rPr>
                <w:rFonts w:cs="Calibri"/>
              </w:rPr>
            </w:pPr>
            <w:r w:rsidRPr="000C3AD6">
              <w:rPr>
                <w:rFonts w:cs="Calibri"/>
              </w:rPr>
              <w:t>Wednesday January 9</w:t>
            </w:r>
            <w:r w:rsidRPr="000C3AD6">
              <w:rPr>
                <w:rFonts w:cs="Calibri"/>
                <w:vertAlign w:val="superscript"/>
              </w:rPr>
              <w:t>th</w:t>
            </w:r>
            <w:r w:rsidRPr="000C3AD6">
              <w:rPr>
                <w:rFonts w:cs="Calibri"/>
              </w:rPr>
              <w:t xml:space="preserve"> 2013 at 13.00 in Queen Anne 075, Greenwich Campus</w:t>
            </w:r>
          </w:p>
        </w:tc>
        <w:tc>
          <w:tcPr>
            <w:tcW w:w="1080" w:type="dxa"/>
            <w:tcBorders>
              <w:left w:val="nil"/>
            </w:tcBorders>
          </w:tcPr>
          <w:p w:rsidR="00E3542C" w:rsidRPr="000C3AD6" w:rsidRDefault="00E3542C" w:rsidP="00CA7635">
            <w:pPr>
              <w:spacing w:after="240"/>
              <w:rPr>
                <w:rFonts w:cs="Calibri"/>
              </w:rPr>
            </w:pPr>
          </w:p>
        </w:tc>
      </w:tr>
    </w:tbl>
    <w:p w:rsidR="00E3542C" w:rsidRPr="000C3AD6" w:rsidRDefault="00E3542C" w:rsidP="00571666">
      <w:pPr>
        <w:ind w:left="180"/>
        <w:rPr>
          <w:rFonts w:cs="Calibri"/>
        </w:rPr>
      </w:pPr>
    </w:p>
    <w:p w:rsidR="00E3542C" w:rsidRPr="00BB32E6" w:rsidRDefault="00E3542C" w:rsidP="00571666">
      <w:pPr>
        <w:ind w:left="1440" w:hanging="540"/>
        <w:rPr>
          <w:rFonts w:cs="Calibri"/>
          <w:sz w:val="20"/>
          <w:szCs w:val="20"/>
        </w:rPr>
      </w:pPr>
    </w:p>
    <w:p w:rsidR="00E3542C" w:rsidRPr="00BB32E6" w:rsidRDefault="00E3542C" w:rsidP="00B336A5">
      <w:pPr>
        <w:rPr>
          <w:rFonts w:cs="Calibri"/>
          <w:sz w:val="20"/>
          <w:szCs w:val="20"/>
        </w:rPr>
      </w:pPr>
      <w:r w:rsidRPr="00BB32E6">
        <w:rPr>
          <w:rFonts w:cs="Calibri"/>
          <w:sz w:val="20"/>
          <w:szCs w:val="20"/>
        </w:rPr>
        <w:tab/>
      </w:r>
    </w:p>
    <w:p w:rsidR="00E3542C" w:rsidRPr="00BB32E6" w:rsidRDefault="00E3542C" w:rsidP="00385E81">
      <w:pPr>
        <w:jc w:val="right"/>
        <w:rPr>
          <w:rFonts w:cs="Calibri"/>
          <w:sz w:val="20"/>
          <w:szCs w:val="20"/>
        </w:rPr>
      </w:pPr>
      <w:r w:rsidRPr="00BB32E6">
        <w:rPr>
          <w:rFonts w:cs="Calibri"/>
          <w:i/>
          <w:sz w:val="20"/>
          <w:szCs w:val="20"/>
        </w:rPr>
        <w:tab/>
      </w:r>
      <w:r w:rsidRPr="00BB32E6">
        <w:rPr>
          <w:rFonts w:cs="Calibri"/>
          <w:i/>
          <w:sz w:val="20"/>
          <w:szCs w:val="20"/>
        </w:rPr>
        <w:tab/>
      </w:r>
    </w:p>
    <w:p w:rsidR="00E3542C" w:rsidRPr="00BB32E6" w:rsidRDefault="00E3542C" w:rsidP="00B336A5">
      <w:pPr>
        <w:rPr>
          <w:rFonts w:cs="Calibri"/>
          <w:sz w:val="20"/>
          <w:szCs w:val="20"/>
        </w:rPr>
      </w:pPr>
      <w:r w:rsidRPr="00BB32E6">
        <w:rPr>
          <w:rFonts w:cs="Calibri"/>
          <w:i/>
          <w:sz w:val="20"/>
          <w:szCs w:val="20"/>
        </w:rPr>
        <w:tab/>
      </w:r>
      <w:r w:rsidRPr="00BB32E6">
        <w:rPr>
          <w:rFonts w:cs="Calibri"/>
          <w:i/>
          <w:sz w:val="20"/>
          <w:szCs w:val="20"/>
        </w:rPr>
        <w:tab/>
      </w:r>
    </w:p>
    <w:p w:rsidR="00E3542C" w:rsidRPr="00BB32E6" w:rsidRDefault="00E3542C" w:rsidP="001A4779">
      <w:pPr>
        <w:rPr>
          <w:rFonts w:cs="Calibri"/>
          <w:i/>
          <w:sz w:val="20"/>
          <w:szCs w:val="20"/>
        </w:rPr>
      </w:pPr>
    </w:p>
    <w:p w:rsidR="00E3542C" w:rsidRPr="00BB32E6" w:rsidRDefault="00E3542C" w:rsidP="001A4779">
      <w:pPr>
        <w:rPr>
          <w:rFonts w:cs="Calibri"/>
          <w:i/>
          <w:sz w:val="20"/>
          <w:szCs w:val="20"/>
        </w:rPr>
      </w:pPr>
    </w:p>
    <w:p w:rsidR="00E3542C" w:rsidRPr="00BB32E6" w:rsidRDefault="00E3542C" w:rsidP="001A4779">
      <w:pPr>
        <w:rPr>
          <w:rFonts w:cs="Calibri"/>
          <w:i/>
          <w:sz w:val="20"/>
          <w:szCs w:val="20"/>
        </w:rPr>
      </w:pPr>
    </w:p>
    <w:p w:rsidR="00E3542C" w:rsidRPr="00BB32E6" w:rsidRDefault="00E3542C" w:rsidP="001A4779">
      <w:pPr>
        <w:rPr>
          <w:rFonts w:cs="Calibri"/>
          <w:i/>
          <w:sz w:val="20"/>
          <w:szCs w:val="20"/>
        </w:rPr>
      </w:pPr>
      <w:r w:rsidRPr="00BB32E6">
        <w:rPr>
          <w:rFonts w:cs="Calibri"/>
          <w:i/>
          <w:sz w:val="20"/>
          <w:szCs w:val="20"/>
        </w:rPr>
        <w:t>Officer:  Stephen Naylor</w:t>
      </w:r>
      <w:r w:rsidRPr="00BB32E6">
        <w:rPr>
          <w:rFonts w:cs="Calibri"/>
          <w:i/>
          <w:sz w:val="20"/>
          <w:szCs w:val="20"/>
        </w:rPr>
        <w:tab/>
      </w:r>
      <w:r w:rsidRPr="00BB32E6">
        <w:rPr>
          <w:rFonts w:cs="Calibri"/>
          <w:i/>
          <w:sz w:val="20"/>
          <w:szCs w:val="20"/>
        </w:rPr>
        <w:br/>
        <w:t xml:space="preserve">Tel: </w:t>
      </w:r>
      <w:r w:rsidRPr="00BB32E6">
        <w:rPr>
          <w:rFonts w:cs="Calibri"/>
          <w:i/>
          <w:sz w:val="20"/>
          <w:szCs w:val="20"/>
        </w:rPr>
        <w:tab/>
        <w:t>8159</w:t>
      </w:r>
      <w:r w:rsidRPr="00BB32E6">
        <w:rPr>
          <w:rFonts w:cs="Calibri"/>
          <w:i/>
          <w:sz w:val="20"/>
          <w:szCs w:val="20"/>
        </w:rPr>
        <w:br/>
        <w:t xml:space="preserve">Email: </w:t>
      </w:r>
      <w:hyperlink r:id="rId9" w:history="1">
        <w:r w:rsidRPr="00BB32E6">
          <w:rPr>
            <w:rStyle w:val="Hyperlink"/>
            <w:rFonts w:cs="Calibri"/>
            <w:i/>
            <w:color w:val="auto"/>
            <w:sz w:val="20"/>
            <w:szCs w:val="20"/>
          </w:rPr>
          <w:t>ns01@gre.ac.uk</w:t>
        </w:r>
      </w:hyperlink>
    </w:p>
    <w:p w:rsidR="00E3542C" w:rsidRPr="00BB32E6" w:rsidRDefault="00E3542C" w:rsidP="001A4779">
      <w:pPr>
        <w:rPr>
          <w:rFonts w:cs="Calibri"/>
          <w:i/>
          <w:sz w:val="20"/>
          <w:szCs w:val="20"/>
        </w:rPr>
      </w:pPr>
    </w:p>
    <w:p w:rsidR="00E3542C" w:rsidRPr="00BB32E6" w:rsidRDefault="00E3542C" w:rsidP="001A4779">
      <w:pPr>
        <w:rPr>
          <w:rFonts w:cs="Calibri"/>
          <w:sz w:val="20"/>
          <w:szCs w:val="20"/>
        </w:rPr>
      </w:pPr>
      <w:r w:rsidRPr="00BB32E6">
        <w:rPr>
          <w:rFonts w:cs="Calibri"/>
          <w:i/>
          <w:sz w:val="20"/>
          <w:szCs w:val="20"/>
        </w:rPr>
        <w:br w:type="page"/>
      </w:r>
      <w:r w:rsidRPr="00BB32E6">
        <w:rPr>
          <w:rFonts w:cs="Calibri"/>
          <w:sz w:val="20"/>
          <w:szCs w:val="20"/>
        </w:rPr>
        <w:lastRenderedPageBreak/>
        <w:t>Actions Arising from the Second meeting (2012/13) of the Learning and Quality Committee, 18</w:t>
      </w:r>
      <w:r w:rsidRPr="00BB32E6">
        <w:rPr>
          <w:rFonts w:cs="Calibri"/>
          <w:sz w:val="20"/>
          <w:szCs w:val="20"/>
          <w:vertAlign w:val="superscript"/>
        </w:rPr>
        <w:t>th</w:t>
      </w:r>
      <w:r w:rsidRPr="00BB32E6">
        <w:rPr>
          <w:rFonts w:cs="Calibri"/>
          <w:sz w:val="20"/>
          <w:szCs w:val="20"/>
        </w:rPr>
        <w:t xml:space="preserve"> October 2012.</w:t>
      </w:r>
    </w:p>
    <w:tbl>
      <w:tblPr>
        <w:tblW w:w="9288" w:type="dxa"/>
        <w:tblLayout w:type="fixed"/>
        <w:tblLook w:val="01E0" w:firstRow="1" w:lastRow="1" w:firstColumn="1" w:lastColumn="1" w:noHBand="0" w:noVBand="0"/>
      </w:tblPr>
      <w:tblGrid>
        <w:gridCol w:w="1548"/>
        <w:gridCol w:w="5220"/>
        <w:gridCol w:w="900"/>
        <w:gridCol w:w="1620"/>
      </w:tblGrid>
      <w:tr w:rsidR="00E3542C" w:rsidRPr="00BB32E6" w:rsidTr="008F6BE1">
        <w:tc>
          <w:tcPr>
            <w:tcW w:w="1548" w:type="dxa"/>
          </w:tcPr>
          <w:p w:rsidR="00E3542C" w:rsidRPr="00BB32E6" w:rsidRDefault="00E3542C" w:rsidP="00856859">
            <w:pPr>
              <w:spacing w:after="240"/>
              <w:jc w:val="right"/>
              <w:rPr>
                <w:rFonts w:cs="Calibri"/>
                <w:sz w:val="20"/>
                <w:szCs w:val="20"/>
              </w:rPr>
            </w:pPr>
            <w:r w:rsidRPr="00BB32E6">
              <w:rPr>
                <w:rFonts w:cs="Calibri"/>
                <w:sz w:val="20"/>
                <w:szCs w:val="20"/>
              </w:rPr>
              <w:t>Minute</w:t>
            </w:r>
          </w:p>
        </w:tc>
        <w:tc>
          <w:tcPr>
            <w:tcW w:w="5220" w:type="dxa"/>
          </w:tcPr>
          <w:p w:rsidR="00E3542C" w:rsidRPr="00BB32E6" w:rsidRDefault="00E3542C" w:rsidP="00856859">
            <w:pPr>
              <w:spacing w:after="240"/>
              <w:rPr>
                <w:rFonts w:cs="Calibri"/>
                <w:sz w:val="20"/>
                <w:szCs w:val="20"/>
              </w:rPr>
            </w:pPr>
            <w:r w:rsidRPr="00BB32E6">
              <w:rPr>
                <w:rFonts w:cs="Calibri"/>
                <w:sz w:val="20"/>
                <w:szCs w:val="20"/>
              </w:rPr>
              <w:t>Action</w:t>
            </w:r>
          </w:p>
        </w:tc>
        <w:tc>
          <w:tcPr>
            <w:tcW w:w="900" w:type="dxa"/>
          </w:tcPr>
          <w:p w:rsidR="00E3542C" w:rsidRPr="00BB32E6" w:rsidRDefault="00E3542C" w:rsidP="00856859">
            <w:pPr>
              <w:spacing w:after="240"/>
              <w:rPr>
                <w:rFonts w:cs="Calibri"/>
                <w:sz w:val="20"/>
                <w:szCs w:val="20"/>
              </w:rPr>
            </w:pPr>
            <w:r w:rsidRPr="00BB32E6">
              <w:rPr>
                <w:rFonts w:cs="Calibri"/>
                <w:sz w:val="20"/>
                <w:szCs w:val="20"/>
              </w:rPr>
              <w:t>Responsibility</w:t>
            </w:r>
          </w:p>
        </w:tc>
        <w:tc>
          <w:tcPr>
            <w:tcW w:w="1620" w:type="dxa"/>
          </w:tcPr>
          <w:p w:rsidR="00E3542C" w:rsidRPr="00BB32E6" w:rsidRDefault="00E3542C" w:rsidP="00856859">
            <w:pPr>
              <w:spacing w:after="240"/>
              <w:rPr>
                <w:rFonts w:cs="Calibri"/>
                <w:sz w:val="20"/>
                <w:szCs w:val="20"/>
              </w:rPr>
            </w:pPr>
            <w:r w:rsidRPr="00BB32E6">
              <w:rPr>
                <w:rFonts w:cs="Calibri"/>
                <w:sz w:val="20"/>
                <w:szCs w:val="20"/>
              </w:rPr>
              <w:t>Status</w:t>
            </w:r>
          </w:p>
        </w:tc>
      </w:tr>
      <w:tr w:rsidR="00E3542C" w:rsidRPr="00BB32E6" w:rsidTr="008F6BE1">
        <w:tc>
          <w:tcPr>
            <w:tcW w:w="1548" w:type="dxa"/>
          </w:tcPr>
          <w:p w:rsidR="00E3542C" w:rsidRPr="00BB32E6" w:rsidRDefault="00E3542C" w:rsidP="00856859">
            <w:pPr>
              <w:spacing w:after="240"/>
              <w:jc w:val="right"/>
              <w:rPr>
                <w:rFonts w:cs="Calibri"/>
                <w:sz w:val="20"/>
                <w:szCs w:val="20"/>
              </w:rPr>
            </w:pPr>
            <w:r w:rsidRPr="00BB32E6">
              <w:rPr>
                <w:rFonts w:cs="Calibri"/>
                <w:sz w:val="20"/>
                <w:szCs w:val="20"/>
              </w:rPr>
              <w:t>1/ 3.2</w:t>
            </w:r>
          </w:p>
        </w:tc>
        <w:tc>
          <w:tcPr>
            <w:tcW w:w="5220" w:type="dxa"/>
          </w:tcPr>
          <w:p w:rsidR="00E3542C" w:rsidRPr="00BB32E6" w:rsidRDefault="00E3542C" w:rsidP="00856859">
            <w:pPr>
              <w:spacing w:after="240"/>
              <w:rPr>
                <w:rFonts w:cs="Calibri"/>
                <w:sz w:val="20"/>
                <w:szCs w:val="20"/>
              </w:rPr>
            </w:pPr>
            <w:r w:rsidRPr="00BB32E6">
              <w:rPr>
                <w:rFonts w:cs="Calibri"/>
                <w:sz w:val="20"/>
                <w:szCs w:val="20"/>
              </w:rPr>
              <w:t>PAS to confirm participation in PTES as a matter of priority</w:t>
            </w:r>
          </w:p>
        </w:tc>
        <w:tc>
          <w:tcPr>
            <w:tcW w:w="900" w:type="dxa"/>
          </w:tcPr>
          <w:p w:rsidR="00E3542C" w:rsidRPr="00BB32E6" w:rsidRDefault="00E3542C" w:rsidP="00856859">
            <w:pPr>
              <w:spacing w:after="240"/>
              <w:rPr>
                <w:rFonts w:cs="Calibri"/>
                <w:sz w:val="20"/>
                <w:szCs w:val="20"/>
              </w:rPr>
            </w:pPr>
            <w:r w:rsidRPr="00BB32E6">
              <w:rPr>
                <w:rFonts w:cs="Calibri"/>
                <w:sz w:val="20"/>
                <w:szCs w:val="20"/>
              </w:rPr>
              <w:t>PAS</w:t>
            </w:r>
          </w:p>
        </w:tc>
        <w:tc>
          <w:tcPr>
            <w:tcW w:w="1620" w:type="dxa"/>
          </w:tcPr>
          <w:p w:rsidR="00E3542C" w:rsidRPr="00BB32E6" w:rsidRDefault="00E3542C" w:rsidP="00856859">
            <w:pPr>
              <w:spacing w:after="240"/>
              <w:rPr>
                <w:rFonts w:cs="Calibri"/>
                <w:sz w:val="20"/>
                <w:szCs w:val="20"/>
              </w:rPr>
            </w:pPr>
          </w:p>
        </w:tc>
      </w:tr>
      <w:tr w:rsidR="00E3542C" w:rsidRPr="00BB32E6" w:rsidTr="008F6BE1">
        <w:tc>
          <w:tcPr>
            <w:tcW w:w="1548" w:type="dxa"/>
          </w:tcPr>
          <w:p w:rsidR="00E3542C" w:rsidRPr="00BB32E6" w:rsidRDefault="00E3542C" w:rsidP="00856859">
            <w:pPr>
              <w:spacing w:after="240"/>
              <w:jc w:val="right"/>
              <w:rPr>
                <w:rFonts w:cs="Calibri"/>
                <w:sz w:val="20"/>
                <w:szCs w:val="20"/>
              </w:rPr>
            </w:pPr>
            <w:r w:rsidRPr="00BB32E6">
              <w:rPr>
                <w:rFonts w:cs="Calibri"/>
                <w:sz w:val="20"/>
                <w:szCs w:val="20"/>
              </w:rPr>
              <w:t xml:space="preserve">1/3.4 </w:t>
            </w:r>
          </w:p>
        </w:tc>
        <w:tc>
          <w:tcPr>
            <w:tcW w:w="5220" w:type="dxa"/>
          </w:tcPr>
          <w:p w:rsidR="00E3542C" w:rsidRPr="00BB32E6" w:rsidRDefault="00E3542C" w:rsidP="00856859">
            <w:pPr>
              <w:spacing w:after="240"/>
              <w:rPr>
                <w:rFonts w:cs="Calibri"/>
                <w:sz w:val="20"/>
                <w:szCs w:val="20"/>
              </w:rPr>
            </w:pPr>
            <w:r w:rsidRPr="00BB32E6">
              <w:rPr>
                <w:rFonts w:cs="Calibri"/>
                <w:sz w:val="20"/>
                <w:szCs w:val="20"/>
              </w:rPr>
              <w:t>AOB Refers: LQU will request from appropriate parties a statement to all Partners reminding them of their obligations in respect of UKBA for the small number of overseas students who register at the Partner and then transfer to the University.</w:t>
            </w:r>
          </w:p>
        </w:tc>
        <w:tc>
          <w:tcPr>
            <w:tcW w:w="900" w:type="dxa"/>
          </w:tcPr>
          <w:p w:rsidR="00E3542C" w:rsidRPr="00BB32E6" w:rsidRDefault="00E3542C" w:rsidP="00856859">
            <w:pPr>
              <w:spacing w:after="240"/>
              <w:rPr>
                <w:rFonts w:cs="Calibri"/>
                <w:sz w:val="20"/>
                <w:szCs w:val="20"/>
              </w:rPr>
            </w:pPr>
            <w:r w:rsidRPr="00BB32E6">
              <w:rPr>
                <w:rFonts w:cs="Calibri"/>
                <w:sz w:val="20"/>
                <w:szCs w:val="20"/>
              </w:rPr>
              <w:t>LQU</w:t>
            </w:r>
          </w:p>
        </w:tc>
        <w:tc>
          <w:tcPr>
            <w:tcW w:w="1620" w:type="dxa"/>
          </w:tcPr>
          <w:p w:rsidR="00E3542C" w:rsidRPr="00BB32E6" w:rsidRDefault="00E3542C" w:rsidP="00856859">
            <w:pPr>
              <w:spacing w:after="240"/>
              <w:rPr>
                <w:rFonts w:cs="Calibri"/>
                <w:sz w:val="20"/>
                <w:szCs w:val="20"/>
              </w:rPr>
            </w:pPr>
            <w:r w:rsidRPr="00BB32E6">
              <w:rPr>
                <w:rFonts w:cs="Calibri"/>
                <w:sz w:val="20"/>
                <w:szCs w:val="20"/>
              </w:rPr>
              <w:t>Completed 29/10/2012.  Emailed Peter Fisher and Jane Bland with request for reminder text to be sent to Partner College staff.</w:t>
            </w:r>
          </w:p>
        </w:tc>
      </w:tr>
      <w:tr w:rsidR="00E3542C" w:rsidRPr="00BB32E6" w:rsidTr="008F6BE1">
        <w:tc>
          <w:tcPr>
            <w:tcW w:w="1548" w:type="dxa"/>
          </w:tcPr>
          <w:p w:rsidR="00E3542C" w:rsidRPr="00BB32E6" w:rsidRDefault="00E3542C" w:rsidP="00856859">
            <w:pPr>
              <w:spacing w:after="240"/>
              <w:jc w:val="right"/>
              <w:rPr>
                <w:rFonts w:cs="Calibri"/>
                <w:sz w:val="20"/>
                <w:szCs w:val="20"/>
              </w:rPr>
            </w:pPr>
            <w:r w:rsidRPr="00BB32E6">
              <w:rPr>
                <w:rFonts w:cs="Calibri"/>
                <w:sz w:val="20"/>
                <w:szCs w:val="20"/>
              </w:rPr>
              <w:t>2/2.6</w:t>
            </w:r>
          </w:p>
        </w:tc>
        <w:tc>
          <w:tcPr>
            <w:tcW w:w="5220" w:type="dxa"/>
          </w:tcPr>
          <w:p w:rsidR="00E3542C" w:rsidRPr="00BB32E6" w:rsidRDefault="00E3542C" w:rsidP="00856859">
            <w:pPr>
              <w:spacing w:after="240"/>
              <w:rPr>
                <w:rFonts w:cs="Calibri"/>
                <w:sz w:val="20"/>
                <w:szCs w:val="20"/>
              </w:rPr>
            </w:pPr>
            <w:r w:rsidRPr="00BB32E6">
              <w:rPr>
                <w:rFonts w:cs="Calibri"/>
                <w:sz w:val="20"/>
                <w:szCs w:val="20"/>
              </w:rPr>
              <w:t>Schools to provide a review of PDP activities (aims and outcomes) as part of development of implementation plan for the Learning, Teaching and Assessment Strategy.</w:t>
            </w:r>
          </w:p>
        </w:tc>
        <w:tc>
          <w:tcPr>
            <w:tcW w:w="900" w:type="dxa"/>
          </w:tcPr>
          <w:p w:rsidR="00E3542C" w:rsidRPr="00BB32E6" w:rsidRDefault="00E3542C" w:rsidP="00856859">
            <w:pPr>
              <w:spacing w:after="240"/>
              <w:rPr>
                <w:rFonts w:cs="Calibri"/>
                <w:sz w:val="20"/>
                <w:szCs w:val="20"/>
              </w:rPr>
            </w:pPr>
          </w:p>
        </w:tc>
        <w:tc>
          <w:tcPr>
            <w:tcW w:w="1620" w:type="dxa"/>
          </w:tcPr>
          <w:p w:rsidR="00E3542C" w:rsidRPr="00BB32E6" w:rsidRDefault="00E3542C" w:rsidP="00856859">
            <w:pPr>
              <w:spacing w:after="240"/>
              <w:rPr>
                <w:rFonts w:cs="Calibri"/>
                <w:sz w:val="20"/>
                <w:szCs w:val="20"/>
              </w:rPr>
            </w:pPr>
          </w:p>
        </w:tc>
      </w:tr>
      <w:tr w:rsidR="00E3542C" w:rsidRPr="00BB32E6" w:rsidTr="008F6BE1">
        <w:tc>
          <w:tcPr>
            <w:tcW w:w="1548" w:type="dxa"/>
          </w:tcPr>
          <w:p w:rsidR="00E3542C" w:rsidRPr="00BB32E6" w:rsidRDefault="00E3542C" w:rsidP="007A4F46">
            <w:pPr>
              <w:spacing w:after="240"/>
              <w:jc w:val="right"/>
              <w:rPr>
                <w:rFonts w:cs="Calibri"/>
                <w:sz w:val="20"/>
                <w:szCs w:val="20"/>
              </w:rPr>
            </w:pPr>
            <w:r w:rsidRPr="00BB32E6">
              <w:rPr>
                <w:rFonts w:cs="Calibri"/>
                <w:sz w:val="20"/>
                <w:szCs w:val="20"/>
              </w:rPr>
              <w:t>2/2.5b</w:t>
            </w:r>
          </w:p>
        </w:tc>
        <w:tc>
          <w:tcPr>
            <w:tcW w:w="5220" w:type="dxa"/>
          </w:tcPr>
          <w:p w:rsidR="00E3542C" w:rsidRPr="00BB32E6" w:rsidRDefault="00E3542C" w:rsidP="00856859">
            <w:pPr>
              <w:spacing w:after="240"/>
              <w:rPr>
                <w:rFonts w:cs="Calibri"/>
                <w:sz w:val="20"/>
                <w:szCs w:val="20"/>
              </w:rPr>
            </w:pPr>
            <w:r w:rsidRPr="00BB32E6">
              <w:rPr>
                <w:rFonts w:cs="Calibri"/>
                <w:sz w:val="20"/>
                <w:szCs w:val="20"/>
              </w:rPr>
              <w:t>LQU to re-circulate SAP and PAB paper to include indications of old and revised text together with School comments</w:t>
            </w:r>
          </w:p>
        </w:tc>
        <w:tc>
          <w:tcPr>
            <w:tcW w:w="900" w:type="dxa"/>
          </w:tcPr>
          <w:p w:rsidR="00E3542C" w:rsidRPr="00BB32E6" w:rsidRDefault="00E3542C" w:rsidP="00856859">
            <w:pPr>
              <w:spacing w:after="240"/>
              <w:rPr>
                <w:rFonts w:cs="Calibri"/>
                <w:sz w:val="20"/>
                <w:szCs w:val="20"/>
              </w:rPr>
            </w:pPr>
            <w:r w:rsidRPr="00BB32E6">
              <w:rPr>
                <w:rFonts w:cs="Calibri"/>
                <w:sz w:val="20"/>
                <w:szCs w:val="20"/>
              </w:rPr>
              <w:t>LQU</w:t>
            </w:r>
          </w:p>
        </w:tc>
        <w:tc>
          <w:tcPr>
            <w:tcW w:w="1620" w:type="dxa"/>
          </w:tcPr>
          <w:p w:rsidR="00E3542C" w:rsidRPr="00BB32E6" w:rsidRDefault="00E3542C" w:rsidP="00856859">
            <w:pPr>
              <w:spacing w:after="240"/>
              <w:rPr>
                <w:rFonts w:cs="Calibri"/>
                <w:sz w:val="20"/>
                <w:szCs w:val="20"/>
              </w:rPr>
            </w:pPr>
            <w:r w:rsidRPr="00BB32E6">
              <w:rPr>
                <w:rFonts w:cs="Calibri"/>
                <w:sz w:val="20"/>
                <w:szCs w:val="20"/>
              </w:rPr>
              <w:t>29/10/12 DLQs circulated with textual revisions and request to comment by 12/12/12 for inclusion into January LQC</w:t>
            </w:r>
          </w:p>
        </w:tc>
      </w:tr>
      <w:tr w:rsidR="00E3542C" w:rsidRPr="00BB32E6" w:rsidTr="008F6BE1">
        <w:tc>
          <w:tcPr>
            <w:tcW w:w="1548" w:type="dxa"/>
          </w:tcPr>
          <w:p w:rsidR="00E3542C" w:rsidRPr="00BB32E6" w:rsidRDefault="00E3542C" w:rsidP="00856859">
            <w:pPr>
              <w:spacing w:after="240"/>
              <w:jc w:val="right"/>
              <w:rPr>
                <w:rFonts w:cs="Calibri"/>
                <w:sz w:val="20"/>
                <w:szCs w:val="20"/>
              </w:rPr>
            </w:pPr>
            <w:r w:rsidRPr="00BB32E6">
              <w:rPr>
                <w:rFonts w:cs="Calibri"/>
                <w:sz w:val="20"/>
                <w:szCs w:val="20"/>
              </w:rPr>
              <w:t>2/2.7</w:t>
            </w:r>
          </w:p>
        </w:tc>
        <w:tc>
          <w:tcPr>
            <w:tcW w:w="5220" w:type="dxa"/>
          </w:tcPr>
          <w:p w:rsidR="00E3542C" w:rsidRPr="00BB32E6" w:rsidRDefault="00E3542C" w:rsidP="00C379A2">
            <w:pPr>
              <w:numPr>
                <w:ilvl w:val="0"/>
                <w:numId w:val="4"/>
              </w:numPr>
              <w:spacing w:after="0"/>
              <w:rPr>
                <w:rFonts w:cs="Calibri"/>
                <w:sz w:val="20"/>
                <w:szCs w:val="20"/>
              </w:rPr>
            </w:pPr>
            <w:r w:rsidRPr="00BB32E6">
              <w:rPr>
                <w:rFonts w:cs="Calibri"/>
                <w:sz w:val="20"/>
                <w:szCs w:val="20"/>
              </w:rPr>
              <w:t>Circulate review listing for first comments on events structures</w:t>
            </w:r>
          </w:p>
          <w:p w:rsidR="00E3542C" w:rsidRPr="00BB32E6" w:rsidRDefault="00E3542C" w:rsidP="00C379A2">
            <w:pPr>
              <w:numPr>
                <w:ilvl w:val="0"/>
                <w:numId w:val="4"/>
              </w:numPr>
              <w:spacing w:after="0"/>
              <w:rPr>
                <w:rFonts w:cs="Calibri"/>
                <w:sz w:val="20"/>
                <w:szCs w:val="20"/>
              </w:rPr>
            </w:pPr>
            <w:r w:rsidRPr="00BB32E6">
              <w:rPr>
                <w:rFonts w:cs="Calibri"/>
                <w:sz w:val="20"/>
                <w:szCs w:val="20"/>
              </w:rPr>
              <w:t>Supply list of nominated School Panel Chairs</w:t>
            </w:r>
          </w:p>
          <w:p w:rsidR="00E3542C" w:rsidRPr="00BB32E6" w:rsidRDefault="00E3542C" w:rsidP="00C379A2">
            <w:pPr>
              <w:numPr>
                <w:ilvl w:val="0"/>
                <w:numId w:val="4"/>
              </w:numPr>
              <w:spacing w:after="0"/>
              <w:rPr>
                <w:rFonts w:cs="Calibri"/>
                <w:sz w:val="20"/>
                <w:szCs w:val="20"/>
              </w:rPr>
            </w:pPr>
            <w:r w:rsidRPr="00BB32E6">
              <w:rPr>
                <w:rFonts w:cs="Calibri"/>
                <w:sz w:val="20"/>
                <w:szCs w:val="20"/>
              </w:rPr>
              <w:t>Supply first draft Schedule</w:t>
            </w:r>
          </w:p>
          <w:p w:rsidR="00E3542C" w:rsidRPr="00BB32E6" w:rsidRDefault="00E3542C" w:rsidP="00856859">
            <w:pPr>
              <w:spacing w:after="0"/>
              <w:rPr>
                <w:rFonts w:cs="Calibri"/>
                <w:sz w:val="20"/>
                <w:szCs w:val="20"/>
              </w:rPr>
            </w:pPr>
          </w:p>
        </w:tc>
        <w:tc>
          <w:tcPr>
            <w:tcW w:w="900" w:type="dxa"/>
          </w:tcPr>
          <w:p w:rsidR="00E3542C" w:rsidRPr="00BB32E6" w:rsidRDefault="00E3542C" w:rsidP="00856859">
            <w:pPr>
              <w:spacing w:after="0"/>
              <w:rPr>
                <w:rFonts w:cs="Calibri"/>
                <w:sz w:val="20"/>
                <w:szCs w:val="20"/>
              </w:rPr>
            </w:pPr>
            <w:r w:rsidRPr="00BB32E6">
              <w:rPr>
                <w:rFonts w:cs="Calibri"/>
                <w:sz w:val="20"/>
                <w:szCs w:val="20"/>
              </w:rPr>
              <w:t>LQU</w:t>
            </w:r>
          </w:p>
          <w:p w:rsidR="00E3542C" w:rsidRPr="00BB32E6" w:rsidRDefault="00E3542C" w:rsidP="00856859">
            <w:pPr>
              <w:spacing w:after="0"/>
              <w:rPr>
                <w:rFonts w:cs="Calibri"/>
                <w:sz w:val="20"/>
                <w:szCs w:val="20"/>
              </w:rPr>
            </w:pPr>
          </w:p>
          <w:p w:rsidR="00E3542C" w:rsidRPr="00BB32E6" w:rsidRDefault="00E3542C" w:rsidP="00856859">
            <w:pPr>
              <w:spacing w:after="0"/>
              <w:rPr>
                <w:rFonts w:cs="Calibri"/>
                <w:sz w:val="20"/>
                <w:szCs w:val="20"/>
              </w:rPr>
            </w:pPr>
            <w:r w:rsidRPr="00BB32E6">
              <w:rPr>
                <w:rFonts w:cs="Calibri"/>
                <w:sz w:val="20"/>
                <w:szCs w:val="20"/>
              </w:rPr>
              <w:t>DLQ</w:t>
            </w:r>
          </w:p>
          <w:p w:rsidR="00E3542C" w:rsidRPr="00BB32E6" w:rsidRDefault="00E3542C" w:rsidP="00856859">
            <w:pPr>
              <w:spacing w:after="0"/>
              <w:rPr>
                <w:rFonts w:cs="Calibri"/>
                <w:sz w:val="20"/>
                <w:szCs w:val="20"/>
              </w:rPr>
            </w:pPr>
          </w:p>
          <w:p w:rsidR="00E3542C" w:rsidRPr="00BB32E6" w:rsidRDefault="00E3542C" w:rsidP="00856859">
            <w:pPr>
              <w:spacing w:after="0"/>
              <w:rPr>
                <w:rFonts w:cs="Calibri"/>
                <w:sz w:val="20"/>
                <w:szCs w:val="20"/>
              </w:rPr>
            </w:pPr>
            <w:r w:rsidRPr="00BB32E6">
              <w:rPr>
                <w:rFonts w:cs="Calibri"/>
                <w:sz w:val="20"/>
                <w:szCs w:val="20"/>
              </w:rPr>
              <w:t>LQU</w:t>
            </w:r>
          </w:p>
          <w:p w:rsidR="00E3542C" w:rsidRPr="00BB32E6" w:rsidRDefault="00E3542C" w:rsidP="00856859">
            <w:pPr>
              <w:spacing w:after="0"/>
              <w:rPr>
                <w:rFonts w:cs="Calibri"/>
                <w:sz w:val="20"/>
                <w:szCs w:val="20"/>
              </w:rPr>
            </w:pPr>
          </w:p>
        </w:tc>
        <w:tc>
          <w:tcPr>
            <w:tcW w:w="1620" w:type="dxa"/>
          </w:tcPr>
          <w:p w:rsidR="00E3542C" w:rsidRPr="00BB32E6" w:rsidRDefault="00E3542C" w:rsidP="00C379A2">
            <w:pPr>
              <w:numPr>
                <w:ilvl w:val="0"/>
                <w:numId w:val="6"/>
              </w:numPr>
              <w:tabs>
                <w:tab w:val="clear" w:pos="720"/>
                <w:tab w:val="num" w:pos="252"/>
              </w:tabs>
              <w:spacing w:after="240"/>
              <w:ind w:left="252" w:hanging="252"/>
              <w:rPr>
                <w:rFonts w:cs="Calibri"/>
                <w:sz w:val="20"/>
                <w:szCs w:val="20"/>
              </w:rPr>
            </w:pPr>
            <w:r w:rsidRPr="00BB32E6">
              <w:rPr>
                <w:rFonts w:cs="Calibri"/>
                <w:sz w:val="20"/>
                <w:szCs w:val="20"/>
              </w:rPr>
              <w:t>Completed 19/10/2012 (lengthy email with request for comment by 7/12/12</w:t>
            </w:r>
          </w:p>
          <w:p w:rsidR="00E3542C" w:rsidRPr="00BB32E6" w:rsidRDefault="00E3542C" w:rsidP="00C379A2">
            <w:pPr>
              <w:numPr>
                <w:ilvl w:val="0"/>
                <w:numId w:val="6"/>
              </w:numPr>
              <w:tabs>
                <w:tab w:val="clear" w:pos="720"/>
                <w:tab w:val="num" w:pos="252"/>
              </w:tabs>
              <w:spacing w:after="240"/>
              <w:ind w:left="252" w:hanging="252"/>
              <w:rPr>
                <w:rFonts w:cs="Calibri"/>
                <w:sz w:val="20"/>
                <w:szCs w:val="20"/>
              </w:rPr>
            </w:pPr>
            <w:r w:rsidRPr="00BB32E6">
              <w:rPr>
                <w:rFonts w:cs="Calibri"/>
                <w:sz w:val="20"/>
                <w:szCs w:val="20"/>
              </w:rPr>
              <w:t>Awaited by 7/12/12</w:t>
            </w:r>
          </w:p>
          <w:p w:rsidR="00E3542C" w:rsidRPr="00BB32E6" w:rsidRDefault="00E3542C" w:rsidP="00C379A2">
            <w:pPr>
              <w:numPr>
                <w:ilvl w:val="0"/>
                <w:numId w:val="6"/>
              </w:numPr>
              <w:tabs>
                <w:tab w:val="clear" w:pos="720"/>
              </w:tabs>
              <w:spacing w:after="240"/>
              <w:ind w:left="252" w:hanging="252"/>
              <w:rPr>
                <w:rFonts w:cs="Calibri"/>
                <w:sz w:val="20"/>
                <w:szCs w:val="20"/>
              </w:rPr>
            </w:pPr>
            <w:r w:rsidRPr="00BB32E6">
              <w:rPr>
                <w:rFonts w:cs="Calibri"/>
                <w:sz w:val="20"/>
                <w:szCs w:val="20"/>
              </w:rPr>
              <w:t xml:space="preserve">To be completed by Feb 2013 LQC </w:t>
            </w:r>
          </w:p>
        </w:tc>
      </w:tr>
      <w:tr w:rsidR="00E3542C" w:rsidRPr="00BB32E6" w:rsidTr="008F6BE1">
        <w:tc>
          <w:tcPr>
            <w:tcW w:w="1548" w:type="dxa"/>
          </w:tcPr>
          <w:p w:rsidR="00E3542C" w:rsidRPr="00BB32E6" w:rsidRDefault="00E3542C" w:rsidP="00856859">
            <w:pPr>
              <w:spacing w:after="240"/>
              <w:jc w:val="right"/>
              <w:rPr>
                <w:rFonts w:cs="Calibri"/>
                <w:sz w:val="20"/>
                <w:szCs w:val="20"/>
              </w:rPr>
            </w:pPr>
            <w:r w:rsidRPr="00BB32E6">
              <w:rPr>
                <w:rFonts w:cs="Calibri"/>
                <w:sz w:val="20"/>
                <w:szCs w:val="20"/>
              </w:rPr>
              <w:t>2/AOB</w:t>
            </w:r>
          </w:p>
        </w:tc>
        <w:tc>
          <w:tcPr>
            <w:tcW w:w="5220" w:type="dxa"/>
          </w:tcPr>
          <w:p w:rsidR="00E3542C" w:rsidRPr="00BB32E6" w:rsidRDefault="00E3542C" w:rsidP="00856859">
            <w:pPr>
              <w:spacing w:after="240"/>
              <w:rPr>
                <w:rFonts w:cs="Calibri"/>
                <w:sz w:val="20"/>
                <w:szCs w:val="20"/>
              </w:rPr>
            </w:pPr>
            <w:r w:rsidRPr="00BB32E6">
              <w:rPr>
                <w:rFonts w:cs="Calibri"/>
                <w:sz w:val="20"/>
                <w:szCs w:val="20"/>
              </w:rPr>
              <w:t>Submit report on progress  of the HEAR to December meeting of LQC</w:t>
            </w:r>
          </w:p>
        </w:tc>
        <w:tc>
          <w:tcPr>
            <w:tcW w:w="900" w:type="dxa"/>
          </w:tcPr>
          <w:p w:rsidR="00E3542C" w:rsidRPr="00BB32E6" w:rsidRDefault="00E3542C" w:rsidP="00856859">
            <w:pPr>
              <w:spacing w:after="240"/>
              <w:rPr>
                <w:rFonts w:cs="Calibri"/>
                <w:sz w:val="20"/>
                <w:szCs w:val="20"/>
              </w:rPr>
            </w:pPr>
            <w:r w:rsidRPr="00BB32E6">
              <w:rPr>
                <w:rFonts w:cs="Calibri"/>
                <w:sz w:val="20"/>
                <w:szCs w:val="20"/>
              </w:rPr>
              <w:t>OSA</w:t>
            </w:r>
          </w:p>
        </w:tc>
        <w:tc>
          <w:tcPr>
            <w:tcW w:w="1620" w:type="dxa"/>
          </w:tcPr>
          <w:p w:rsidR="00E3542C" w:rsidRPr="00BB32E6" w:rsidRDefault="00E3542C" w:rsidP="00C379A2">
            <w:pPr>
              <w:spacing w:after="240"/>
              <w:ind w:left="72" w:hanging="136"/>
              <w:rPr>
                <w:rFonts w:cs="Calibri"/>
                <w:sz w:val="20"/>
                <w:szCs w:val="20"/>
              </w:rPr>
            </w:pPr>
            <w:r w:rsidRPr="00BB32E6">
              <w:rPr>
                <w:rFonts w:cs="Calibri"/>
                <w:sz w:val="20"/>
                <w:szCs w:val="20"/>
              </w:rPr>
              <w:t>Agenda Item, December 2012</w:t>
            </w:r>
          </w:p>
        </w:tc>
      </w:tr>
    </w:tbl>
    <w:p w:rsidR="00E3542C" w:rsidRPr="00BB32E6" w:rsidRDefault="00E3542C" w:rsidP="001A4779">
      <w:pPr>
        <w:rPr>
          <w:rFonts w:cs="Calibri"/>
          <w:i/>
          <w:sz w:val="20"/>
          <w:szCs w:val="20"/>
        </w:rPr>
      </w:pPr>
    </w:p>
    <w:sectPr w:rsidR="00E3542C" w:rsidRPr="00BB32E6" w:rsidSect="005116F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2C" w:rsidRDefault="00E3542C" w:rsidP="00540A44">
      <w:pPr>
        <w:spacing w:after="0" w:line="240" w:lineRule="auto"/>
      </w:pPr>
      <w:r>
        <w:separator/>
      </w:r>
    </w:p>
  </w:endnote>
  <w:endnote w:type="continuationSeparator" w:id="0">
    <w:p w:rsidR="00E3542C" w:rsidRDefault="00E3542C" w:rsidP="0054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2C" w:rsidRDefault="00E35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2C" w:rsidRPr="00994B7E" w:rsidRDefault="00E3542C" w:rsidP="00994B7E">
    <w:pPr>
      <w:pStyle w:val="Footer"/>
      <w:pBdr>
        <w:top w:val="thinThickSmallGap" w:sz="24" w:space="1" w:color="622423"/>
      </w:pBdr>
      <w:tabs>
        <w:tab w:val="clear" w:pos="4513"/>
        <w:tab w:val="clear" w:pos="9026"/>
        <w:tab w:val="right" w:pos="9638"/>
      </w:tabs>
      <w:rPr>
        <w:rFonts w:ascii="Cambria" w:hAnsi="Cambria"/>
      </w:rPr>
    </w:pPr>
    <w:r>
      <w:rPr>
        <w:rFonts w:ascii="Cambria" w:hAnsi="Cambria"/>
      </w:rPr>
      <w:t>Learning and Quality Committee 12-M3 December 2012</w:t>
    </w:r>
    <w:r w:rsidRPr="00994B7E">
      <w:rPr>
        <w:rFonts w:ascii="Cambria" w:hAnsi="Cambria"/>
      </w:rPr>
      <w:tab/>
      <w:t xml:space="preserve">Page </w:t>
    </w:r>
    <w:r w:rsidR="00683D11">
      <w:fldChar w:fldCharType="begin"/>
    </w:r>
    <w:r w:rsidR="00683D11">
      <w:instrText xml:space="preserve"> PAGE   \* MERGEFORMAT </w:instrText>
    </w:r>
    <w:r w:rsidR="00683D11">
      <w:fldChar w:fldCharType="separate"/>
    </w:r>
    <w:r w:rsidR="00683D11" w:rsidRPr="00683D11">
      <w:rPr>
        <w:rFonts w:ascii="Cambria" w:hAnsi="Cambria"/>
        <w:noProof/>
      </w:rPr>
      <w:t>1</w:t>
    </w:r>
    <w:r w:rsidR="00683D11">
      <w:rPr>
        <w:rFonts w:ascii="Cambria" w:hAnsi="Cambria"/>
        <w:noProof/>
      </w:rPr>
      <w:fldChar w:fldCharType="end"/>
    </w:r>
  </w:p>
  <w:p w:rsidR="00E3542C" w:rsidRDefault="00E35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2C" w:rsidRDefault="00E35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2C" w:rsidRDefault="00E3542C" w:rsidP="00540A44">
      <w:pPr>
        <w:spacing w:after="0" w:line="240" w:lineRule="auto"/>
      </w:pPr>
      <w:r>
        <w:separator/>
      </w:r>
    </w:p>
  </w:footnote>
  <w:footnote w:type="continuationSeparator" w:id="0">
    <w:p w:rsidR="00E3542C" w:rsidRDefault="00E3542C" w:rsidP="00540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2C" w:rsidRDefault="00683D11">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2.65pt;height:156.8pt;rotation:315;z-index:-251658752;mso-position-horizontal:center;mso-position-horizontal-relative:margin;mso-position-vertical:center;mso-position-vertical-relative:margin" o:allowincell="f" fillcolor="#404040" stroked="f">
          <v:fill opacity=".5"/>
          <v:textpath style="font-family:&quot;Calibri&quot;;font-size:1pt" string="Chair's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2C" w:rsidRDefault="00683D11">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22.65pt;height:156.8pt;rotation:315;z-index:-251657728;mso-position-horizontal:center;mso-position-horizontal-relative:margin;mso-position-vertical:center;mso-position-vertical-relative:margin" o:allowincell="f" fillcolor="#404040" stroked="f">
          <v:fill opacity=".5"/>
          <v:textpath style="font-family:&quot;Calibri&quot;;font-size:1pt" string="Chair's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2C" w:rsidRDefault="00683D11">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22.65pt;height:156.8pt;rotation:315;z-index:-251659776;mso-position-horizontal:center;mso-position-horizontal-relative:margin;mso-position-vertical:center;mso-position-vertical-relative:margin" o:allowincell="f" fillcolor="#404040" stroked="f">
          <v:fill opacity=".5"/>
          <v:textpath style="font-family:&quot;Calibri&quot;;font-size:1pt" string="Chair's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7A8C"/>
    <w:multiLevelType w:val="hybridMultilevel"/>
    <w:tmpl w:val="D22218EA"/>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2B84A86"/>
    <w:multiLevelType w:val="hybridMultilevel"/>
    <w:tmpl w:val="6AF25A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1263A9D"/>
    <w:multiLevelType w:val="hybridMultilevel"/>
    <w:tmpl w:val="A574C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7E2251F"/>
    <w:multiLevelType w:val="multilevel"/>
    <w:tmpl w:val="45E4CC58"/>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8FB238E"/>
    <w:multiLevelType w:val="hybridMultilevel"/>
    <w:tmpl w:val="52D4F574"/>
    <w:lvl w:ilvl="0" w:tplc="13D4F4C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DCB48FB"/>
    <w:multiLevelType w:val="hybridMultilevel"/>
    <w:tmpl w:val="FC72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5F3851"/>
    <w:multiLevelType w:val="hybridMultilevel"/>
    <w:tmpl w:val="76B69EA8"/>
    <w:lvl w:ilvl="0" w:tplc="042ECD60">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56CB60E9"/>
    <w:multiLevelType w:val="hybridMultilevel"/>
    <w:tmpl w:val="4600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D236AC"/>
    <w:multiLevelType w:val="hybridMultilevel"/>
    <w:tmpl w:val="79CAA18A"/>
    <w:lvl w:ilvl="0" w:tplc="08090019">
      <w:start w:val="1"/>
      <w:numFmt w:val="lowerLetter"/>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B9952A8"/>
    <w:multiLevelType w:val="hybridMultilevel"/>
    <w:tmpl w:val="A14C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AE55E3"/>
    <w:multiLevelType w:val="hybridMultilevel"/>
    <w:tmpl w:val="6434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71496F"/>
    <w:multiLevelType w:val="hybridMultilevel"/>
    <w:tmpl w:val="BAC0CB76"/>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717F564D"/>
    <w:multiLevelType w:val="hybridMultilevel"/>
    <w:tmpl w:val="3072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596BD6"/>
    <w:multiLevelType w:val="hybridMultilevel"/>
    <w:tmpl w:val="6908F6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1"/>
  </w:num>
  <w:num w:numId="4">
    <w:abstractNumId w:val="8"/>
  </w:num>
  <w:num w:numId="5">
    <w:abstractNumId w:val="3"/>
  </w:num>
  <w:num w:numId="6">
    <w:abstractNumId w:val="6"/>
  </w:num>
  <w:num w:numId="7">
    <w:abstractNumId w:val="12"/>
  </w:num>
  <w:num w:numId="8">
    <w:abstractNumId w:val="5"/>
  </w:num>
  <w:num w:numId="9">
    <w:abstractNumId w:val="7"/>
  </w:num>
  <w:num w:numId="10">
    <w:abstractNumId w:val="10"/>
  </w:num>
  <w:num w:numId="11">
    <w:abstractNumId w:val="9"/>
  </w:num>
  <w:num w:numId="12">
    <w:abstractNumId w:val="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51E"/>
    <w:rsid w:val="00004160"/>
    <w:rsid w:val="00006E11"/>
    <w:rsid w:val="00013D77"/>
    <w:rsid w:val="000318E5"/>
    <w:rsid w:val="0003337C"/>
    <w:rsid w:val="000442AA"/>
    <w:rsid w:val="00046186"/>
    <w:rsid w:val="00056E44"/>
    <w:rsid w:val="00062568"/>
    <w:rsid w:val="000B4563"/>
    <w:rsid w:val="000C3AD6"/>
    <w:rsid w:val="000C596B"/>
    <w:rsid w:val="000E1917"/>
    <w:rsid w:val="000E2630"/>
    <w:rsid w:val="000F44A6"/>
    <w:rsid w:val="00101322"/>
    <w:rsid w:val="001078EA"/>
    <w:rsid w:val="00110C4C"/>
    <w:rsid w:val="00131617"/>
    <w:rsid w:val="00156078"/>
    <w:rsid w:val="00162FF2"/>
    <w:rsid w:val="001772AD"/>
    <w:rsid w:val="001949E2"/>
    <w:rsid w:val="001A2DAF"/>
    <w:rsid w:val="001A4779"/>
    <w:rsid w:val="001A649F"/>
    <w:rsid w:val="001B0AA5"/>
    <w:rsid w:val="001F2340"/>
    <w:rsid w:val="002005D5"/>
    <w:rsid w:val="0020483F"/>
    <w:rsid w:val="0021513C"/>
    <w:rsid w:val="00223A23"/>
    <w:rsid w:val="00234DCF"/>
    <w:rsid w:val="002369A4"/>
    <w:rsid w:val="00241917"/>
    <w:rsid w:val="002458CA"/>
    <w:rsid w:val="00252771"/>
    <w:rsid w:val="002539AD"/>
    <w:rsid w:val="002616E2"/>
    <w:rsid w:val="00277E32"/>
    <w:rsid w:val="002A22EA"/>
    <w:rsid w:val="002D1A61"/>
    <w:rsid w:val="002D4BC8"/>
    <w:rsid w:val="002F32BE"/>
    <w:rsid w:val="002F4E40"/>
    <w:rsid w:val="002F5257"/>
    <w:rsid w:val="002F57EE"/>
    <w:rsid w:val="003005CD"/>
    <w:rsid w:val="00317245"/>
    <w:rsid w:val="0032340E"/>
    <w:rsid w:val="003248BD"/>
    <w:rsid w:val="00332579"/>
    <w:rsid w:val="0033391E"/>
    <w:rsid w:val="003565B2"/>
    <w:rsid w:val="00373A15"/>
    <w:rsid w:val="0037615B"/>
    <w:rsid w:val="00385E81"/>
    <w:rsid w:val="003C637C"/>
    <w:rsid w:val="003D47C3"/>
    <w:rsid w:val="003D5841"/>
    <w:rsid w:val="003D738F"/>
    <w:rsid w:val="00410DB5"/>
    <w:rsid w:val="00424A89"/>
    <w:rsid w:val="00437FEF"/>
    <w:rsid w:val="00441349"/>
    <w:rsid w:val="0044568B"/>
    <w:rsid w:val="00454D5E"/>
    <w:rsid w:val="00461DFF"/>
    <w:rsid w:val="004704BE"/>
    <w:rsid w:val="00470FC1"/>
    <w:rsid w:val="00483488"/>
    <w:rsid w:val="004B4E82"/>
    <w:rsid w:val="004C0421"/>
    <w:rsid w:val="004C1CA5"/>
    <w:rsid w:val="004C529C"/>
    <w:rsid w:val="004E5F80"/>
    <w:rsid w:val="004F2CA3"/>
    <w:rsid w:val="00510DBC"/>
    <w:rsid w:val="005116F9"/>
    <w:rsid w:val="00522B4B"/>
    <w:rsid w:val="005237FD"/>
    <w:rsid w:val="00540A44"/>
    <w:rsid w:val="00543100"/>
    <w:rsid w:val="00544BC9"/>
    <w:rsid w:val="00571666"/>
    <w:rsid w:val="005728CF"/>
    <w:rsid w:val="005804A7"/>
    <w:rsid w:val="0058501B"/>
    <w:rsid w:val="005A5D83"/>
    <w:rsid w:val="005B2025"/>
    <w:rsid w:val="005B5BDB"/>
    <w:rsid w:val="005C3F33"/>
    <w:rsid w:val="005D59F0"/>
    <w:rsid w:val="005D7D1C"/>
    <w:rsid w:val="005E4F47"/>
    <w:rsid w:val="005E7C07"/>
    <w:rsid w:val="005F21F4"/>
    <w:rsid w:val="005F3FB4"/>
    <w:rsid w:val="00606EB1"/>
    <w:rsid w:val="006108C7"/>
    <w:rsid w:val="0061224D"/>
    <w:rsid w:val="0063132B"/>
    <w:rsid w:val="0064670D"/>
    <w:rsid w:val="0065590C"/>
    <w:rsid w:val="00663FD3"/>
    <w:rsid w:val="00683D11"/>
    <w:rsid w:val="00684277"/>
    <w:rsid w:val="006979DD"/>
    <w:rsid w:val="006B0AA4"/>
    <w:rsid w:val="006C5263"/>
    <w:rsid w:val="006E05CF"/>
    <w:rsid w:val="006F4EF0"/>
    <w:rsid w:val="0072682D"/>
    <w:rsid w:val="00744082"/>
    <w:rsid w:val="007464D0"/>
    <w:rsid w:val="007516C5"/>
    <w:rsid w:val="007529E8"/>
    <w:rsid w:val="007567C9"/>
    <w:rsid w:val="00772D24"/>
    <w:rsid w:val="007829C9"/>
    <w:rsid w:val="007860EF"/>
    <w:rsid w:val="007A4F46"/>
    <w:rsid w:val="007B5687"/>
    <w:rsid w:val="007B7BB5"/>
    <w:rsid w:val="007E2521"/>
    <w:rsid w:val="0081051E"/>
    <w:rsid w:val="008108AD"/>
    <w:rsid w:val="00855BC6"/>
    <w:rsid w:val="00856859"/>
    <w:rsid w:val="008729D5"/>
    <w:rsid w:val="0087597C"/>
    <w:rsid w:val="00885648"/>
    <w:rsid w:val="008919CF"/>
    <w:rsid w:val="00897544"/>
    <w:rsid w:val="008A55CD"/>
    <w:rsid w:val="008D3905"/>
    <w:rsid w:val="008D68EB"/>
    <w:rsid w:val="008F6BE1"/>
    <w:rsid w:val="0094233C"/>
    <w:rsid w:val="00984CED"/>
    <w:rsid w:val="00994B7E"/>
    <w:rsid w:val="009E0DC6"/>
    <w:rsid w:val="009E466A"/>
    <w:rsid w:val="00A154BE"/>
    <w:rsid w:val="00A21A11"/>
    <w:rsid w:val="00A26584"/>
    <w:rsid w:val="00A31D49"/>
    <w:rsid w:val="00A53464"/>
    <w:rsid w:val="00A55BCA"/>
    <w:rsid w:val="00A60DD9"/>
    <w:rsid w:val="00A6112D"/>
    <w:rsid w:val="00A637C7"/>
    <w:rsid w:val="00A747B8"/>
    <w:rsid w:val="00A813AD"/>
    <w:rsid w:val="00AB3E37"/>
    <w:rsid w:val="00AD4654"/>
    <w:rsid w:val="00AF48FF"/>
    <w:rsid w:val="00B0044C"/>
    <w:rsid w:val="00B020A2"/>
    <w:rsid w:val="00B336A5"/>
    <w:rsid w:val="00B71293"/>
    <w:rsid w:val="00B82A1A"/>
    <w:rsid w:val="00B83566"/>
    <w:rsid w:val="00B84C9B"/>
    <w:rsid w:val="00B852DE"/>
    <w:rsid w:val="00B96D52"/>
    <w:rsid w:val="00BB32E6"/>
    <w:rsid w:val="00C13265"/>
    <w:rsid w:val="00C15ABD"/>
    <w:rsid w:val="00C16DF1"/>
    <w:rsid w:val="00C26DF4"/>
    <w:rsid w:val="00C379A2"/>
    <w:rsid w:val="00C47A4C"/>
    <w:rsid w:val="00C5074E"/>
    <w:rsid w:val="00C50901"/>
    <w:rsid w:val="00C60505"/>
    <w:rsid w:val="00C670E6"/>
    <w:rsid w:val="00C6785C"/>
    <w:rsid w:val="00C751F5"/>
    <w:rsid w:val="00C902A2"/>
    <w:rsid w:val="00CA155E"/>
    <w:rsid w:val="00CA3106"/>
    <w:rsid w:val="00CA3402"/>
    <w:rsid w:val="00CA7635"/>
    <w:rsid w:val="00CB570D"/>
    <w:rsid w:val="00CE16A3"/>
    <w:rsid w:val="00CF0ECD"/>
    <w:rsid w:val="00D158A8"/>
    <w:rsid w:val="00D17A1B"/>
    <w:rsid w:val="00D2314B"/>
    <w:rsid w:val="00D55623"/>
    <w:rsid w:val="00D66F89"/>
    <w:rsid w:val="00D701DC"/>
    <w:rsid w:val="00D912B6"/>
    <w:rsid w:val="00DA13ED"/>
    <w:rsid w:val="00DA2B7F"/>
    <w:rsid w:val="00DD1934"/>
    <w:rsid w:val="00DE06BF"/>
    <w:rsid w:val="00DE2E96"/>
    <w:rsid w:val="00DE5E93"/>
    <w:rsid w:val="00E03EED"/>
    <w:rsid w:val="00E1526B"/>
    <w:rsid w:val="00E3542C"/>
    <w:rsid w:val="00E41FAA"/>
    <w:rsid w:val="00E42EC3"/>
    <w:rsid w:val="00E67AF8"/>
    <w:rsid w:val="00E72FBF"/>
    <w:rsid w:val="00E94E13"/>
    <w:rsid w:val="00EE464D"/>
    <w:rsid w:val="00EF3E8F"/>
    <w:rsid w:val="00EF796B"/>
    <w:rsid w:val="00F0648A"/>
    <w:rsid w:val="00F06521"/>
    <w:rsid w:val="00F26608"/>
    <w:rsid w:val="00F423C6"/>
    <w:rsid w:val="00F64BBD"/>
    <w:rsid w:val="00F64FBE"/>
    <w:rsid w:val="00F81421"/>
    <w:rsid w:val="00F81F6B"/>
    <w:rsid w:val="00F869F0"/>
    <w:rsid w:val="00FB3322"/>
    <w:rsid w:val="00FB5061"/>
    <w:rsid w:val="00FB5110"/>
    <w:rsid w:val="00FB7D12"/>
    <w:rsid w:val="00FC393B"/>
    <w:rsid w:val="00FC4188"/>
    <w:rsid w:val="00FC4CBE"/>
    <w:rsid w:val="00FE4914"/>
    <w:rsid w:val="00FF6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1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36A5"/>
    <w:pPr>
      <w:ind w:left="720"/>
      <w:contextualSpacing/>
    </w:pPr>
  </w:style>
  <w:style w:type="paragraph" w:styleId="NoSpacing">
    <w:name w:val="No Spacing"/>
    <w:uiPriority w:val="99"/>
    <w:qFormat/>
    <w:rsid w:val="00B336A5"/>
    <w:rPr>
      <w:lang w:eastAsia="en-US"/>
    </w:rPr>
  </w:style>
  <w:style w:type="paragraph" w:styleId="Header">
    <w:name w:val="header"/>
    <w:basedOn w:val="Normal"/>
    <w:link w:val="HeaderChar"/>
    <w:uiPriority w:val="99"/>
    <w:rsid w:val="00540A44"/>
    <w:pPr>
      <w:tabs>
        <w:tab w:val="center" w:pos="4513"/>
        <w:tab w:val="right" w:pos="9026"/>
      </w:tabs>
    </w:pPr>
  </w:style>
  <w:style w:type="character" w:customStyle="1" w:styleId="HeaderChar">
    <w:name w:val="Header Char"/>
    <w:basedOn w:val="DefaultParagraphFont"/>
    <w:link w:val="Header"/>
    <w:uiPriority w:val="99"/>
    <w:locked/>
    <w:rsid w:val="00540A44"/>
    <w:rPr>
      <w:rFonts w:cs="Times New Roman"/>
      <w:sz w:val="22"/>
      <w:lang w:eastAsia="en-US"/>
    </w:rPr>
  </w:style>
  <w:style w:type="paragraph" w:styleId="Footer">
    <w:name w:val="footer"/>
    <w:basedOn w:val="Normal"/>
    <w:link w:val="FooterChar"/>
    <w:uiPriority w:val="99"/>
    <w:rsid w:val="00540A44"/>
    <w:pPr>
      <w:tabs>
        <w:tab w:val="center" w:pos="4513"/>
        <w:tab w:val="right" w:pos="9026"/>
      </w:tabs>
    </w:pPr>
  </w:style>
  <w:style w:type="character" w:customStyle="1" w:styleId="FooterChar">
    <w:name w:val="Footer Char"/>
    <w:basedOn w:val="DefaultParagraphFont"/>
    <w:link w:val="Footer"/>
    <w:uiPriority w:val="99"/>
    <w:locked/>
    <w:rsid w:val="00540A44"/>
    <w:rPr>
      <w:rFonts w:cs="Times New Roman"/>
      <w:sz w:val="22"/>
      <w:lang w:eastAsia="en-US"/>
    </w:rPr>
  </w:style>
  <w:style w:type="table" w:styleId="TableGrid">
    <w:name w:val="Table Grid"/>
    <w:basedOn w:val="TableNormal"/>
    <w:uiPriority w:val="99"/>
    <w:locked/>
    <w:rsid w:val="00571666"/>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94E13"/>
    <w:rPr>
      <w:sz w:val="20"/>
      <w:szCs w:val="20"/>
    </w:rPr>
  </w:style>
  <w:style w:type="character" w:customStyle="1" w:styleId="FootnoteTextChar">
    <w:name w:val="Footnote Text Char"/>
    <w:basedOn w:val="DefaultParagraphFont"/>
    <w:link w:val="FootnoteText"/>
    <w:uiPriority w:val="99"/>
    <w:semiHidden/>
    <w:locked/>
    <w:rsid w:val="00C15ABD"/>
    <w:rPr>
      <w:rFonts w:cs="Times New Roman"/>
      <w:sz w:val="20"/>
      <w:lang w:eastAsia="en-US"/>
    </w:rPr>
  </w:style>
  <w:style w:type="character" w:styleId="FootnoteReference">
    <w:name w:val="footnote reference"/>
    <w:basedOn w:val="DefaultParagraphFont"/>
    <w:uiPriority w:val="99"/>
    <w:semiHidden/>
    <w:rsid w:val="00E94E13"/>
    <w:rPr>
      <w:rFonts w:cs="Times New Roman"/>
      <w:vertAlign w:val="superscript"/>
    </w:rPr>
  </w:style>
  <w:style w:type="paragraph" w:styleId="BalloonText">
    <w:name w:val="Balloon Text"/>
    <w:basedOn w:val="Normal"/>
    <w:link w:val="BalloonTextChar"/>
    <w:uiPriority w:val="99"/>
    <w:semiHidden/>
    <w:rsid w:val="00994B7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94B7E"/>
    <w:rPr>
      <w:rFonts w:ascii="Tahoma" w:hAnsi="Tahoma" w:cs="Times New Roman"/>
      <w:sz w:val="16"/>
      <w:lang w:eastAsia="en-US"/>
    </w:rPr>
  </w:style>
  <w:style w:type="character" w:styleId="CommentReference">
    <w:name w:val="annotation reference"/>
    <w:basedOn w:val="DefaultParagraphFont"/>
    <w:uiPriority w:val="99"/>
    <w:semiHidden/>
    <w:rsid w:val="00156078"/>
    <w:rPr>
      <w:rFonts w:cs="Times New Roman"/>
      <w:sz w:val="16"/>
      <w:szCs w:val="16"/>
    </w:rPr>
  </w:style>
  <w:style w:type="paragraph" w:styleId="CommentText">
    <w:name w:val="annotation text"/>
    <w:basedOn w:val="Normal"/>
    <w:link w:val="CommentTextChar"/>
    <w:uiPriority w:val="99"/>
    <w:semiHidden/>
    <w:rsid w:val="00156078"/>
    <w:rPr>
      <w:sz w:val="20"/>
      <w:szCs w:val="20"/>
    </w:rPr>
  </w:style>
  <w:style w:type="character" w:customStyle="1" w:styleId="CommentTextChar">
    <w:name w:val="Comment Text Char"/>
    <w:basedOn w:val="DefaultParagraphFont"/>
    <w:link w:val="CommentText"/>
    <w:uiPriority w:val="99"/>
    <w:semiHidden/>
    <w:locked/>
    <w:rsid w:val="00470FC1"/>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56078"/>
    <w:rPr>
      <w:b/>
      <w:bCs/>
    </w:rPr>
  </w:style>
  <w:style w:type="character" w:customStyle="1" w:styleId="CommentSubjectChar">
    <w:name w:val="Comment Subject Char"/>
    <w:basedOn w:val="CommentTextChar"/>
    <w:link w:val="CommentSubject"/>
    <w:uiPriority w:val="99"/>
    <w:semiHidden/>
    <w:locked/>
    <w:rsid w:val="00470FC1"/>
    <w:rPr>
      <w:rFonts w:cs="Times New Roman"/>
      <w:b/>
      <w:bCs/>
      <w:sz w:val="20"/>
      <w:szCs w:val="20"/>
      <w:lang w:eastAsia="en-US"/>
    </w:rPr>
  </w:style>
  <w:style w:type="character" w:styleId="Hyperlink">
    <w:name w:val="Hyperlink"/>
    <w:basedOn w:val="DefaultParagraphFont"/>
    <w:uiPriority w:val="99"/>
    <w:rsid w:val="002D1A6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312877">
      <w:marLeft w:val="0"/>
      <w:marRight w:val="0"/>
      <w:marTop w:val="0"/>
      <w:marBottom w:val="0"/>
      <w:divBdr>
        <w:top w:val="none" w:sz="0" w:space="0" w:color="auto"/>
        <w:left w:val="none" w:sz="0" w:space="0" w:color="auto"/>
        <w:bottom w:val="none" w:sz="0" w:space="0" w:color="auto"/>
        <w:right w:val="none" w:sz="0" w:space="0" w:color="auto"/>
      </w:divBdr>
    </w:div>
    <w:div w:id="2147312878">
      <w:marLeft w:val="0"/>
      <w:marRight w:val="0"/>
      <w:marTop w:val="0"/>
      <w:marBottom w:val="0"/>
      <w:divBdr>
        <w:top w:val="none" w:sz="0" w:space="0" w:color="auto"/>
        <w:left w:val="none" w:sz="0" w:space="0" w:color="auto"/>
        <w:bottom w:val="none" w:sz="0" w:space="0" w:color="auto"/>
        <w:right w:val="none" w:sz="0" w:space="0" w:color="auto"/>
      </w:divBdr>
    </w:div>
    <w:div w:id="2147312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01@gre.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2163</Words>
  <Characters>12333</Characters>
  <Application>Microsoft Office Word</Application>
  <DocSecurity>4</DocSecurity>
  <Lines>102</Lines>
  <Paragraphs>28</Paragraphs>
  <ScaleCrop>false</ScaleCrop>
  <Company>the University of Greenwich</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pj27</dc:creator>
  <cp:lastModifiedBy>Pat Rosser Davies</cp:lastModifiedBy>
  <cp:revision>2</cp:revision>
  <cp:lastPrinted>2012-11-02T15:25:00Z</cp:lastPrinted>
  <dcterms:created xsi:type="dcterms:W3CDTF">2013-01-07T09:52:00Z</dcterms:created>
  <dcterms:modified xsi:type="dcterms:W3CDTF">2013-01-07T09:52:00Z</dcterms:modified>
</cp:coreProperties>
</file>