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5C69DB" w14:textId="7894BCAE" w:rsidR="00054151" w:rsidRDefault="00054151">
      <w:pPr>
        <w:pStyle w:val="BodyText"/>
        <w:rPr>
          <w:rFonts w:ascii="Times New Roman"/>
          <w:sz w:val="20"/>
        </w:rPr>
      </w:pPr>
    </w:p>
    <w:p w14:paraId="205C69DC" w14:textId="77777777" w:rsidR="00054151" w:rsidRDefault="00054151">
      <w:pPr>
        <w:pStyle w:val="BodyText"/>
        <w:rPr>
          <w:rFonts w:ascii="Times New Roman"/>
          <w:sz w:val="20"/>
        </w:rPr>
      </w:pPr>
    </w:p>
    <w:p w14:paraId="205C69DD" w14:textId="77777777" w:rsidR="00054151" w:rsidRDefault="00054151">
      <w:pPr>
        <w:pStyle w:val="BodyText"/>
        <w:rPr>
          <w:rFonts w:ascii="Times New Roman"/>
          <w:sz w:val="20"/>
        </w:rPr>
      </w:pPr>
    </w:p>
    <w:p w14:paraId="205C69DE" w14:textId="77777777" w:rsidR="00054151" w:rsidRDefault="00054151">
      <w:pPr>
        <w:pStyle w:val="BodyText"/>
        <w:rPr>
          <w:rFonts w:ascii="Times New Roman"/>
          <w:sz w:val="20"/>
        </w:rPr>
      </w:pPr>
    </w:p>
    <w:p w14:paraId="205C69DF" w14:textId="77777777" w:rsidR="00054151" w:rsidRDefault="00054151">
      <w:pPr>
        <w:pStyle w:val="BodyText"/>
        <w:rPr>
          <w:rFonts w:ascii="Times New Roman"/>
          <w:sz w:val="20"/>
        </w:rPr>
      </w:pPr>
    </w:p>
    <w:p w14:paraId="205C69E0" w14:textId="77777777" w:rsidR="00054151" w:rsidRDefault="00054151" w:rsidP="00CC4577">
      <w:pPr>
        <w:pStyle w:val="BodyText"/>
        <w:jc w:val="center"/>
        <w:rPr>
          <w:rFonts w:ascii="Times New Roman"/>
          <w:sz w:val="20"/>
        </w:rPr>
      </w:pPr>
    </w:p>
    <w:p w14:paraId="205C69E1" w14:textId="77777777" w:rsidR="00054151" w:rsidRDefault="00054151">
      <w:pPr>
        <w:pStyle w:val="BodyText"/>
        <w:rPr>
          <w:rFonts w:ascii="Times New Roman"/>
          <w:sz w:val="20"/>
        </w:rPr>
      </w:pPr>
    </w:p>
    <w:p w14:paraId="205C69E2" w14:textId="77777777" w:rsidR="00054151" w:rsidRDefault="00054151">
      <w:pPr>
        <w:pStyle w:val="BodyText"/>
        <w:rPr>
          <w:rFonts w:ascii="Times New Roman"/>
          <w:sz w:val="20"/>
        </w:rPr>
      </w:pPr>
    </w:p>
    <w:p w14:paraId="205C69E3" w14:textId="77777777" w:rsidR="00054151" w:rsidRDefault="00054151">
      <w:pPr>
        <w:pStyle w:val="BodyText"/>
        <w:rPr>
          <w:rFonts w:ascii="Times New Roman"/>
          <w:sz w:val="20"/>
        </w:rPr>
      </w:pPr>
    </w:p>
    <w:p w14:paraId="205C69E4" w14:textId="77777777" w:rsidR="00054151" w:rsidRDefault="00054151">
      <w:pPr>
        <w:pStyle w:val="BodyText"/>
        <w:rPr>
          <w:rFonts w:ascii="Times New Roman"/>
          <w:sz w:val="20"/>
        </w:rPr>
      </w:pPr>
    </w:p>
    <w:p w14:paraId="205C69E5" w14:textId="2D6DD12B" w:rsidR="00054151" w:rsidRDefault="00054151">
      <w:pPr>
        <w:pStyle w:val="BodyText"/>
        <w:rPr>
          <w:rFonts w:ascii="Times New Roman"/>
          <w:sz w:val="20"/>
        </w:rPr>
      </w:pPr>
    </w:p>
    <w:p w14:paraId="205C69E6" w14:textId="77777777" w:rsidR="00054151" w:rsidRDefault="00054151">
      <w:pPr>
        <w:pStyle w:val="BodyText"/>
        <w:rPr>
          <w:rFonts w:ascii="Times New Roman"/>
          <w:sz w:val="20"/>
        </w:rPr>
      </w:pPr>
    </w:p>
    <w:p w14:paraId="205C69E7" w14:textId="77777777" w:rsidR="00054151" w:rsidRDefault="00054151">
      <w:pPr>
        <w:pStyle w:val="BodyText"/>
        <w:rPr>
          <w:rFonts w:ascii="Times New Roman"/>
          <w:sz w:val="20"/>
        </w:rPr>
      </w:pPr>
    </w:p>
    <w:p w14:paraId="205C69E8" w14:textId="77777777" w:rsidR="00054151" w:rsidRDefault="00054151">
      <w:pPr>
        <w:pStyle w:val="BodyText"/>
        <w:rPr>
          <w:rFonts w:ascii="Times New Roman"/>
          <w:sz w:val="20"/>
        </w:rPr>
      </w:pPr>
    </w:p>
    <w:p w14:paraId="205C69E9" w14:textId="77777777" w:rsidR="00054151" w:rsidRDefault="00054151">
      <w:pPr>
        <w:pStyle w:val="BodyText"/>
        <w:rPr>
          <w:rFonts w:ascii="Times New Roman"/>
          <w:sz w:val="20"/>
        </w:rPr>
      </w:pPr>
    </w:p>
    <w:p w14:paraId="205C69EA" w14:textId="77777777" w:rsidR="00054151" w:rsidRDefault="00054151">
      <w:pPr>
        <w:pStyle w:val="BodyText"/>
        <w:rPr>
          <w:rFonts w:ascii="Times New Roman"/>
          <w:sz w:val="20"/>
        </w:rPr>
      </w:pPr>
    </w:p>
    <w:p w14:paraId="205C69EB" w14:textId="77777777" w:rsidR="00054151" w:rsidRDefault="00054151">
      <w:pPr>
        <w:pStyle w:val="BodyText"/>
        <w:rPr>
          <w:rFonts w:ascii="Times New Roman"/>
          <w:sz w:val="20"/>
        </w:rPr>
      </w:pPr>
    </w:p>
    <w:p w14:paraId="205C69EC" w14:textId="77777777" w:rsidR="00054151" w:rsidRDefault="00054151">
      <w:pPr>
        <w:pStyle w:val="BodyText"/>
        <w:rPr>
          <w:rFonts w:ascii="Times New Roman"/>
          <w:sz w:val="20"/>
        </w:rPr>
      </w:pPr>
    </w:p>
    <w:p w14:paraId="205C69ED" w14:textId="77777777" w:rsidR="00054151" w:rsidRDefault="00054151">
      <w:pPr>
        <w:pStyle w:val="BodyText"/>
        <w:spacing w:before="3"/>
        <w:rPr>
          <w:rFonts w:ascii="Times New Roman"/>
          <w:sz w:val="18"/>
        </w:rPr>
      </w:pPr>
    </w:p>
    <w:p w14:paraId="205C69EF" w14:textId="13232DF7" w:rsidR="00054151" w:rsidRDefault="00920C1D" w:rsidP="0044648A">
      <w:pPr>
        <w:pStyle w:val="Heading1"/>
        <w:rPr>
          <w:b w:val="0"/>
        </w:rPr>
      </w:pPr>
      <w:r>
        <w:t xml:space="preserve">Student Wellbeing Service: </w:t>
      </w:r>
      <w:r w:rsidR="0044648A">
        <w:t>Disa</w:t>
      </w:r>
      <w:r w:rsidR="005D3EA1">
        <w:t xml:space="preserve">bility Framework - </w:t>
      </w:r>
      <w:r w:rsidR="0044648A">
        <w:t>Student</w:t>
      </w:r>
      <w:r w:rsidR="006B759E">
        <w:t>s</w:t>
      </w:r>
    </w:p>
    <w:p w14:paraId="205C69F0" w14:textId="77777777" w:rsidR="00054151" w:rsidRDefault="00054151">
      <w:pPr>
        <w:pStyle w:val="BodyText"/>
        <w:rPr>
          <w:b/>
          <w:sz w:val="20"/>
        </w:rPr>
      </w:pPr>
    </w:p>
    <w:p w14:paraId="205C69F1" w14:textId="77777777" w:rsidR="00054151" w:rsidRDefault="00054151">
      <w:pPr>
        <w:pStyle w:val="BodyText"/>
        <w:rPr>
          <w:b/>
          <w:sz w:val="20"/>
        </w:rPr>
      </w:pPr>
    </w:p>
    <w:p w14:paraId="205C69F2" w14:textId="6A4A2724" w:rsidR="00054151" w:rsidRDefault="00124F87">
      <w:pPr>
        <w:pStyle w:val="BodyText"/>
        <w:spacing w:before="10"/>
        <w:rPr>
          <w:b/>
          <w:sz w:val="14"/>
        </w:rPr>
      </w:pPr>
      <w:r>
        <w:rPr>
          <w:noProof/>
        </w:rPr>
        <mc:AlternateContent>
          <mc:Choice Requires="wps">
            <w:drawing>
              <wp:anchor distT="0" distB="0" distL="0" distR="0" simplePos="0" relativeHeight="251658240" behindDoc="1" locked="0" layoutInCell="1" allowOverlap="1" wp14:anchorId="205C6A46" wp14:editId="0163BCAF">
                <wp:simplePos x="0" y="0"/>
                <wp:positionH relativeFrom="page">
                  <wp:posOffset>896620</wp:posOffset>
                </wp:positionH>
                <wp:positionV relativeFrom="paragraph">
                  <wp:posOffset>149225</wp:posOffset>
                </wp:positionV>
                <wp:extent cx="5769610" cy="1270"/>
                <wp:effectExtent l="0" t="0" r="0" b="0"/>
                <wp:wrapTopAndBottom/>
                <wp:docPr id="6"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
                        </a:xfrm>
                        <a:custGeom>
                          <a:avLst/>
                          <a:gdLst>
                            <a:gd name="T0" fmla="+- 0 1412 1412"/>
                            <a:gd name="T1" fmla="*/ T0 w 9086"/>
                            <a:gd name="T2" fmla="+- 0 10497 1412"/>
                            <a:gd name="T3" fmla="*/ T2 w 9086"/>
                          </a:gdLst>
                          <a:ahLst/>
                          <a:cxnLst>
                            <a:cxn ang="0">
                              <a:pos x="T1" y="0"/>
                            </a:cxn>
                            <a:cxn ang="0">
                              <a:pos x="T3" y="0"/>
                            </a:cxn>
                          </a:cxnLst>
                          <a:rect l="0" t="0" r="r" b="b"/>
                          <a:pathLst>
                            <a:path w="9086">
                              <a:moveTo>
                                <a:pt x="0" y="0"/>
                              </a:moveTo>
                              <a:lnTo>
                                <a:pt x="9085"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A46FF" id="Freeform: Shape 1" o:spid="_x0000_s1026" style="position:absolute;margin-left:70.6pt;margin-top:11.75pt;width:454.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" path="m,l9085,e" filled="f" strokeweight="1.44pt">
                <v:path arrowok="t" o:connecttype="custom" o:connectlocs="0,0;5768975,0" o:connectangles="0,0"/>
                <w10:wrap type="topAndBottom" anchorx="page"/>
              </v:shape>
            </w:pict>
          </mc:Fallback>
        </mc:AlternateContent>
      </w:r>
    </w:p>
    <w:p w14:paraId="205C69F4" w14:textId="0605A122" w:rsidR="00054151" w:rsidRDefault="005D3EA1">
      <w:pPr>
        <w:spacing w:line="506" w:lineRule="exact"/>
        <w:rPr>
          <w:sz w:val="44"/>
        </w:rPr>
        <w:sectPr w:rsidR="00054151">
          <w:headerReference w:type="default" r:id="rId10"/>
          <w:footerReference w:type="default" r:id="rId11"/>
          <w:type w:val="continuous"/>
          <w:pgSz w:w="11910" w:h="16840"/>
          <w:pgMar w:top="1560" w:right="1360" w:bottom="880" w:left="1300" w:header="650" w:footer="680" w:gutter="0"/>
          <w:pgNumType w:start="1"/>
          <w:cols w:space="720"/>
        </w:sectPr>
      </w:pPr>
      <w:r>
        <w:rPr>
          <w:sz w:val="44"/>
        </w:rPr>
        <w:t>R</w:t>
      </w:r>
      <w:r w:rsidR="00CE6D7E">
        <w:rPr>
          <w:sz w:val="44"/>
        </w:rPr>
        <w:t xml:space="preserve">eviewed </w:t>
      </w:r>
      <w:r w:rsidR="007F15AB">
        <w:rPr>
          <w:sz w:val="44"/>
        </w:rPr>
        <w:t>May 202</w:t>
      </w:r>
      <w:r w:rsidR="008854EE">
        <w:rPr>
          <w:sz w:val="44"/>
        </w:rPr>
        <w:t>4</w:t>
      </w:r>
    </w:p>
    <w:p w14:paraId="4E38315E" w14:textId="5CCAC7A0" w:rsidR="002C1D62" w:rsidRDefault="00920C1D" w:rsidP="002C1D62">
      <w:pPr>
        <w:spacing w:before="187"/>
        <w:rPr>
          <w:b/>
          <w:sz w:val="24"/>
        </w:rPr>
      </w:pPr>
      <w:r>
        <w:rPr>
          <w:b/>
          <w:sz w:val="24"/>
        </w:rPr>
        <w:lastRenderedPageBreak/>
        <w:t>Statement</w:t>
      </w:r>
    </w:p>
    <w:p w14:paraId="205C69F8" w14:textId="100F0455" w:rsidR="00054151" w:rsidRDefault="00920C1D" w:rsidP="005824C8">
      <w:pPr>
        <w:pStyle w:val="BodyText"/>
        <w:ind w:right="448"/>
      </w:pPr>
      <w:r>
        <w:t>The University of Greenwich recognises that disabled students are an integral part of the academic community. We are committed to promoting full participation for disabled students in all aspects of the academic and social life of the University of Greenwich.</w:t>
      </w:r>
    </w:p>
    <w:p w14:paraId="2B25E541" w14:textId="77777777" w:rsidR="00E31443" w:rsidRDefault="00E31443">
      <w:pPr>
        <w:pStyle w:val="BodyText"/>
        <w:ind w:left="140" w:right="448"/>
      </w:pPr>
    </w:p>
    <w:p w14:paraId="227AADF6" w14:textId="39F0AA17" w:rsidR="00E31443" w:rsidRPr="00301EE3" w:rsidRDefault="00E31443" w:rsidP="00E31443">
      <w:pPr>
        <w:pStyle w:val="NormalWeb"/>
        <w:shd w:val="clear" w:color="auto" w:fill="FFFFFF"/>
        <w:spacing w:before="0" w:beforeAutospacing="0" w:after="225" w:afterAutospacing="0"/>
        <w:rPr>
          <w:rFonts w:ascii="Calibri" w:eastAsia="Calibri" w:hAnsi="Calibri" w:cs="Calibri"/>
          <w:lang w:bidi="en-GB"/>
        </w:rPr>
      </w:pPr>
      <w:r w:rsidRPr="00301EE3">
        <w:rPr>
          <w:rFonts w:ascii="Calibri" w:eastAsia="Calibri" w:hAnsi="Calibri" w:cs="Calibri"/>
          <w:lang w:bidi="en-GB"/>
        </w:rPr>
        <w:t xml:space="preserve">Where disabled students are placed at a substantial disadvantage by a provision, criterion or practice, the absence of an auxiliary aid or a physical feature, the </w:t>
      </w:r>
      <w:r w:rsidR="00427C87">
        <w:rPr>
          <w:rFonts w:ascii="Calibri" w:eastAsia="Calibri" w:hAnsi="Calibri" w:cs="Calibri"/>
          <w:lang w:bidi="en-GB"/>
        </w:rPr>
        <w:t>University will</w:t>
      </w:r>
      <w:r w:rsidRPr="00301EE3">
        <w:rPr>
          <w:rFonts w:ascii="Calibri" w:eastAsia="Calibri" w:hAnsi="Calibri" w:cs="Calibri"/>
          <w:lang w:bidi="en-GB"/>
        </w:rPr>
        <w:t xml:space="preserve"> consider whether any reasonable adjustment</w:t>
      </w:r>
      <w:r w:rsidR="00427C87">
        <w:rPr>
          <w:rFonts w:ascii="Calibri" w:eastAsia="Calibri" w:hAnsi="Calibri" w:cs="Calibri"/>
          <w:lang w:bidi="en-GB"/>
        </w:rPr>
        <w:t>s</w:t>
      </w:r>
      <w:r w:rsidRPr="00301EE3">
        <w:rPr>
          <w:rFonts w:ascii="Calibri" w:eastAsia="Calibri" w:hAnsi="Calibri" w:cs="Calibri"/>
          <w:lang w:bidi="en-GB"/>
        </w:rPr>
        <w:t xml:space="preserve"> can be made to overcome that disadvantage.</w:t>
      </w:r>
    </w:p>
    <w:p w14:paraId="73BC98C9" w14:textId="6A593537" w:rsidR="00262DD5" w:rsidRPr="005824C8" w:rsidRDefault="00262DD5" w:rsidP="005824C8">
      <w:pPr>
        <w:pStyle w:val="BodyText"/>
        <w:ind w:right="448"/>
      </w:pPr>
      <w:r w:rsidRPr="005824C8">
        <w:t>When deciding whether an adjustment is reasonable</w:t>
      </w:r>
      <w:r w:rsidR="002C1D62">
        <w:t>,</w:t>
      </w:r>
      <w:r w:rsidRPr="005824C8">
        <w:t xml:space="preserve"> </w:t>
      </w:r>
      <w:r>
        <w:t>we will</w:t>
      </w:r>
      <w:r w:rsidRPr="005824C8">
        <w:t xml:space="preserve"> consider</w:t>
      </w:r>
      <w:r w:rsidR="00F03197">
        <w:t xml:space="preserve"> factors including</w:t>
      </w:r>
      <w:r w:rsidRPr="005824C8">
        <w:t>: </w:t>
      </w:r>
    </w:p>
    <w:p w14:paraId="7ABB470A" w14:textId="77777777" w:rsidR="00262DD5" w:rsidRDefault="00262DD5" w:rsidP="00262DD5">
      <w:pPr>
        <w:pStyle w:val="BodyText"/>
        <w:ind w:left="140" w:right="448"/>
      </w:pPr>
    </w:p>
    <w:p w14:paraId="253E3BF3" w14:textId="0E036609" w:rsidR="00262DD5" w:rsidRPr="005824C8" w:rsidRDefault="00262DD5" w:rsidP="005824C8">
      <w:pPr>
        <w:pStyle w:val="BodyText"/>
        <w:numPr>
          <w:ilvl w:val="0"/>
          <w:numId w:val="4"/>
        </w:numPr>
        <w:ind w:right="448"/>
      </w:pPr>
      <w:r w:rsidRPr="005824C8">
        <w:t>how effective the change will be in avoiding the disadvantage the disabled </w:t>
      </w:r>
      <w:r>
        <w:t>student</w:t>
      </w:r>
      <w:r w:rsidRPr="005824C8">
        <w:t xml:space="preserve"> would otherwise experience</w:t>
      </w:r>
    </w:p>
    <w:p w14:paraId="5F8EA687" w14:textId="748499CD" w:rsidR="00262DD5" w:rsidRPr="005824C8" w:rsidRDefault="00262DD5" w:rsidP="005824C8">
      <w:pPr>
        <w:pStyle w:val="BodyText"/>
        <w:numPr>
          <w:ilvl w:val="0"/>
          <w:numId w:val="4"/>
        </w:numPr>
        <w:ind w:right="448"/>
      </w:pPr>
      <w:r w:rsidRPr="005824C8">
        <w:t>its practicality</w:t>
      </w:r>
      <w:r w:rsidR="00D90E04">
        <w:t xml:space="preserve">, including </w:t>
      </w:r>
      <w:r w:rsidR="006F7D3F">
        <w:t>any</w:t>
      </w:r>
      <w:r w:rsidR="00D90E04">
        <w:t xml:space="preserve"> impact on other people’s health and safety</w:t>
      </w:r>
    </w:p>
    <w:p w14:paraId="7E976D4B" w14:textId="77777777" w:rsidR="00262DD5" w:rsidRPr="005824C8" w:rsidRDefault="00262DD5" w:rsidP="005824C8">
      <w:pPr>
        <w:pStyle w:val="BodyText"/>
        <w:numPr>
          <w:ilvl w:val="0"/>
          <w:numId w:val="4"/>
        </w:numPr>
        <w:ind w:right="448"/>
      </w:pPr>
      <w:r w:rsidRPr="005824C8">
        <w:t>the cost</w:t>
      </w:r>
    </w:p>
    <w:p w14:paraId="1248D7CD" w14:textId="5D598B6F" w:rsidR="00262DD5" w:rsidRPr="005824C8" w:rsidRDefault="00262DD5" w:rsidP="005824C8">
      <w:pPr>
        <w:pStyle w:val="BodyText"/>
        <w:numPr>
          <w:ilvl w:val="0"/>
          <w:numId w:val="4"/>
        </w:numPr>
        <w:ind w:right="448"/>
      </w:pPr>
      <w:r>
        <w:t>the University’s</w:t>
      </w:r>
      <w:r w:rsidRPr="005824C8">
        <w:t xml:space="preserve"> resources and size</w:t>
      </w:r>
    </w:p>
    <w:p w14:paraId="0F8B8933" w14:textId="77777777" w:rsidR="00262DD5" w:rsidRPr="005824C8" w:rsidRDefault="00262DD5" w:rsidP="005824C8">
      <w:pPr>
        <w:pStyle w:val="BodyText"/>
        <w:numPr>
          <w:ilvl w:val="0"/>
          <w:numId w:val="4"/>
        </w:numPr>
        <w:ind w:right="448"/>
      </w:pPr>
      <w:r w:rsidRPr="005824C8">
        <w:t>the availability of financial support</w:t>
      </w:r>
    </w:p>
    <w:p w14:paraId="205C69F9" w14:textId="77777777" w:rsidR="00054151" w:rsidRDefault="00054151">
      <w:pPr>
        <w:pStyle w:val="BodyText"/>
      </w:pPr>
    </w:p>
    <w:p w14:paraId="205C69FC" w14:textId="3D175410" w:rsidR="00054151" w:rsidRPr="002C1D62" w:rsidRDefault="00920C1D" w:rsidP="00095470">
      <w:pPr>
        <w:pStyle w:val="CommentText"/>
        <w:rPr>
          <w:sz w:val="24"/>
          <w:szCs w:val="24"/>
        </w:rPr>
      </w:pPr>
      <w:r w:rsidRPr="00095470">
        <w:rPr>
          <w:sz w:val="24"/>
          <w:szCs w:val="24"/>
        </w:rPr>
        <w:t>This framework is based on the</w:t>
      </w:r>
      <w:r w:rsidR="00415D56" w:rsidRPr="00095470">
        <w:rPr>
          <w:sz w:val="24"/>
          <w:szCs w:val="24"/>
        </w:rPr>
        <w:t xml:space="preserve"> </w:t>
      </w:r>
      <w:hyperlink r:id="rId12" w:history="1">
        <w:r w:rsidR="00415D56" w:rsidRPr="00890405">
          <w:rPr>
            <w:rStyle w:val="Hyperlink"/>
            <w:sz w:val="24"/>
            <w:szCs w:val="24"/>
          </w:rPr>
          <w:t>UK Quality Code for Higher Education</w:t>
        </w:r>
      </w:hyperlink>
      <w:r w:rsidR="00415D56" w:rsidRPr="00095470">
        <w:rPr>
          <w:sz w:val="24"/>
          <w:szCs w:val="24"/>
        </w:rPr>
        <w:t xml:space="preserve"> (20</w:t>
      </w:r>
      <w:r w:rsidR="00890405">
        <w:rPr>
          <w:sz w:val="24"/>
          <w:szCs w:val="24"/>
        </w:rPr>
        <w:t>23</w:t>
      </w:r>
      <w:r w:rsidR="00415D56" w:rsidRPr="00095470">
        <w:rPr>
          <w:sz w:val="24"/>
          <w:szCs w:val="24"/>
        </w:rPr>
        <w:t>, revised version)</w:t>
      </w:r>
      <w:r w:rsidRPr="00095470">
        <w:rPr>
          <w:sz w:val="24"/>
          <w:szCs w:val="24"/>
        </w:rPr>
        <w:t xml:space="preserve"> and the legal framework is the </w:t>
      </w:r>
      <w:hyperlink r:id="rId13" w:history="1">
        <w:r w:rsidRPr="001E685C">
          <w:rPr>
            <w:rStyle w:val="Hyperlink"/>
            <w:sz w:val="24"/>
            <w:szCs w:val="24"/>
          </w:rPr>
          <w:t>2010 Single Equality Act, Section 6, Disability</w:t>
        </w:r>
      </w:hyperlink>
      <w:r w:rsidRPr="00095470">
        <w:rPr>
          <w:sz w:val="24"/>
          <w:szCs w:val="24"/>
        </w:rPr>
        <w:t xml:space="preserve"> </w:t>
      </w:r>
      <w:r w:rsidR="001E685C">
        <w:rPr>
          <w:sz w:val="24"/>
          <w:szCs w:val="24"/>
        </w:rPr>
        <w:t xml:space="preserve">and </w:t>
      </w:r>
      <w:r w:rsidR="00F03197" w:rsidRPr="002C1D62">
        <w:rPr>
          <w:sz w:val="24"/>
          <w:szCs w:val="24"/>
        </w:rPr>
        <w:t>may be updated to refer to new or additional guidance.</w:t>
      </w:r>
    </w:p>
    <w:p w14:paraId="205C69FD" w14:textId="77777777" w:rsidR="00054151" w:rsidRDefault="00054151">
      <w:pPr>
        <w:pStyle w:val="BodyText"/>
        <w:rPr>
          <w:sz w:val="20"/>
        </w:rPr>
      </w:pPr>
    </w:p>
    <w:p w14:paraId="205C69FE" w14:textId="77777777" w:rsidR="00054151" w:rsidRDefault="00054151">
      <w:pPr>
        <w:pStyle w:val="BodyText"/>
        <w:spacing w:before="10"/>
        <w:rPr>
          <w:sz w:val="23"/>
        </w:rPr>
      </w:pPr>
    </w:p>
    <w:p w14:paraId="205C69FF" w14:textId="77777777" w:rsidR="00054151" w:rsidRPr="008854EE" w:rsidRDefault="00920C1D">
      <w:pPr>
        <w:pStyle w:val="ListParagraph"/>
        <w:numPr>
          <w:ilvl w:val="0"/>
          <w:numId w:val="2"/>
        </w:numPr>
        <w:tabs>
          <w:tab w:val="left" w:pos="860"/>
          <w:tab w:val="left" w:pos="861"/>
        </w:tabs>
        <w:spacing w:before="51"/>
        <w:ind w:hanging="721"/>
        <w:rPr>
          <w:b/>
          <w:bCs/>
          <w:sz w:val="24"/>
        </w:rPr>
      </w:pPr>
      <w:r w:rsidRPr="008854EE">
        <w:rPr>
          <w:b/>
          <w:bCs/>
          <w:sz w:val="24"/>
        </w:rPr>
        <w:t>Environment/physical</w:t>
      </w:r>
      <w:r w:rsidRPr="008854EE">
        <w:rPr>
          <w:b/>
          <w:bCs/>
          <w:spacing w:val="-1"/>
          <w:sz w:val="24"/>
        </w:rPr>
        <w:t xml:space="preserve"> </w:t>
      </w:r>
      <w:r w:rsidRPr="008854EE">
        <w:rPr>
          <w:b/>
          <w:bCs/>
          <w:sz w:val="24"/>
        </w:rPr>
        <w:t>access</w:t>
      </w:r>
    </w:p>
    <w:p w14:paraId="205C6A00" w14:textId="77777777" w:rsidR="00054151" w:rsidRDefault="00054151">
      <w:pPr>
        <w:pStyle w:val="BodyText"/>
      </w:pPr>
    </w:p>
    <w:p w14:paraId="205C6A01" w14:textId="4DEA370E" w:rsidR="00054151" w:rsidRDefault="00920C1D">
      <w:pPr>
        <w:pStyle w:val="BodyText"/>
        <w:ind w:left="860" w:right="126"/>
      </w:pPr>
      <w:r>
        <w:t xml:space="preserve">The University is committed to ensuring good physical access to all buildings. We are a multi-site </w:t>
      </w:r>
      <w:r w:rsidR="000E5A74">
        <w:t>U</w:t>
      </w:r>
      <w:r>
        <w:t xml:space="preserve">niversity with premises that vary considerably in age and accessibility. Where physical or sensory barriers limit access to services, we will endeavour to provide the </w:t>
      </w:r>
      <w:r w:rsidR="006F7D3F">
        <w:t xml:space="preserve">equivalent quality of </w:t>
      </w:r>
      <w:r>
        <w:t>service at a suitable alternative venue</w:t>
      </w:r>
      <w:r w:rsidR="006F7D3F">
        <w:t xml:space="preserve"> or in another way</w:t>
      </w:r>
      <w:r>
        <w:t>.</w:t>
      </w:r>
    </w:p>
    <w:p w14:paraId="205C6A02" w14:textId="77777777" w:rsidR="00054151" w:rsidRDefault="00054151">
      <w:pPr>
        <w:pStyle w:val="BodyText"/>
      </w:pPr>
    </w:p>
    <w:p w14:paraId="205C6A03" w14:textId="77777777" w:rsidR="00054151" w:rsidRDefault="00054151">
      <w:pPr>
        <w:pStyle w:val="BodyText"/>
        <w:spacing w:before="11"/>
        <w:rPr>
          <w:sz w:val="23"/>
        </w:rPr>
      </w:pPr>
    </w:p>
    <w:p w14:paraId="205C6A04" w14:textId="77777777" w:rsidR="00054151" w:rsidRPr="008854EE" w:rsidRDefault="00920C1D">
      <w:pPr>
        <w:pStyle w:val="ListParagraph"/>
        <w:numPr>
          <w:ilvl w:val="0"/>
          <w:numId w:val="2"/>
        </w:numPr>
        <w:tabs>
          <w:tab w:val="left" w:pos="860"/>
          <w:tab w:val="left" w:pos="861"/>
        </w:tabs>
        <w:ind w:hanging="721"/>
        <w:rPr>
          <w:b/>
          <w:bCs/>
          <w:sz w:val="24"/>
        </w:rPr>
      </w:pPr>
      <w:r w:rsidRPr="008854EE">
        <w:rPr>
          <w:b/>
          <w:bCs/>
          <w:sz w:val="24"/>
        </w:rPr>
        <w:t>Information for applicants, students and</w:t>
      </w:r>
      <w:r w:rsidRPr="008854EE">
        <w:rPr>
          <w:b/>
          <w:bCs/>
          <w:spacing w:val="-2"/>
          <w:sz w:val="24"/>
        </w:rPr>
        <w:t xml:space="preserve"> </w:t>
      </w:r>
      <w:r w:rsidRPr="008854EE">
        <w:rPr>
          <w:b/>
          <w:bCs/>
          <w:sz w:val="24"/>
        </w:rPr>
        <w:t>staff</w:t>
      </w:r>
    </w:p>
    <w:p w14:paraId="205C6A05" w14:textId="77777777" w:rsidR="00054151" w:rsidRDefault="00054151">
      <w:pPr>
        <w:pStyle w:val="BodyText"/>
        <w:spacing w:before="2"/>
      </w:pPr>
    </w:p>
    <w:p w14:paraId="205C6A06" w14:textId="527C20E3" w:rsidR="00054151" w:rsidRDefault="00920C1D">
      <w:pPr>
        <w:pStyle w:val="BodyText"/>
        <w:ind w:left="860" w:right="88"/>
      </w:pPr>
      <w:r>
        <w:t>All information for applicants, students and staff will be available in accessible formats with sufficient time to allow for modification into alternative formats, where necessary and by request.</w:t>
      </w:r>
      <w:r w:rsidR="001D681E">
        <w:t xml:space="preserve"> </w:t>
      </w:r>
    </w:p>
    <w:p w14:paraId="7F0697A0" w14:textId="3AF3DC4C" w:rsidR="00AC599B" w:rsidRDefault="00AC599B">
      <w:pPr>
        <w:pStyle w:val="BodyText"/>
        <w:ind w:left="860" w:right="88"/>
      </w:pPr>
    </w:p>
    <w:p w14:paraId="38571D29" w14:textId="4F998A09" w:rsidR="00AC599B" w:rsidRDefault="00AC599B">
      <w:pPr>
        <w:pStyle w:val="BodyText"/>
        <w:ind w:left="860" w:right="88"/>
      </w:pPr>
      <w:r w:rsidRPr="00AC599B">
        <w:t>The University of Greenwich is committed to making</w:t>
      </w:r>
      <w:r w:rsidR="004F0A9C">
        <w:t xml:space="preserve"> online information </w:t>
      </w:r>
      <w:r w:rsidRPr="00AC599B">
        <w:t xml:space="preserve">accessible, in accordance with the Public Sector Bodies </w:t>
      </w:r>
      <w:r w:rsidR="005447B3">
        <w:t xml:space="preserve">Web </w:t>
      </w:r>
      <w:r w:rsidR="008C676A">
        <w:t xml:space="preserve">Content </w:t>
      </w:r>
      <w:r w:rsidR="005447B3">
        <w:t>Access</w:t>
      </w:r>
      <w:r w:rsidR="008C676A">
        <w:t xml:space="preserve">ibility Guidelines </w:t>
      </w:r>
      <w:r w:rsidR="00253826">
        <w:t>(WCAG, 20</w:t>
      </w:r>
      <w:r w:rsidR="00460E76">
        <w:t>22</w:t>
      </w:r>
      <w:r w:rsidR="00253826">
        <w:t>).</w:t>
      </w:r>
    </w:p>
    <w:p w14:paraId="205C6A07" w14:textId="0E9ED7EE" w:rsidR="00054151" w:rsidRDefault="00054151">
      <w:pPr>
        <w:pStyle w:val="BodyText"/>
      </w:pPr>
    </w:p>
    <w:p w14:paraId="7ECE7A6F" w14:textId="2D4EF8DE" w:rsidR="002C1D62" w:rsidRDefault="002C1D62">
      <w:pPr>
        <w:pStyle w:val="BodyText"/>
      </w:pPr>
    </w:p>
    <w:p w14:paraId="49AE1BE3" w14:textId="3770B8FE" w:rsidR="000E5A74" w:rsidRDefault="000E5A74">
      <w:pPr>
        <w:pStyle w:val="BodyText"/>
      </w:pPr>
    </w:p>
    <w:p w14:paraId="7A75C6D4" w14:textId="77777777" w:rsidR="000E5A74" w:rsidRDefault="000E5A74">
      <w:pPr>
        <w:pStyle w:val="BodyText"/>
      </w:pPr>
    </w:p>
    <w:p w14:paraId="5DCAF746" w14:textId="4E7D1C15" w:rsidR="002C1D62" w:rsidRDefault="002C1D62">
      <w:pPr>
        <w:pStyle w:val="BodyText"/>
      </w:pPr>
    </w:p>
    <w:p w14:paraId="30AB41CC" w14:textId="77777777" w:rsidR="002C1D62" w:rsidRDefault="002C1D62">
      <w:pPr>
        <w:pStyle w:val="BodyText"/>
      </w:pPr>
    </w:p>
    <w:p w14:paraId="205C6A08" w14:textId="77777777" w:rsidR="00054151" w:rsidRPr="008854EE" w:rsidRDefault="00920C1D">
      <w:pPr>
        <w:pStyle w:val="ListParagraph"/>
        <w:numPr>
          <w:ilvl w:val="0"/>
          <w:numId w:val="2"/>
        </w:numPr>
        <w:tabs>
          <w:tab w:val="left" w:pos="860"/>
          <w:tab w:val="left" w:pos="861"/>
        </w:tabs>
        <w:ind w:hanging="721"/>
        <w:rPr>
          <w:b/>
          <w:bCs/>
          <w:sz w:val="24"/>
        </w:rPr>
      </w:pPr>
      <w:r w:rsidRPr="008854EE">
        <w:rPr>
          <w:b/>
          <w:bCs/>
          <w:sz w:val="24"/>
        </w:rPr>
        <w:lastRenderedPageBreak/>
        <w:t>Recruitment and</w:t>
      </w:r>
      <w:r w:rsidRPr="008854EE">
        <w:rPr>
          <w:b/>
          <w:bCs/>
          <w:spacing w:val="-1"/>
          <w:sz w:val="24"/>
        </w:rPr>
        <w:t xml:space="preserve"> </w:t>
      </w:r>
      <w:r w:rsidRPr="008854EE">
        <w:rPr>
          <w:b/>
          <w:bCs/>
          <w:sz w:val="24"/>
        </w:rPr>
        <w:t>Admissions</w:t>
      </w:r>
    </w:p>
    <w:p w14:paraId="1651B8F8" w14:textId="77777777" w:rsidR="008319E7" w:rsidRDefault="008319E7">
      <w:pPr>
        <w:pStyle w:val="BodyText"/>
        <w:ind w:left="860"/>
      </w:pPr>
    </w:p>
    <w:p w14:paraId="205C6A0A" w14:textId="388E1CA5" w:rsidR="00054151" w:rsidRDefault="00CA147D">
      <w:pPr>
        <w:pStyle w:val="BodyText"/>
        <w:ind w:left="860"/>
      </w:pPr>
      <w:r w:rsidRPr="00053F61">
        <w:t xml:space="preserve">The </w:t>
      </w:r>
      <w:r w:rsidR="00D978D7" w:rsidRPr="00053F61">
        <w:t>Admissions</w:t>
      </w:r>
      <w:r w:rsidRPr="00053F61">
        <w:t xml:space="preserve"> team ensure that when </w:t>
      </w:r>
      <w:r w:rsidR="00920C1D" w:rsidRPr="00053F61">
        <w:t xml:space="preserve">selecting </w:t>
      </w:r>
      <w:r w:rsidR="0051091D" w:rsidRPr="00053F61">
        <w:t>students, equitable</w:t>
      </w:r>
      <w:r w:rsidR="00920C1D" w:rsidRPr="00053F61">
        <w:t xml:space="preserve"> consideration </w:t>
      </w:r>
      <w:r w:rsidR="00D978D7" w:rsidRPr="00053F61">
        <w:t xml:space="preserve">is given to all </w:t>
      </w:r>
      <w:r w:rsidR="00920C1D" w:rsidRPr="00053F61">
        <w:t>applicants.</w:t>
      </w:r>
    </w:p>
    <w:p w14:paraId="205C6A0B" w14:textId="77777777" w:rsidR="00054151" w:rsidRDefault="00054151">
      <w:pPr>
        <w:pStyle w:val="BodyText"/>
        <w:spacing w:before="11"/>
        <w:rPr>
          <w:sz w:val="23"/>
        </w:rPr>
      </w:pPr>
    </w:p>
    <w:p w14:paraId="205C6A0C" w14:textId="663F1879" w:rsidR="00054151" w:rsidRDefault="00920C1D">
      <w:pPr>
        <w:pStyle w:val="BodyText"/>
        <w:spacing w:before="1"/>
        <w:ind w:left="860" w:right="108"/>
      </w:pPr>
      <w:r>
        <w:t xml:space="preserve">We will enable students to </w:t>
      </w:r>
      <w:r w:rsidR="00366CDE">
        <w:t>share</w:t>
      </w:r>
      <w:r>
        <w:t xml:space="preserve"> and discuss their support needs, offer them a professional assessment of their study support requirements and seek to meet those requirements within a reasonable period of time. To facilitate this process, potential students who apply through UCAS, or directly, are asked to </w:t>
      </w:r>
      <w:r w:rsidR="00366CDE">
        <w:t>share</w:t>
      </w:r>
      <w:r>
        <w:t xml:space="preserve"> their disability on their application and outline any support needs. Where appropriate, applicants are encouraged to visit the campus where they will study to satisfy themselves that their needs can be met. This is particularly important when students are engaged on courses involving field trips, laboratory activities, etc. and to meet health and safety requirements including evacuation</w:t>
      </w:r>
      <w:r>
        <w:rPr>
          <w:spacing w:val="-3"/>
        </w:rPr>
        <w:t xml:space="preserve"> </w:t>
      </w:r>
      <w:r>
        <w:t>procedures.</w:t>
      </w:r>
      <w:r w:rsidR="008C4945">
        <w:t xml:space="preserve"> </w:t>
      </w:r>
      <w:r w:rsidR="0051091D" w:rsidRPr="00053F61">
        <w:t>Visits</w:t>
      </w:r>
      <w:r w:rsidR="008C4945" w:rsidRPr="00053F61">
        <w:t xml:space="preserve"> can be arranged with the Student Wellbeing Service on </w:t>
      </w:r>
      <w:hyperlink r:id="rId14" w:history="1">
        <w:r w:rsidR="008C4945" w:rsidRPr="00053F61">
          <w:rPr>
            <w:rStyle w:val="Hyperlink"/>
          </w:rPr>
          <w:t>wellbeing@gre.ac.uk</w:t>
        </w:r>
      </w:hyperlink>
      <w:r w:rsidR="008C4945" w:rsidRPr="00053F61">
        <w:t xml:space="preserve"> or 0208 331 7875.</w:t>
      </w:r>
    </w:p>
    <w:p w14:paraId="205C6A0D" w14:textId="77777777" w:rsidR="00054151" w:rsidRDefault="00054151">
      <w:pPr>
        <w:pStyle w:val="BodyText"/>
        <w:spacing w:before="1"/>
      </w:pPr>
    </w:p>
    <w:p w14:paraId="205C6A10" w14:textId="4E89917A" w:rsidR="00054151" w:rsidRPr="002C1D62" w:rsidRDefault="00920C1D" w:rsidP="002C1D62">
      <w:pPr>
        <w:pStyle w:val="BodyText"/>
        <w:ind w:left="860" w:right="330"/>
      </w:pPr>
      <w:r>
        <w:t>Students called to interview will be made aware of the procedures for advising the University of any access needs and for requesting reasonable adjustments in the</w:t>
      </w:r>
    </w:p>
    <w:p w14:paraId="205C6A11" w14:textId="5B4AA315" w:rsidR="00054151" w:rsidRDefault="00920C1D">
      <w:pPr>
        <w:pStyle w:val="BodyText"/>
        <w:spacing w:before="52"/>
        <w:ind w:left="860"/>
      </w:pPr>
      <w:r>
        <w:t>interview/selection process.</w:t>
      </w:r>
      <w:r w:rsidR="000D3862">
        <w:t xml:space="preserve"> </w:t>
      </w:r>
    </w:p>
    <w:p w14:paraId="595F4BBF" w14:textId="37E9C68A" w:rsidR="000D3862" w:rsidRDefault="000D3862">
      <w:pPr>
        <w:pStyle w:val="BodyText"/>
        <w:spacing w:before="52"/>
        <w:ind w:left="860"/>
      </w:pPr>
    </w:p>
    <w:p w14:paraId="205C6A13" w14:textId="0B3A98C0" w:rsidR="00054151" w:rsidRDefault="00920C1D">
      <w:pPr>
        <w:pStyle w:val="BodyText"/>
        <w:ind w:left="860" w:right="106"/>
      </w:pPr>
      <w:r>
        <w:t xml:space="preserve">In order to provide appropriate support and guidance to enable students to benefit fully from their time at university, both academically and socially, we need to </w:t>
      </w:r>
      <w:r w:rsidR="002C1D62">
        <w:t xml:space="preserve">know </w:t>
      </w:r>
      <w:r w:rsidR="002C1D62">
        <w:rPr>
          <w:spacing w:val="-39"/>
        </w:rPr>
        <w:t>if</w:t>
      </w:r>
      <w:r>
        <w:t xml:space="preserve"> a student has a disability. Applicants will therefore be asked to </w:t>
      </w:r>
      <w:r w:rsidR="00EC1BE2">
        <w:t>share</w:t>
      </w:r>
      <w:r>
        <w:t xml:space="preserve"> this information at admissions and to take responsibility for ensuring that they apply for the Disabled Student</w:t>
      </w:r>
      <w:r w:rsidR="00C75EA3">
        <w:t>s’</w:t>
      </w:r>
      <w:r>
        <w:t xml:space="preserve"> Allowance</w:t>
      </w:r>
      <w:r w:rsidR="00C75EA3">
        <w:t xml:space="preserve"> (DSA)</w:t>
      </w:r>
      <w:r>
        <w:t xml:space="preserve">, where appropriate, and make arrangements to </w:t>
      </w:r>
      <w:r w:rsidRPr="00ED0814">
        <w:t xml:space="preserve">access the support available to them from the </w:t>
      </w:r>
      <w:r w:rsidR="00BE6A9E" w:rsidRPr="00ED0814">
        <w:t>U</w:t>
      </w:r>
      <w:r w:rsidRPr="00ED0814">
        <w:t>niversity’s Student Wellbeing Service</w:t>
      </w:r>
      <w:r w:rsidR="003E3276" w:rsidRPr="00ED0814">
        <w:t xml:space="preserve">. </w:t>
      </w:r>
      <w:r w:rsidR="0022048E" w:rsidRPr="00ED0814">
        <w:t xml:space="preserve">Further information about the support provided can be accessed </w:t>
      </w:r>
      <w:r w:rsidR="00E93ACD" w:rsidRPr="00ED0814">
        <w:t>from</w:t>
      </w:r>
      <w:r w:rsidR="0022048E" w:rsidRPr="00ED0814">
        <w:t xml:space="preserve"> the </w:t>
      </w:r>
      <w:hyperlink r:id="rId15" w:history="1">
        <w:r w:rsidR="0022048E" w:rsidRPr="00C92D2B">
          <w:rPr>
            <w:rStyle w:val="Hyperlink"/>
          </w:rPr>
          <w:t>University’s website</w:t>
        </w:r>
      </w:hyperlink>
      <w:r w:rsidR="00C92D2B">
        <w:t>.</w:t>
      </w:r>
    </w:p>
    <w:p w14:paraId="205C6A14" w14:textId="77777777" w:rsidR="00054151" w:rsidRDefault="00054151">
      <w:pPr>
        <w:pStyle w:val="BodyText"/>
        <w:spacing w:before="1"/>
      </w:pPr>
    </w:p>
    <w:p w14:paraId="205C6A15" w14:textId="77777777" w:rsidR="00054151" w:rsidRDefault="00920C1D">
      <w:pPr>
        <w:pStyle w:val="BodyText"/>
        <w:ind w:left="860" w:right="336"/>
      </w:pPr>
      <w:r>
        <w:t>All applicants are considered equally on the basis of the academic requirements of the course.</w:t>
      </w:r>
    </w:p>
    <w:p w14:paraId="205C6A16" w14:textId="77777777" w:rsidR="00054151" w:rsidRDefault="00054151">
      <w:pPr>
        <w:pStyle w:val="BodyText"/>
      </w:pPr>
    </w:p>
    <w:p w14:paraId="205C6A17" w14:textId="77777777" w:rsidR="00054151" w:rsidRPr="00637AAD" w:rsidRDefault="00920C1D">
      <w:pPr>
        <w:pStyle w:val="BodyText"/>
        <w:ind w:left="860"/>
        <w:rPr>
          <w:b/>
          <w:bCs/>
        </w:rPr>
      </w:pPr>
      <w:r w:rsidRPr="00637AAD">
        <w:rPr>
          <w:b/>
          <w:bCs/>
        </w:rPr>
        <w:t>Deferrals</w:t>
      </w:r>
    </w:p>
    <w:p w14:paraId="205C6A18" w14:textId="77777777" w:rsidR="00054151" w:rsidRDefault="00054151">
      <w:pPr>
        <w:pStyle w:val="BodyText"/>
        <w:spacing w:before="12"/>
        <w:rPr>
          <w:sz w:val="23"/>
        </w:rPr>
      </w:pPr>
    </w:p>
    <w:p w14:paraId="205C6A19" w14:textId="77777777" w:rsidR="00054151" w:rsidRDefault="00920C1D">
      <w:pPr>
        <w:pStyle w:val="BodyText"/>
        <w:ind w:left="860" w:right="552"/>
      </w:pPr>
      <w:r>
        <w:t>Where it is not possible to make reasonable adjustments before the start of a course, the University will advise the student to defer taking up a place until any issues can be</w:t>
      </w:r>
      <w:r>
        <w:rPr>
          <w:spacing w:val="-3"/>
        </w:rPr>
        <w:t xml:space="preserve"> </w:t>
      </w:r>
      <w:r>
        <w:t>resolved.</w:t>
      </w:r>
    </w:p>
    <w:p w14:paraId="205C6A1A" w14:textId="77777777" w:rsidR="00054151" w:rsidRDefault="00054151">
      <w:pPr>
        <w:pStyle w:val="BodyText"/>
        <w:spacing w:before="11"/>
        <w:rPr>
          <w:sz w:val="23"/>
        </w:rPr>
      </w:pPr>
    </w:p>
    <w:p w14:paraId="205C6A1B" w14:textId="77777777" w:rsidR="00054151" w:rsidRPr="00637AAD" w:rsidRDefault="00920C1D">
      <w:pPr>
        <w:pStyle w:val="BodyText"/>
        <w:ind w:left="860"/>
        <w:rPr>
          <w:b/>
          <w:bCs/>
        </w:rPr>
      </w:pPr>
      <w:r w:rsidRPr="00637AAD">
        <w:rPr>
          <w:b/>
          <w:bCs/>
        </w:rPr>
        <w:t>Withdrawal of an</w:t>
      </w:r>
      <w:r w:rsidRPr="00637AAD">
        <w:rPr>
          <w:b/>
          <w:bCs/>
          <w:spacing w:val="-6"/>
        </w:rPr>
        <w:t xml:space="preserve"> </w:t>
      </w:r>
      <w:r w:rsidRPr="00637AAD">
        <w:rPr>
          <w:b/>
          <w:bCs/>
        </w:rPr>
        <w:t>offer</w:t>
      </w:r>
    </w:p>
    <w:p w14:paraId="205C6A1C" w14:textId="77777777" w:rsidR="00054151" w:rsidRDefault="00054151">
      <w:pPr>
        <w:pStyle w:val="BodyText"/>
        <w:spacing w:before="2"/>
      </w:pPr>
    </w:p>
    <w:p w14:paraId="205C6A1D" w14:textId="3EF8D5DC" w:rsidR="00054151" w:rsidRDefault="00920C1D">
      <w:pPr>
        <w:pStyle w:val="BodyText"/>
        <w:ind w:left="860" w:right="169"/>
      </w:pPr>
      <w:r>
        <w:t xml:space="preserve">In very exceptional circumstances it may be necessary to withdraw an offer of a place if, after due consideration, it has been concluded that no suitable adjustments can be made. </w:t>
      </w:r>
      <w:r w:rsidR="006F7D3F">
        <w:t xml:space="preserve">Examples of grounds </w:t>
      </w:r>
      <w:r>
        <w:t xml:space="preserve">on which an offer may be withdrawn </w:t>
      </w:r>
      <w:r w:rsidR="006F7D3F">
        <w:t>include</w:t>
      </w:r>
      <w:r>
        <w:t>:</w:t>
      </w:r>
    </w:p>
    <w:p w14:paraId="205C6A1E" w14:textId="77777777" w:rsidR="00054151" w:rsidRDefault="00054151">
      <w:pPr>
        <w:pStyle w:val="BodyText"/>
      </w:pPr>
    </w:p>
    <w:p w14:paraId="205C6A1F" w14:textId="77777777" w:rsidR="00054151" w:rsidRDefault="00920C1D">
      <w:pPr>
        <w:pStyle w:val="ListParagraph"/>
        <w:numPr>
          <w:ilvl w:val="0"/>
          <w:numId w:val="1"/>
        </w:numPr>
        <w:tabs>
          <w:tab w:val="left" w:pos="1580"/>
          <w:tab w:val="left" w:pos="1581"/>
        </w:tabs>
        <w:ind w:right="555"/>
        <w:rPr>
          <w:sz w:val="24"/>
        </w:rPr>
      </w:pPr>
      <w:r>
        <w:rPr>
          <w:sz w:val="24"/>
        </w:rPr>
        <w:t>There is a risk to health &amp; safety. Certain conditions may pose a Health &amp; Safety risk, particularly in laboratory settings, even where reasonable adjustments have been</w:t>
      </w:r>
      <w:r>
        <w:rPr>
          <w:spacing w:val="-7"/>
          <w:sz w:val="24"/>
        </w:rPr>
        <w:t xml:space="preserve"> </w:t>
      </w:r>
      <w:r>
        <w:rPr>
          <w:sz w:val="24"/>
        </w:rPr>
        <w:t>made.</w:t>
      </w:r>
    </w:p>
    <w:p w14:paraId="205C6A20" w14:textId="77777777" w:rsidR="00054151" w:rsidRDefault="00920C1D">
      <w:pPr>
        <w:pStyle w:val="ListParagraph"/>
        <w:numPr>
          <w:ilvl w:val="0"/>
          <w:numId w:val="1"/>
        </w:numPr>
        <w:tabs>
          <w:tab w:val="left" w:pos="1580"/>
          <w:tab w:val="left" w:pos="1581"/>
        </w:tabs>
        <w:ind w:hanging="721"/>
        <w:rPr>
          <w:sz w:val="24"/>
        </w:rPr>
      </w:pPr>
      <w:r>
        <w:rPr>
          <w:sz w:val="24"/>
        </w:rPr>
        <w:lastRenderedPageBreak/>
        <w:t>There is a need for specially adapted accommodation which cannot be</w:t>
      </w:r>
      <w:r>
        <w:rPr>
          <w:spacing w:val="-24"/>
          <w:sz w:val="24"/>
        </w:rPr>
        <w:t xml:space="preserve"> </w:t>
      </w:r>
      <w:r>
        <w:rPr>
          <w:sz w:val="24"/>
        </w:rPr>
        <w:t>met.</w:t>
      </w:r>
    </w:p>
    <w:p w14:paraId="205C6A21" w14:textId="77777777" w:rsidR="00054151" w:rsidRDefault="00920C1D">
      <w:pPr>
        <w:pStyle w:val="ListParagraph"/>
        <w:numPr>
          <w:ilvl w:val="0"/>
          <w:numId w:val="1"/>
        </w:numPr>
        <w:tabs>
          <w:tab w:val="left" w:pos="1580"/>
          <w:tab w:val="left" w:pos="1581"/>
        </w:tabs>
        <w:ind w:right="967"/>
        <w:rPr>
          <w:sz w:val="24"/>
        </w:rPr>
      </w:pPr>
      <w:r>
        <w:rPr>
          <w:sz w:val="24"/>
        </w:rPr>
        <w:t>There are physical access issues which cannot be resolved by making reasonable adjustments.</w:t>
      </w:r>
    </w:p>
    <w:p w14:paraId="205C6A22" w14:textId="77777777" w:rsidR="00054151" w:rsidRDefault="00920C1D">
      <w:pPr>
        <w:pStyle w:val="ListParagraph"/>
        <w:numPr>
          <w:ilvl w:val="0"/>
          <w:numId w:val="1"/>
        </w:numPr>
        <w:tabs>
          <w:tab w:val="left" w:pos="1580"/>
          <w:tab w:val="left" w:pos="1581"/>
        </w:tabs>
        <w:ind w:right="217"/>
        <w:rPr>
          <w:sz w:val="24"/>
        </w:rPr>
      </w:pPr>
      <w:r>
        <w:rPr>
          <w:sz w:val="24"/>
        </w:rPr>
        <w:t>The costs of providing support or making necessary adjustments would have a serious negative impact on the provision for other</w:t>
      </w:r>
      <w:r>
        <w:rPr>
          <w:spacing w:val="-12"/>
          <w:sz w:val="24"/>
        </w:rPr>
        <w:t xml:space="preserve"> </w:t>
      </w:r>
      <w:r>
        <w:rPr>
          <w:sz w:val="24"/>
        </w:rPr>
        <w:t>students.</w:t>
      </w:r>
    </w:p>
    <w:p w14:paraId="205C6A23" w14:textId="7BAF653D" w:rsidR="00054151" w:rsidRDefault="00054151">
      <w:pPr>
        <w:pStyle w:val="BodyText"/>
        <w:spacing w:before="11"/>
        <w:rPr>
          <w:sz w:val="23"/>
        </w:rPr>
      </w:pPr>
    </w:p>
    <w:p w14:paraId="30D661C2" w14:textId="77777777" w:rsidR="006B1DC5" w:rsidRDefault="006B1DC5" w:rsidP="006B1DC5">
      <w:pPr>
        <w:pStyle w:val="BodyText"/>
        <w:spacing w:before="52"/>
        <w:ind w:left="860"/>
      </w:pPr>
      <w:r>
        <w:t xml:space="preserve">For further information on recruitment and admissions, the University’s Admission Team can be contacted on: </w:t>
      </w:r>
      <w:hyperlink r:id="rId16" w:history="1">
        <w:r w:rsidRPr="00B275E8">
          <w:rPr>
            <w:rStyle w:val="Hyperlink"/>
          </w:rPr>
          <w:t>courseinfo@gre.ac.uk</w:t>
        </w:r>
      </w:hyperlink>
    </w:p>
    <w:p w14:paraId="12CBD5D1" w14:textId="77777777" w:rsidR="006B1DC5" w:rsidRDefault="006B1DC5" w:rsidP="006B1DC5">
      <w:pPr>
        <w:pStyle w:val="BodyText"/>
        <w:spacing w:before="11"/>
        <w:ind w:left="720"/>
        <w:rPr>
          <w:sz w:val="23"/>
        </w:rPr>
      </w:pPr>
    </w:p>
    <w:p w14:paraId="205C6A24" w14:textId="77777777" w:rsidR="00054151" w:rsidRPr="00637AAD" w:rsidRDefault="00920C1D">
      <w:pPr>
        <w:pStyle w:val="ListParagraph"/>
        <w:numPr>
          <w:ilvl w:val="0"/>
          <w:numId w:val="2"/>
        </w:numPr>
        <w:tabs>
          <w:tab w:val="left" w:pos="860"/>
          <w:tab w:val="left" w:pos="861"/>
        </w:tabs>
        <w:ind w:hanging="721"/>
        <w:rPr>
          <w:b/>
          <w:bCs/>
          <w:sz w:val="24"/>
        </w:rPr>
      </w:pPr>
      <w:r w:rsidRPr="00637AAD">
        <w:rPr>
          <w:b/>
          <w:bCs/>
          <w:sz w:val="24"/>
        </w:rPr>
        <w:t>Accommodation</w:t>
      </w:r>
    </w:p>
    <w:p w14:paraId="205C6A25" w14:textId="77777777" w:rsidR="00054151" w:rsidRPr="00914A6D" w:rsidRDefault="00054151">
      <w:pPr>
        <w:pStyle w:val="BodyText"/>
        <w:spacing w:before="2"/>
      </w:pPr>
    </w:p>
    <w:p w14:paraId="205C6A26" w14:textId="77777777" w:rsidR="00054151" w:rsidRPr="00914A6D" w:rsidRDefault="00920C1D">
      <w:pPr>
        <w:pStyle w:val="BodyText"/>
        <w:ind w:left="860" w:right="123"/>
      </w:pPr>
      <w:r w:rsidRPr="00914A6D">
        <w:t>The University of Greenwich aims to provide the best possible range and standard of accommodation to meet the needs of all our students, in halls.</w:t>
      </w:r>
    </w:p>
    <w:p w14:paraId="205C6A27" w14:textId="77777777" w:rsidR="00054151" w:rsidRPr="00914A6D" w:rsidRDefault="00054151">
      <w:pPr>
        <w:pStyle w:val="BodyText"/>
      </w:pPr>
    </w:p>
    <w:p w14:paraId="7ED3464E" w14:textId="5327DA94" w:rsidR="00CC081D" w:rsidRDefault="0025651E">
      <w:pPr>
        <w:pStyle w:val="BodyText"/>
        <w:ind w:left="860" w:right="154"/>
      </w:pPr>
      <w:r w:rsidRPr="00ED0814">
        <w:t xml:space="preserve">The </w:t>
      </w:r>
      <w:r w:rsidR="00FA09F5" w:rsidRPr="00ED0814">
        <w:t>University’s</w:t>
      </w:r>
      <w:r w:rsidRPr="00ED0814">
        <w:t xml:space="preserve"> </w:t>
      </w:r>
      <w:r w:rsidR="00FA09F5" w:rsidRPr="00ED0814">
        <w:t>Accommodation</w:t>
      </w:r>
      <w:r w:rsidRPr="00ED0814">
        <w:t xml:space="preserve"> </w:t>
      </w:r>
      <w:r w:rsidR="00FA09F5" w:rsidRPr="00ED0814">
        <w:t>Services</w:t>
      </w:r>
      <w:r w:rsidRPr="00ED0814">
        <w:t xml:space="preserve"> invite </w:t>
      </w:r>
      <w:r w:rsidR="00CC081D" w:rsidRPr="00ED0814">
        <w:t>application</w:t>
      </w:r>
      <w:r w:rsidR="008B2B50" w:rsidRPr="00ED0814">
        <w:t>s</w:t>
      </w:r>
      <w:r w:rsidR="00CC081D" w:rsidRPr="00ED0814">
        <w:t xml:space="preserve"> and booking for halls as soon as </w:t>
      </w:r>
      <w:r w:rsidR="008B2B50" w:rsidRPr="00ED0814">
        <w:t xml:space="preserve">applicants </w:t>
      </w:r>
      <w:r w:rsidR="00CC081D" w:rsidRPr="00ED0814">
        <w:t xml:space="preserve">have firmly accepted an offer of study at the </w:t>
      </w:r>
      <w:r w:rsidR="00FB1E0F">
        <w:t>U</w:t>
      </w:r>
      <w:r w:rsidR="00CC081D" w:rsidRPr="00ED0814">
        <w:t>niversity.</w:t>
      </w:r>
      <w:r w:rsidR="00CC081D" w:rsidRPr="00914A6D">
        <w:t xml:space="preserve"> Applicants are asked to </w:t>
      </w:r>
      <w:r w:rsidR="00057594" w:rsidRPr="00914A6D">
        <w:t>share</w:t>
      </w:r>
      <w:r w:rsidR="00CC081D" w:rsidRPr="00914A6D">
        <w:t xml:space="preserve"> any disability, medical or other requirements they may have that could impact where they live in hall</w:t>
      </w:r>
      <w:r w:rsidR="00057594" w:rsidRPr="00914A6D">
        <w:t>s</w:t>
      </w:r>
      <w:r w:rsidR="00CC081D" w:rsidRPr="00914A6D">
        <w:t xml:space="preserve">, on the application form. If an applicant has a disability and requires a specific room in hall, the Accommodation Service Staff will be alerted automatically when the application is made and will arrange the booking and make contact with the applicant and liaise with </w:t>
      </w:r>
      <w:r w:rsidR="00057594" w:rsidRPr="00914A6D">
        <w:t>Student Wellbeing Services</w:t>
      </w:r>
      <w:r w:rsidR="00CC081D" w:rsidRPr="00914A6D">
        <w:t xml:space="preserve"> to best ensure any reasonable adjustments that may be required are in place prior to arrival. </w:t>
      </w:r>
    </w:p>
    <w:p w14:paraId="7C831A80" w14:textId="77777777" w:rsidR="00006095" w:rsidRPr="00914A6D" w:rsidRDefault="00006095">
      <w:pPr>
        <w:pStyle w:val="BodyText"/>
        <w:ind w:left="860" w:right="154"/>
      </w:pPr>
    </w:p>
    <w:p w14:paraId="3E4D754A" w14:textId="6698510E" w:rsidR="00CC081D" w:rsidRDefault="00CC081D">
      <w:pPr>
        <w:pStyle w:val="BodyText"/>
        <w:ind w:left="860" w:right="154"/>
      </w:pPr>
      <w:r w:rsidRPr="00914A6D">
        <w:t xml:space="preserve">For students continuing in their studies, applications for halls open in February and any student requiring specific housing is invited to make a priority booking application so they can select their room before all students book. </w:t>
      </w:r>
    </w:p>
    <w:p w14:paraId="7C6A6218" w14:textId="77777777" w:rsidR="002C1D62" w:rsidRPr="00914A6D" w:rsidRDefault="002C1D62">
      <w:pPr>
        <w:pStyle w:val="BodyText"/>
        <w:ind w:left="860" w:right="154"/>
      </w:pPr>
    </w:p>
    <w:p w14:paraId="205C6A29" w14:textId="6764076F" w:rsidR="00054151" w:rsidRDefault="00CC081D">
      <w:pPr>
        <w:pStyle w:val="BodyText"/>
        <w:ind w:left="860" w:right="154"/>
      </w:pPr>
      <w:r w:rsidRPr="00ED0814">
        <w:t xml:space="preserve">If any advice or guidance is needed, please contact the Accommodation Service team at </w:t>
      </w:r>
      <w:hyperlink r:id="rId17" w:history="1">
        <w:r w:rsidRPr="00ED0814">
          <w:rPr>
            <w:rStyle w:val="Hyperlink"/>
          </w:rPr>
          <w:t>gr.accommodation@gre.ac.uk</w:t>
        </w:r>
      </w:hyperlink>
      <w:r w:rsidRPr="00914A6D">
        <w:t xml:space="preserve">  </w:t>
      </w:r>
    </w:p>
    <w:p w14:paraId="205C6A2B" w14:textId="77777777" w:rsidR="00054151" w:rsidRDefault="00054151">
      <w:pPr>
        <w:pStyle w:val="BodyText"/>
        <w:rPr>
          <w:sz w:val="20"/>
        </w:rPr>
      </w:pPr>
    </w:p>
    <w:p w14:paraId="205C6A2C" w14:textId="77777777" w:rsidR="00054151" w:rsidRPr="00637AAD" w:rsidRDefault="00920C1D">
      <w:pPr>
        <w:pStyle w:val="ListParagraph"/>
        <w:numPr>
          <w:ilvl w:val="0"/>
          <w:numId w:val="2"/>
        </w:numPr>
        <w:tabs>
          <w:tab w:val="left" w:pos="860"/>
          <w:tab w:val="left" w:pos="861"/>
        </w:tabs>
        <w:spacing w:before="211"/>
        <w:ind w:hanging="721"/>
        <w:rPr>
          <w:b/>
          <w:bCs/>
          <w:sz w:val="24"/>
        </w:rPr>
      </w:pPr>
      <w:r w:rsidRPr="00637AAD">
        <w:rPr>
          <w:b/>
          <w:bCs/>
          <w:sz w:val="24"/>
        </w:rPr>
        <w:t>Teaching &amp;</w:t>
      </w:r>
      <w:r w:rsidRPr="00637AAD">
        <w:rPr>
          <w:b/>
          <w:bCs/>
          <w:spacing w:val="-4"/>
          <w:sz w:val="24"/>
        </w:rPr>
        <w:t xml:space="preserve"> </w:t>
      </w:r>
      <w:r w:rsidRPr="00637AAD">
        <w:rPr>
          <w:b/>
          <w:bCs/>
          <w:sz w:val="24"/>
        </w:rPr>
        <w:t>Learning</w:t>
      </w:r>
    </w:p>
    <w:p w14:paraId="205C6A2D" w14:textId="77777777" w:rsidR="00054151" w:rsidRDefault="00054151">
      <w:pPr>
        <w:pStyle w:val="BodyText"/>
        <w:spacing w:before="11"/>
        <w:rPr>
          <w:sz w:val="23"/>
        </w:rPr>
      </w:pPr>
    </w:p>
    <w:p w14:paraId="205C6A32" w14:textId="1B1F4FD0" w:rsidR="00054151" w:rsidRDefault="00920C1D" w:rsidP="002C1D62">
      <w:pPr>
        <w:pStyle w:val="BodyText"/>
        <w:spacing w:line="278" w:lineRule="auto"/>
        <w:ind w:left="720" w:right="36"/>
      </w:pPr>
      <w:bookmarkStart w:id="0" w:name="_Hlk71882701"/>
      <w:r>
        <w:t xml:space="preserve">The </w:t>
      </w:r>
      <w:r w:rsidR="002C1D62">
        <w:t>U</w:t>
      </w:r>
      <w:r>
        <w:t xml:space="preserve">niversity’s </w:t>
      </w:r>
      <w:r w:rsidR="009F1C92">
        <w:rPr>
          <w:rFonts w:eastAsia="Times New Roman"/>
          <w:color w:val="000000"/>
          <w:sz w:val="22"/>
          <w:szCs w:val="22"/>
        </w:rPr>
        <w:t>Student Success Strategy</w:t>
      </w:r>
      <w:r w:rsidR="002A6462">
        <w:rPr>
          <w:rFonts w:eastAsia="Times New Roman"/>
          <w:color w:val="000000"/>
          <w:sz w:val="22"/>
          <w:szCs w:val="22"/>
        </w:rPr>
        <w:t xml:space="preserve"> 2030 and Assessment</w:t>
      </w:r>
      <w:r w:rsidR="009F1C92">
        <w:rPr>
          <w:rFonts w:eastAsia="Times New Roman"/>
          <w:color w:val="000000"/>
          <w:sz w:val="22"/>
          <w:szCs w:val="22"/>
        </w:rPr>
        <w:t xml:space="preserve"> &amp; Feedback Policy</w:t>
      </w:r>
      <w:bookmarkEnd w:id="0"/>
      <w:r w:rsidR="005C4931">
        <w:t xml:space="preserve"> outline </w:t>
      </w:r>
      <w:r>
        <w:t xml:space="preserve">the </w:t>
      </w:r>
      <w:r w:rsidR="002C1D62">
        <w:t>U</w:t>
      </w:r>
      <w:r>
        <w:t xml:space="preserve">niversity’s commitment to support </w:t>
      </w:r>
      <w:r w:rsidR="00936FBB">
        <w:t>inclusive</w:t>
      </w:r>
      <w:r>
        <w:t xml:space="preserve"> learning and teaching through the effective use of </w:t>
      </w:r>
      <w:r w:rsidR="00DD1A56">
        <w:t>digital</w:t>
      </w:r>
      <w:r>
        <w:t xml:space="preserve"> technologies to encourage and improve communication and networking and to ensure the development of skills and attributes of all students</w:t>
      </w:r>
      <w:r w:rsidR="00AD41CC">
        <w:t xml:space="preserve"> and staff. </w:t>
      </w:r>
    </w:p>
    <w:p w14:paraId="205C6A33" w14:textId="77777777" w:rsidR="00054151" w:rsidRDefault="00054151">
      <w:pPr>
        <w:pStyle w:val="BodyText"/>
        <w:spacing w:before="11"/>
        <w:rPr>
          <w:sz w:val="23"/>
        </w:rPr>
      </w:pPr>
    </w:p>
    <w:p w14:paraId="205C6A34" w14:textId="77777777" w:rsidR="00054151" w:rsidRDefault="00920C1D" w:rsidP="002C1D62">
      <w:pPr>
        <w:pStyle w:val="BodyText"/>
        <w:ind w:left="720" w:right="801"/>
      </w:pPr>
      <w:r>
        <w:t>Programme specifications are regularly reviewed to ensure they are inclusive, responsive to student needs and free of unnecessary barriers to access.</w:t>
      </w:r>
    </w:p>
    <w:p w14:paraId="205C6A35" w14:textId="77777777" w:rsidR="00054151" w:rsidRDefault="00054151">
      <w:pPr>
        <w:pStyle w:val="BodyText"/>
      </w:pPr>
    </w:p>
    <w:p w14:paraId="205C6A36" w14:textId="77777777" w:rsidR="00054151" w:rsidRDefault="00054151">
      <w:pPr>
        <w:pStyle w:val="BodyText"/>
        <w:spacing w:before="2"/>
      </w:pPr>
    </w:p>
    <w:p w14:paraId="205C6A37" w14:textId="77777777" w:rsidR="00054151" w:rsidRPr="006D0C01" w:rsidRDefault="00920C1D">
      <w:pPr>
        <w:pStyle w:val="ListParagraph"/>
        <w:numPr>
          <w:ilvl w:val="0"/>
          <w:numId w:val="2"/>
        </w:numPr>
        <w:tabs>
          <w:tab w:val="left" w:pos="860"/>
          <w:tab w:val="left" w:pos="861"/>
        </w:tabs>
        <w:ind w:hanging="721"/>
        <w:rPr>
          <w:b/>
          <w:bCs/>
          <w:sz w:val="24"/>
        </w:rPr>
      </w:pPr>
      <w:r w:rsidRPr="006D0C01">
        <w:rPr>
          <w:b/>
          <w:bCs/>
          <w:sz w:val="24"/>
        </w:rPr>
        <w:t>Support</w:t>
      </w:r>
      <w:r w:rsidRPr="006D0C01">
        <w:rPr>
          <w:b/>
          <w:bCs/>
          <w:spacing w:val="-2"/>
          <w:sz w:val="24"/>
        </w:rPr>
        <w:t xml:space="preserve"> </w:t>
      </w:r>
      <w:r w:rsidRPr="006D0C01">
        <w:rPr>
          <w:b/>
          <w:bCs/>
          <w:sz w:val="24"/>
        </w:rPr>
        <w:t>Services</w:t>
      </w:r>
    </w:p>
    <w:p w14:paraId="205C6A38" w14:textId="77777777" w:rsidR="00054151" w:rsidRDefault="00054151">
      <w:pPr>
        <w:pStyle w:val="BodyText"/>
      </w:pPr>
    </w:p>
    <w:p w14:paraId="205C6A39" w14:textId="17BD32F9" w:rsidR="00054151" w:rsidRDefault="00920C1D">
      <w:pPr>
        <w:pStyle w:val="BodyText"/>
        <w:ind w:left="860" w:right="330"/>
      </w:pPr>
      <w:r>
        <w:t xml:space="preserve">All Student Support services, including the Student Centre one-stop-shops and the </w:t>
      </w:r>
      <w:r>
        <w:lastRenderedPageBreak/>
        <w:t>Employability and Careers Services, are accessible to all students. Information resources are available in a range of accessible formats including on-line resources and telephone</w:t>
      </w:r>
      <w:r w:rsidR="008C3612">
        <w:t xml:space="preserve"> and TEAMS</w:t>
      </w:r>
      <w:r>
        <w:t xml:space="preserve"> guidance and advice sessions.</w:t>
      </w:r>
    </w:p>
    <w:p w14:paraId="205C6A3A" w14:textId="77777777" w:rsidR="00054151" w:rsidRDefault="00054151">
      <w:pPr>
        <w:pStyle w:val="BodyText"/>
        <w:spacing w:before="11"/>
        <w:rPr>
          <w:sz w:val="23"/>
        </w:rPr>
      </w:pPr>
    </w:p>
    <w:p w14:paraId="205C6A3B" w14:textId="42A2F673" w:rsidR="00054151" w:rsidRDefault="00920C1D">
      <w:pPr>
        <w:pStyle w:val="BodyText"/>
        <w:ind w:left="860" w:right="190"/>
      </w:pPr>
      <w:r>
        <w:t xml:space="preserve">A specialist Disability &amp; Dyslexia service is available as part of the Student Wellbeing Service, with dedicated professionals offering </w:t>
      </w:r>
      <w:r w:rsidR="008528CA">
        <w:t xml:space="preserve">screenings for specific learning difficulties, </w:t>
      </w:r>
      <w:r w:rsidR="00F113D1">
        <w:t>guidance on arranging support via Disabled Students’ Allowance (DSA)</w:t>
      </w:r>
      <w:r w:rsidR="007657B8">
        <w:t xml:space="preserve"> and arranging in-class support such as a study assistant or BSL interpreter, </w:t>
      </w:r>
      <w:r>
        <w:t xml:space="preserve">academic support and purchase of specialist equipment to meet individual study needs. </w:t>
      </w:r>
      <w:r w:rsidR="0062222F">
        <w:t xml:space="preserve">The </w:t>
      </w:r>
      <w:r w:rsidR="00D465EA">
        <w:t>service also complete Greenwich Inclusion Plan</w:t>
      </w:r>
      <w:r w:rsidR="00AC310A">
        <w:t>s (GIPs)</w:t>
      </w:r>
      <w:r w:rsidR="00D465EA">
        <w:t xml:space="preserve"> – outlining reasonable adjustment</w:t>
      </w:r>
      <w:r w:rsidR="002C1D62">
        <w:t>s</w:t>
      </w:r>
      <w:r w:rsidR="00D465EA">
        <w:t xml:space="preserve"> and exam arrangements, for those that require it. </w:t>
      </w:r>
      <w:r>
        <w:t>They also offer a staff development programme providing training on disability awareness and good practice.</w:t>
      </w:r>
      <w:r w:rsidR="004C2B34">
        <w:t xml:space="preserve"> </w:t>
      </w:r>
      <w:r w:rsidR="004C2B34" w:rsidRPr="00ED0814">
        <w:t xml:space="preserve">The Service can be contacted via email </w:t>
      </w:r>
      <w:hyperlink r:id="rId18" w:history="1">
        <w:r w:rsidR="004C2B34" w:rsidRPr="00ED0814">
          <w:rPr>
            <w:rStyle w:val="Hyperlink"/>
          </w:rPr>
          <w:t>wellbeing@gre.ac.uk</w:t>
        </w:r>
      </w:hyperlink>
      <w:r w:rsidR="004C2B34" w:rsidRPr="00ED0814">
        <w:t xml:space="preserve"> or telephone 0208 331 7875. Further information about the support provided can be accessed from the </w:t>
      </w:r>
      <w:hyperlink r:id="rId19" w:history="1">
        <w:r w:rsidR="004C2B34" w:rsidRPr="00547FFD">
          <w:rPr>
            <w:rStyle w:val="Hyperlink"/>
          </w:rPr>
          <w:t>University’s website</w:t>
        </w:r>
      </w:hyperlink>
      <w:r w:rsidR="00547FFD">
        <w:t>.</w:t>
      </w:r>
    </w:p>
    <w:p w14:paraId="205C6A3C" w14:textId="77777777" w:rsidR="00054151" w:rsidRDefault="00054151">
      <w:pPr>
        <w:pStyle w:val="BodyText"/>
        <w:spacing w:before="2"/>
      </w:pPr>
    </w:p>
    <w:p w14:paraId="205C6A3D" w14:textId="77777777" w:rsidR="00054151" w:rsidRPr="006D0C01" w:rsidRDefault="00920C1D">
      <w:pPr>
        <w:pStyle w:val="ListParagraph"/>
        <w:numPr>
          <w:ilvl w:val="0"/>
          <w:numId w:val="2"/>
        </w:numPr>
        <w:tabs>
          <w:tab w:val="left" w:pos="860"/>
          <w:tab w:val="left" w:pos="861"/>
        </w:tabs>
        <w:ind w:hanging="721"/>
        <w:rPr>
          <w:b/>
          <w:bCs/>
          <w:sz w:val="24"/>
        </w:rPr>
      </w:pPr>
      <w:r w:rsidRPr="006D0C01">
        <w:rPr>
          <w:b/>
          <w:bCs/>
          <w:sz w:val="24"/>
        </w:rPr>
        <w:t>Examinations &amp;</w:t>
      </w:r>
      <w:r w:rsidRPr="006D0C01">
        <w:rPr>
          <w:b/>
          <w:bCs/>
          <w:spacing w:val="-3"/>
          <w:sz w:val="24"/>
        </w:rPr>
        <w:t xml:space="preserve"> </w:t>
      </w:r>
      <w:r w:rsidRPr="006D0C01">
        <w:rPr>
          <w:b/>
          <w:bCs/>
          <w:sz w:val="24"/>
        </w:rPr>
        <w:t>Assessment</w:t>
      </w:r>
    </w:p>
    <w:p w14:paraId="205C6A3E" w14:textId="77777777" w:rsidR="00054151" w:rsidRDefault="00054151">
      <w:pPr>
        <w:pStyle w:val="BodyText"/>
        <w:spacing w:before="12"/>
        <w:rPr>
          <w:sz w:val="23"/>
        </w:rPr>
      </w:pPr>
    </w:p>
    <w:p w14:paraId="205C6A3F" w14:textId="588F91E6" w:rsidR="00054151" w:rsidRDefault="00920C1D">
      <w:pPr>
        <w:pStyle w:val="BodyText"/>
        <w:ind w:left="860" w:right="114"/>
      </w:pPr>
      <w:r>
        <w:t xml:space="preserve">Assessment and examination policies, practices and procedures will provide disabled students with appropriate opportunities </w:t>
      </w:r>
      <w:r w:rsidR="009F7894">
        <w:t xml:space="preserve">equitable </w:t>
      </w:r>
      <w:r>
        <w:t>to those of their peers to demonstrate the achievement of learning outcomes. These arrangements are provided as a reasonable adjustment.</w:t>
      </w:r>
      <w:r w:rsidR="00DF7783">
        <w:t xml:space="preserve">  </w:t>
      </w:r>
    </w:p>
    <w:p w14:paraId="205C6A40" w14:textId="77777777" w:rsidR="00054151" w:rsidRDefault="00054151">
      <w:pPr>
        <w:pStyle w:val="BodyText"/>
        <w:spacing w:before="11"/>
        <w:rPr>
          <w:sz w:val="23"/>
        </w:rPr>
      </w:pPr>
    </w:p>
    <w:p w14:paraId="205C6A41" w14:textId="62BEFB77" w:rsidR="00054151" w:rsidRDefault="00DB1084">
      <w:pPr>
        <w:pStyle w:val="BodyText"/>
        <w:ind w:left="860" w:right="789"/>
      </w:pPr>
      <w:r>
        <w:t xml:space="preserve">Information on </w:t>
      </w:r>
      <w:r w:rsidR="00920C1D">
        <w:t xml:space="preserve"> </w:t>
      </w:r>
      <w:hyperlink r:id="rId20" w:history="1">
        <w:r w:rsidR="00920C1D" w:rsidRPr="003674BE">
          <w:rPr>
            <w:rStyle w:val="Hyperlink"/>
          </w:rPr>
          <w:t>Examination &amp; Assessment Regulations for students with disabilities, specific learning difficulties</w:t>
        </w:r>
        <w:r w:rsidR="00097E8E" w:rsidRPr="003674BE">
          <w:rPr>
            <w:rStyle w:val="Hyperlink"/>
          </w:rPr>
          <w:t>, mental health difficulties</w:t>
        </w:r>
        <w:r w:rsidR="00920C1D" w:rsidRPr="003674BE">
          <w:rPr>
            <w:rStyle w:val="Hyperlink"/>
          </w:rPr>
          <w:t xml:space="preserve"> and long-term medical conditions</w:t>
        </w:r>
      </w:hyperlink>
      <w:r w:rsidR="00920C1D">
        <w:t xml:space="preserve"> </w:t>
      </w:r>
      <w:r>
        <w:t>is available on the university website.</w:t>
      </w:r>
    </w:p>
    <w:p w14:paraId="205C6A42" w14:textId="77777777" w:rsidR="00054151" w:rsidRDefault="00054151">
      <w:pPr>
        <w:pStyle w:val="BodyText"/>
      </w:pPr>
    </w:p>
    <w:p w14:paraId="10BEAF53" w14:textId="4C5F611E" w:rsidR="00256699" w:rsidRDefault="00AE320E">
      <w:pPr>
        <w:pStyle w:val="BodyText"/>
        <w:ind w:left="860"/>
      </w:pPr>
      <w:r>
        <w:t xml:space="preserve">There are set </w:t>
      </w:r>
      <w:r w:rsidR="00256699">
        <w:t>deadlines</w:t>
      </w:r>
      <w:r>
        <w:t xml:space="preserve"> for </w:t>
      </w:r>
      <w:r w:rsidR="00256699">
        <w:t xml:space="preserve">applications </w:t>
      </w:r>
      <w:r>
        <w:t xml:space="preserve">for exam </w:t>
      </w:r>
      <w:r w:rsidR="00256699">
        <w:t>arrangements. Students</w:t>
      </w:r>
      <w:r>
        <w:t xml:space="preserve"> must ensure that they re</w:t>
      </w:r>
      <w:r w:rsidR="00256699">
        <w:t>gularly</w:t>
      </w:r>
      <w:r>
        <w:t xml:space="preserve"> check u</w:t>
      </w:r>
      <w:r w:rsidR="00256699">
        <w:t>niversity</w:t>
      </w:r>
      <w:r>
        <w:t xml:space="preserve"> </w:t>
      </w:r>
      <w:r w:rsidR="00256699">
        <w:t xml:space="preserve">communications, including university email and Student Portal, </w:t>
      </w:r>
      <w:r>
        <w:t xml:space="preserve">for </w:t>
      </w:r>
      <w:r w:rsidR="00256699">
        <w:t xml:space="preserve">awareness of these. </w:t>
      </w:r>
    </w:p>
    <w:p w14:paraId="2F00D207" w14:textId="77777777" w:rsidR="00256699" w:rsidRDefault="00256699">
      <w:pPr>
        <w:pStyle w:val="BodyText"/>
        <w:ind w:left="860"/>
      </w:pPr>
    </w:p>
    <w:p w14:paraId="69ACEE9E" w14:textId="7E58C815" w:rsidR="00875272" w:rsidRPr="00E2404C" w:rsidRDefault="00AD390B">
      <w:pPr>
        <w:pStyle w:val="BodyText"/>
        <w:ind w:left="860"/>
      </w:pPr>
      <w:r w:rsidRPr="00E2404C">
        <w:t xml:space="preserve">For further information about support for examination and assessments, the Student Wellbeing Service can be contacted via email </w:t>
      </w:r>
      <w:hyperlink r:id="rId21" w:history="1">
        <w:r w:rsidRPr="00E2404C">
          <w:rPr>
            <w:rStyle w:val="Hyperlink"/>
          </w:rPr>
          <w:t>wellbeing@gre.ac.uk</w:t>
        </w:r>
      </w:hyperlink>
      <w:r w:rsidRPr="00E2404C">
        <w:t xml:space="preserve"> or telephone 0208 331 7875.</w:t>
      </w:r>
    </w:p>
    <w:p w14:paraId="1B99AB0C" w14:textId="77777777" w:rsidR="00875272" w:rsidRPr="00E2404C" w:rsidRDefault="00875272">
      <w:pPr>
        <w:pStyle w:val="BodyText"/>
        <w:ind w:left="860"/>
      </w:pPr>
    </w:p>
    <w:p w14:paraId="3830EFD6" w14:textId="75840E65" w:rsidR="00AD390B" w:rsidRDefault="00875272">
      <w:pPr>
        <w:pStyle w:val="BodyText"/>
        <w:ind w:left="860"/>
      </w:pPr>
      <w:r w:rsidRPr="00E2404C">
        <w:t>Individual Faculty Exams Teams can be contacted for specific queries about examination timetables.</w:t>
      </w:r>
      <w:r>
        <w:t xml:space="preserve"> </w:t>
      </w:r>
    </w:p>
    <w:p w14:paraId="456C0140" w14:textId="5B78C206" w:rsidR="00AD390B" w:rsidRDefault="00AD390B">
      <w:pPr>
        <w:pStyle w:val="BodyText"/>
        <w:ind w:left="860"/>
      </w:pPr>
    </w:p>
    <w:p w14:paraId="42B84ED9" w14:textId="5C525497" w:rsidR="00AD390B" w:rsidRDefault="00AD390B">
      <w:pPr>
        <w:pStyle w:val="BodyText"/>
        <w:ind w:left="860"/>
        <w:rPr>
          <w:color w:val="0000FF"/>
          <w:u w:val="single" w:color="0000FF"/>
        </w:rPr>
      </w:pPr>
    </w:p>
    <w:sectPr w:rsidR="00AD390B">
      <w:pgSz w:w="11910" w:h="16840"/>
      <w:pgMar w:top="1560" w:right="1360" w:bottom="880" w:left="1300" w:header="65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2F422" w14:textId="77777777" w:rsidR="004B123B" w:rsidRDefault="004B123B">
      <w:r>
        <w:separator/>
      </w:r>
    </w:p>
  </w:endnote>
  <w:endnote w:type="continuationSeparator" w:id="0">
    <w:p w14:paraId="1A714900" w14:textId="77777777" w:rsidR="004B123B" w:rsidRDefault="004B123B">
      <w:r>
        <w:continuationSeparator/>
      </w:r>
    </w:p>
  </w:endnote>
  <w:endnote w:type="continuationNotice" w:id="1">
    <w:p w14:paraId="32867F8E" w14:textId="77777777" w:rsidR="004B123B" w:rsidRDefault="004B1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C6A48" w14:textId="41447022" w:rsidR="00054151" w:rsidRDefault="00124F87">
    <w:pPr>
      <w:pStyle w:val="BodyText"/>
      <w:spacing w:line="14" w:lineRule="auto"/>
      <w:rPr>
        <w:sz w:val="20"/>
      </w:rPr>
    </w:pPr>
    <w:r>
      <w:rPr>
        <w:noProof/>
      </w:rPr>
      <mc:AlternateContent>
        <mc:Choice Requires="wps">
          <w:drawing>
            <wp:anchor distT="0" distB="0" distL="114300" distR="114300" simplePos="0" relativeHeight="251496448" behindDoc="1" locked="0" layoutInCell="1" allowOverlap="1" wp14:anchorId="205C6A4B" wp14:editId="353EB221">
              <wp:simplePos x="0" y="0"/>
              <wp:positionH relativeFrom="page">
                <wp:posOffset>536575</wp:posOffset>
              </wp:positionH>
              <wp:positionV relativeFrom="page">
                <wp:posOffset>10085705</wp:posOffset>
              </wp:positionV>
              <wp:extent cx="6517640" cy="0"/>
              <wp:effectExtent l="0" t="0" r="0" b="0"/>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76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9D11F" id="Straight Connector 3" o:spid="_x0000_s1026" style="position:absolute;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25pt,794.15pt" to="555.45pt,7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" strokeweight=".48pt">
              <w10:wrap anchorx="page" anchory="page"/>
            </v:line>
          </w:pict>
        </mc:Fallback>
      </mc:AlternateContent>
    </w:r>
    <w:r>
      <w:rPr>
        <w:noProof/>
      </w:rPr>
      <mc:AlternateContent>
        <mc:Choice Requires="wps">
          <w:drawing>
            <wp:anchor distT="0" distB="0" distL="114300" distR="114300" simplePos="0" relativeHeight="251497472" behindDoc="1" locked="0" layoutInCell="1" allowOverlap="1" wp14:anchorId="205C6A4C" wp14:editId="0B27CBB6">
              <wp:simplePos x="0" y="0"/>
              <wp:positionH relativeFrom="page">
                <wp:posOffset>542290</wp:posOffset>
              </wp:positionH>
              <wp:positionV relativeFrom="page">
                <wp:posOffset>10109200</wp:posOffset>
              </wp:positionV>
              <wp:extent cx="3810000" cy="127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C6A4E" w14:textId="496C664E" w:rsidR="00054151" w:rsidRDefault="00920C1D">
                          <w:pPr>
                            <w:spacing w:line="184" w:lineRule="exact"/>
                            <w:ind w:left="20"/>
                            <w:rPr>
                              <w:b/>
                              <w:sz w:val="16"/>
                            </w:rPr>
                          </w:pPr>
                          <w:r>
                            <w:rPr>
                              <w:color w:val="1F487C"/>
                              <w:sz w:val="16"/>
                            </w:rPr>
                            <w:t xml:space="preserve">SAS, </w:t>
                          </w:r>
                          <w:r>
                            <w:rPr>
                              <w:b/>
                              <w:color w:val="1F487C"/>
                              <w:sz w:val="16"/>
                            </w:rPr>
                            <w:t xml:space="preserve">Student Wellbeing Service: </w:t>
                          </w:r>
                          <w:r w:rsidR="00176F37">
                            <w:rPr>
                              <w:b/>
                              <w:color w:val="1F487C"/>
                              <w:sz w:val="16"/>
                            </w:rPr>
                            <w:t>Disab</w:t>
                          </w:r>
                          <w:r w:rsidR="006B759E">
                            <w:rPr>
                              <w:b/>
                              <w:color w:val="1F487C"/>
                              <w:sz w:val="16"/>
                            </w:rPr>
                            <w:t xml:space="preserve">ility Framework – </w:t>
                          </w:r>
                          <w:r w:rsidR="00176F37">
                            <w:rPr>
                              <w:b/>
                              <w:color w:val="1F487C"/>
                              <w:sz w:val="16"/>
                            </w:rPr>
                            <w:t>Student</w:t>
                          </w:r>
                          <w:r w:rsidR="006B759E">
                            <w:rPr>
                              <w:b/>
                              <w:color w:val="1F487C"/>
                              <w:sz w:val="16"/>
                            </w:rPr>
                            <w:t>s</w:t>
                          </w:r>
                          <w:r>
                            <w:rPr>
                              <w:b/>
                              <w:color w:val="1F487C"/>
                              <w:sz w:val="16"/>
                            </w:rPr>
                            <w:t xml:space="preserve">/reviewed </w:t>
                          </w:r>
                          <w:r w:rsidR="007F15AB">
                            <w:rPr>
                              <w:b/>
                              <w:color w:val="1F487C"/>
                              <w:sz w:val="16"/>
                            </w:rPr>
                            <w:t>May 202</w:t>
                          </w:r>
                          <w:r w:rsidR="008854EE">
                            <w:rPr>
                              <w:b/>
                              <w:color w:val="1F487C"/>
                              <w:sz w:val="16"/>
                            </w:rPr>
                            <w:t>4</w:t>
                          </w:r>
                          <w:r w:rsidR="00EB77C0">
                            <w:rPr>
                              <w:b/>
                              <w:color w:val="1F487C"/>
                              <w:sz w:val="16"/>
                            </w:rPr>
                            <w:t xml:space="preserve"> </w:t>
                          </w:r>
                          <w:r>
                            <w:rPr>
                              <w:b/>
                              <w:color w:val="1F487C"/>
                              <w:sz w:val="16"/>
                            </w:rPr>
                            <w:t>/</w:t>
                          </w:r>
                          <w:r w:rsidR="00EB77C0">
                            <w:rPr>
                              <w:b/>
                              <w:color w:val="1F487C"/>
                              <w:sz w:val="16"/>
                            </w:rPr>
                            <w:t>SC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C6A4C" id="_x0000_t202" coordsize="21600,21600" o:spt="202" path="m,l,21600r21600,l21600,xe">
              <v:stroke joinstyle="miter"/>
              <v:path gradientshapeok="t" o:connecttype="rect"/>
            </v:shapetype>
            <v:shape id="Text Box 4" o:spid="_x0000_s1026" type="#_x0000_t202" style="position:absolute;margin-left:42.7pt;margin-top:796pt;width:300pt;height:10.05pt;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" filled="f" stroked="f">
              <v:textbox inset="0,0,0,0">
                <w:txbxContent>
                  <w:p w14:paraId="205C6A4E" w14:textId="496C664E" w:rsidR="00054151" w:rsidRDefault="00920C1D">
                    <w:pPr>
                      <w:spacing w:line="184" w:lineRule="exact"/>
                      <w:ind w:left="20"/>
                      <w:rPr>
                        <w:b/>
                        <w:sz w:val="16"/>
                      </w:rPr>
                    </w:pPr>
                    <w:r>
                      <w:rPr>
                        <w:color w:val="1F487C"/>
                        <w:sz w:val="16"/>
                      </w:rPr>
                      <w:t xml:space="preserve">SAS, </w:t>
                    </w:r>
                    <w:r>
                      <w:rPr>
                        <w:b/>
                        <w:color w:val="1F487C"/>
                        <w:sz w:val="16"/>
                      </w:rPr>
                      <w:t xml:space="preserve">Student Wellbeing Service: </w:t>
                    </w:r>
                    <w:r w:rsidR="00176F37">
                      <w:rPr>
                        <w:b/>
                        <w:color w:val="1F487C"/>
                        <w:sz w:val="16"/>
                      </w:rPr>
                      <w:t>Disab</w:t>
                    </w:r>
                    <w:r w:rsidR="006B759E">
                      <w:rPr>
                        <w:b/>
                        <w:color w:val="1F487C"/>
                        <w:sz w:val="16"/>
                      </w:rPr>
                      <w:t xml:space="preserve">ility Framework – </w:t>
                    </w:r>
                    <w:r w:rsidR="00176F37">
                      <w:rPr>
                        <w:b/>
                        <w:color w:val="1F487C"/>
                        <w:sz w:val="16"/>
                      </w:rPr>
                      <w:t>Student</w:t>
                    </w:r>
                    <w:r w:rsidR="006B759E">
                      <w:rPr>
                        <w:b/>
                        <w:color w:val="1F487C"/>
                        <w:sz w:val="16"/>
                      </w:rPr>
                      <w:t>s</w:t>
                    </w:r>
                    <w:r>
                      <w:rPr>
                        <w:b/>
                        <w:color w:val="1F487C"/>
                        <w:sz w:val="16"/>
                      </w:rPr>
                      <w:t xml:space="preserve">/reviewed </w:t>
                    </w:r>
                    <w:r w:rsidR="007F15AB">
                      <w:rPr>
                        <w:b/>
                        <w:color w:val="1F487C"/>
                        <w:sz w:val="16"/>
                      </w:rPr>
                      <w:t>May 202</w:t>
                    </w:r>
                    <w:r w:rsidR="008854EE">
                      <w:rPr>
                        <w:b/>
                        <w:color w:val="1F487C"/>
                        <w:sz w:val="16"/>
                      </w:rPr>
                      <w:t>4</w:t>
                    </w:r>
                    <w:r w:rsidR="00EB77C0">
                      <w:rPr>
                        <w:b/>
                        <w:color w:val="1F487C"/>
                        <w:sz w:val="16"/>
                      </w:rPr>
                      <w:t xml:space="preserve"> </w:t>
                    </w:r>
                    <w:r>
                      <w:rPr>
                        <w:b/>
                        <w:color w:val="1F487C"/>
                        <w:sz w:val="16"/>
                      </w:rPr>
                      <w:t>/</w:t>
                    </w:r>
                    <w:r w:rsidR="00EB77C0">
                      <w:rPr>
                        <w:b/>
                        <w:color w:val="1F487C"/>
                        <w:sz w:val="16"/>
                      </w:rPr>
                      <w:t>SC</w:t>
                    </w:r>
                  </w:p>
                </w:txbxContent>
              </v:textbox>
              <w10:wrap anchorx="page" anchory="page"/>
            </v:shape>
          </w:pict>
        </mc:Fallback>
      </mc:AlternateContent>
    </w:r>
    <w:r>
      <w:rPr>
        <w:noProof/>
      </w:rPr>
      <mc:AlternateContent>
        <mc:Choice Requires="wps">
          <w:drawing>
            <wp:anchor distT="0" distB="0" distL="114300" distR="114300" simplePos="0" relativeHeight="251498496" behindDoc="1" locked="0" layoutInCell="1" allowOverlap="1" wp14:anchorId="205C6A4D" wp14:editId="505722CE">
              <wp:simplePos x="0" y="0"/>
              <wp:positionH relativeFrom="page">
                <wp:posOffset>6946265</wp:posOffset>
              </wp:positionH>
              <wp:positionV relativeFrom="page">
                <wp:posOffset>10109200</wp:posOffset>
              </wp:positionV>
              <wp:extent cx="128270" cy="1276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C6A4F" w14:textId="77777777" w:rsidR="00054151" w:rsidRDefault="00920C1D">
                          <w:pPr>
                            <w:spacing w:line="184" w:lineRule="exact"/>
                            <w:ind w:left="60"/>
                            <w:rPr>
                              <w:sz w:val="16"/>
                            </w:rPr>
                          </w:pPr>
                          <w:r>
                            <w:fldChar w:fldCharType="begin"/>
                          </w:r>
                          <w:r>
                            <w:rPr>
                              <w:color w:val="1F487C"/>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C6A4D" id="Text Box 5" o:spid="_x0000_s1027" type="#_x0000_t202" style="position:absolute;margin-left:546.95pt;margin-top:796pt;width:10.1pt;height:10.05pt;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" filled="f" stroked="f">
              <v:textbox inset="0,0,0,0">
                <w:txbxContent>
                  <w:p w14:paraId="205C6A4F" w14:textId="77777777" w:rsidR="00054151" w:rsidRDefault="00920C1D">
                    <w:pPr>
                      <w:spacing w:line="184" w:lineRule="exact"/>
                      <w:ind w:left="60"/>
                      <w:rPr>
                        <w:sz w:val="16"/>
                      </w:rPr>
                    </w:pPr>
                    <w:r>
                      <w:fldChar w:fldCharType="begin"/>
                    </w:r>
                    <w:r>
                      <w:rPr>
                        <w:color w:val="1F487C"/>
                        <w:sz w:val="16"/>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CBED1" w14:textId="77777777" w:rsidR="004B123B" w:rsidRDefault="004B123B">
      <w:r>
        <w:separator/>
      </w:r>
    </w:p>
  </w:footnote>
  <w:footnote w:type="continuationSeparator" w:id="0">
    <w:p w14:paraId="32C5869D" w14:textId="77777777" w:rsidR="004B123B" w:rsidRDefault="004B123B">
      <w:r>
        <w:continuationSeparator/>
      </w:r>
    </w:p>
  </w:footnote>
  <w:footnote w:type="continuationNotice" w:id="1">
    <w:p w14:paraId="07AC846E" w14:textId="77777777" w:rsidR="004B123B" w:rsidRDefault="004B12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C6A47" w14:textId="787B7DA7" w:rsidR="00054151" w:rsidRPr="00864CE9" w:rsidRDefault="00864CE9" w:rsidP="00864CE9">
    <w:pPr>
      <w:pStyle w:val="Header"/>
      <w:jc w:val="right"/>
    </w:pPr>
    <w:r>
      <w:rPr>
        <w:noProof/>
        <w:sz w:val="20"/>
      </w:rPr>
      <w:drawing>
        <wp:inline distT="0" distB="0" distL="0" distR="0" wp14:anchorId="603AD60C" wp14:editId="56363D08">
          <wp:extent cx="1334943" cy="752475"/>
          <wp:effectExtent l="0" t="0" r="0" b="0"/>
          <wp:docPr id="453348265"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763" cy="7563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53699"/>
    <w:multiLevelType w:val="hybridMultilevel"/>
    <w:tmpl w:val="7CFC2F68"/>
    <w:lvl w:ilvl="0" w:tplc="1BCCDDFA">
      <w:numFmt w:val="bullet"/>
      <w:lvlText w:val="-"/>
      <w:lvlJc w:val="left"/>
      <w:pPr>
        <w:ind w:left="1580" w:hanging="720"/>
      </w:pPr>
      <w:rPr>
        <w:rFonts w:ascii="Calibri" w:eastAsia="Calibri" w:hAnsi="Calibri" w:cs="Calibri" w:hint="default"/>
        <w:spacing w:val="-3"/>
        <w:w w:val="100"/>
        <w:sz w:val="24"/>
        <w:szCs w:val="24"/>
        <w:lang w:val="en-GB" w:eastAsia="en-GB" w:bidi="en-GB"/>
      </w:rPr>
    </w:lvl>
    <w:lvl w:ilvl="1" w:tplc="7738FCD8">
      <w:numFmt w:val="bullet"/>
      <w:lvlText w:val="•"/>
      <w:lvlJc w:val="left"/>
      <w:pPr>
        <w:ind w:left="2346" w:hanging="720"/>
      </w:pPr>
      <w:rPr>
        <w:rFonts w:hint="default"/>
        <w:lang w:val="en-GB" w:eastAsia="en-GB" w:bidi="en-GB"/>
      </w:rPr>
    </w:lvl>
    <w:lvl w:ilvl="2" w:tplc="93F82CA6">
      <w:numFmt w:val="bullet"/>
      <w:lvlText w:val="•"/>
      <w:lvlJc w:val="left"/>
      <w:pPr>
        <w:ind w:left="3113" w:hanging="720"/>
      </w:pPr>
      <w:rPr>
        <w:rFonts w:hint="default"/>
        <w:lang w:val="en-GB" w:eastAsia="en-GB" w:bidi="en-GB"/>
      </w:rPr>
    </w:lvl>
    <w:lvl w:ilvl="3" w:tplc="4E323010">
      <w:numFmt w:val="bullet"/>
      <w:lvlText w:val="•"/>
      <w:lvlJc w:val="left"/>
      <w:pPr>
        <w:ind w:left="3879" w:hanging="720"/>
      </w:pPr>
      <w:rPr>
        <w:rFonts w:hint="default"/>
        <w:lang w:val="en-GB" w:eastAsia="en-GB" w:bidi="en-GB"/>
      </w:rPr>
    </w:lvl>
    <w:lvl w:ilvl="4" w:tplc="266A0566">
      <w:numFmt w:val="bullet"/>
      <w:lvlText w:val="•"/>
      <w:lvlJc w:val="left"/>
      <w:pPr>
        <w:ind w:left="4646" w:hanging="720"/>
      </w:pPr>
      <w:rPr>
        <w:rFonts w:hint="default"/>
        <w:lang w:val="en-GB" w:eastAsia="en-GB" w:bidi="en-GB"/>
      </w:rPr>
    </w:lvl>
    <w:lvl w:ilvl="5" w:tplc="8752C274">
      <w:numFmt w:val="bullet"/>
      <w:lvlText w:val="•"/>
      <w:lvlJc w:val="left"/>
      <w:pPr>
        <w:ind w:left="5413" w:hanging="720"/>
      </w:pPr>
      <w:rPr>
        <w:rFonts w:hint="default"/>
        <w:lang w:val="en-GB" w:eastAsia="en-GB" w:bidi="en-GB"/>
      </w:rPr>
    </w:lvl>
    <w:lvl w:ilvl="6" w:tplc="70FCD348">
      <w:numFmt w:val="bullet"/>
      <w:lvlText w:val="•"/>
      <w:lvlJc w:val="left"/>
      <w:pPr>
        <w:ind w:left="6179" w:hanging="720"/>
      </w:pPr>
      <w:rPr>
        <w:rFonts w:hint="default"/>
        <w:lang w:val="en-GB" w:eastAsia="en-GB" w:bidi="en-GB"/>
      </w:rPr>
    </w:lvl>
    <w:lvl w:ilvl="7" w:tplc="F65A6772">
      <w:numFmt w:val="bullet"/>
      <w:lvlText w:val="•"/>
      <w:lvlJc w:val="left"/>
      <w:pPr>
        <w:ind w:left="6946" w:hanging="720"/>
      </w:pPr>
      <w:rPr>
        <w:rFonts w:hint="default"/>
        <w:lang w:val="en-GB" w:eastAsia="en-GB" w:bidi="en-GB"/>
      </w:rPr>
    </w:lvl>
    <w:lvl w:ilvl="8" w:tplc="FE6406E2">
      <w:numFmt w:val="bullet"/>
      <w:lvlText w:val="•"/>
      <w:lvlJc w:val="left"/>
      <w:pPr>
        <w:ind w:left="7713" w:hanging="720"/>
      </w:pPr>
      <w:rPr>
        <w:rFonts w:hint="default"/>
        <w:lang w:val="en-GB" w:eastAsia="en-GB" w:bidi="en-GB"/>
      </w:rPr>
    </w:lvl>
  </w:abstractNum>
  <w:abstractNum w:abstractNumId="1" w15:restartNumberingAfterBreak="0">
    <w:nsid w:val="2ABE7CA9"/>
    <w:multiLevelType w:val="hybridMultilevel"/>
    <w:tmpl w:val="7132EC34"/>
    <w:lvl w:ilvl="0" w:tplc="36A49254">
      <w:start w:val="1"/>
      <w:numFmt w:val="decimal"/>
      <w:lvlText w:val="%1."/>
      <w:lvlJc w:val="left"/>
      <w:pPr>
        <w:ind w:left="860" w:hanging="720"/>
        <w:jc w:val="left"/>
      </w:pPr>
      <w:rPr>
        <w:rFonts w:ascii="Calibri" w:eastAsia="Calibri" w:hAnsi="Calibri" w:cs="Calibri" w:hint="default"/>
        <w:spacing w:val="-3"/>
        <w:w w:val="100"/>
        <w:sz w:val="24"/>
        <w:szCs w:val="24"/>
        <w:lang w:val="en-GB" w:eastAsia="en-GB" w:bidi="en-GB"/>
      </w:rPr>
    </w:lvl>
    <w:lvl w:ilvl="1" w:tplc="4DEE3730">
      <w:numFmt w:val="bullet"/>
      <w:lvlText w:val="•"/>
      <w:lvlJc w:val="left"/>
      <w:pPr>
        <w:ind w:left="1698" w:hanging="720"/>
      </w:pPr>
      <w:rPr>
        <w:rFonts w:hint="default"/>
        <w:lang w:val="en-GB" w:eastAsia="en-GB" w:bidi="en-GB"/>
      </w:rPr>
    </w:lvl>
    <w:lvl w:ilvl="2" w:tplc="74462EAE">
      <w:numFmt w:val="bullet"/>
      <w:lvlText w:val="•"/>
      <w:lvlJc w:val="left"/>
      <w:pPr>
        <w:ind w:left="2537" w:hanging="720"/>
      </w:pPr>
      <w:rPr>
        <w:rFonts w:hint="default"/>
        <w:lang w:val="en-GB" w:eastAsia="en-GB" w:bidi="en-GB"/>
      </w:rPr>
    </w:lvl>
    <w:lvl w:ilvl="3" w:tplc="270E8CAE">
      <w:numFmt w:val="bullet"/>
      <w:lvlText w:val="•"/>
      <w:lvlJc w:val="left"/>
      <w:pPr>
        <w:ind w:left="3375" w:hanging="720"/>
      </w:pPr>
      <w:rPr>
        <w:rFonts w:hint="default"/>
        <w:lang w:val="en-GB" w:eastAsia="en-GB" w:bidi="en-GB"/>
      </w:rPr>
    </w:lvl>
    <w:lvl w:ilvl="4" w:tplc="59C2D746">
      <w:numFmt w:val="bullet"/>
      <w:lvlText w:val="•"/>
      <w:lvlJc w:val="left"/>
      <w:pPr>
        <w:ind w:left="4214" w:hanging="720"/>
      </w:pPr>
      <w:rPr>
        <w:rFonts w:hint="default"/>
        <w:lang w:val="en-GB" w:eastAsia="en-GB" w:bidi="en-GB"/>
      </w:rPr>
    </w:lvl>
    <w:lvl w:ilvl="5" w:tplc="21A40196">
      <w:numFmt w:val="bullet"/>
      <w:lvlText w:val="•"/>
      <w:lvlJc w:val="left"/>
      <w:pPr>
        <w:ind w:left="5053" w:hanging="720"/>
      </w:pPr>
      <w:rPr>
        <w:rFonts w:hint="default"/>
        <w:lang w:val="en-GB" w:eastAsia="en-GB" w:bidi="en-GB"/>
      </w:rPr>
    </w:lvl>
    <w:lvl w:ilvl="6" w:tplc="22B293B6">
      <w:numFmt w:val="bullet"/>
      <w:lvlText w:val="•"/>
      <w:lvlJc w:val="left"/>
      <w:pPr>
        <w:ind w:left="5891" w:hanging="720"/>
      </w:pPr>
      <w:rPr>
        <w:rFonts w:hint="default"/>
        <w:lang w:val="en-GB" w:eastAsia="en-GB" w:bidi="en-GB"/>
      </w:rPr>
    </w:lvl>
    <w:lvl w:ilvl="7" w:tplc="4C360BC8">
      <w:numFmt w:val="bullet"/>
      <w:lvlText w:val="•"/>
      <w:lvlJc w:val="left"/>
      <w:pPr>
        <w:ind w:left="6730" w:hanging="720"/>
      </w:pPr>
      <w:rPr>
        <w:rFonts w:hint="default"/>
        <w:lang w:val="en-GB" w:eastAsia="en-GB" w:bidi="en-GB"/>
      </w:rPr>
    </w:lvl>
    <w:lvl w:ilvl="8" w:tplc="717C1B40">
      <w:numFmt w:val="bullet"/>
      <w:lvlText w:val="•"/>
      <w:lvlJc w:val="left"/>
      <w:pPr>
        <w:ind w:left="7569" w:hanging="720"/>
      </w:pPr>
      <w:rPr>
        <w:rFonts w:hint="default"/>
        <w:lang w:val="en-GB" w:eastAsia="en-GB" w:bidi="en-GB"/>
      </w:rPr>
    </w:lvl>
  </w:abstractNum>
  <w:abstractNum w:abstractNumId="2" w15:restartNumberingAfterBreak="0">
    <w:nsid w:val="389D2248"/>
    <w:multiLevelType w:val="multilevel"/>
    <w:tmpl w:val="B298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A02CBB"/>
    <w:multiLevelType w:val="hybridMultilevel"/>
    <w:tmpl w:val="69B2716C"/>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num w:numId="1" w16cid:durableId="561406590">
    <w:abstractNumId w:val="0"/>
  </w:num>
  <w:num w:numId="2" w16cid:durableId="484862370">
    <w:abstractNumId w:val="1"/>
  </w:num>
  <w:num w:numId="3" w16cid:durableId="1975673466">
    <w:abstractNumId w:val="2"/>
  </w:num>
  <w:num w:numId="4" w16cid:durableId="161895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sDQ3MjE2NjI0MzRU0lEKTi0uzszPAykwrAUA7dVDESwAAAA="/>
  </w:docVars>
  <w:rsids>
    <w:rsidRoot w:val="00054151"/>
    <w:rsid w:val="00003ED8"/>
    <w:rsid w:val="00006095"/>
    <w:rsid w:val="00053F61"/>
    <w:rsid w:val="00054151"/>
    <w:rsid w:val="00057594"/>
    <w:rsid w:val="00095470"/>
    <w:rsid w:val="00097E8E"/>
    <w:rsid w:val="000A21F5"/>
    <w:rsid w:val="000C743E"/>
    <w:rsid w:val="000D3862"/>
    <w:rsid w:val="000E5A74"/>
    <w:rsid w:val="00124F87"/>
    <w:rsid w:val="00142C91"/>
    <w:rsid w:val="00176F37"/>
    <w:rsid w:val="001D681E"/>
    <w:rsid w:val="001E08F7"/>
    <w:rsid w:val="001E685C"/>
    <w:rsid w:val="0022048E"/>
    <w:rsid w:val="002449C7"/>
    <w:rsid w:val="00250098"/>
    <w:rsid w:val="00253826"/>
    <w:rsid w:val="0025651E"/>
    <w:rsid w:val="00256699"/>
    <w:rsid w:val="00262DD5"/>
    <w:rsid w:val="0028208A"/>
    <w:rsid w:val="002A6462"/>
    <w:rsid w:val="002C1D62"/>
    <w:rsid w:val="002E4BD1"/>
    <w:rsid w:val="00316E02"/>
    <w:rsid w:val="00332FC7"/>
    <w:rsid w:val="00366CDE"/>
    <w:rsid w:val="003674BE"/>
    <w:rsid w:val="0039246E"/>
    <w:rsid w:val="00394769"/>
    <w:rsid w:val="003E3276"/>
    <w:rsid w:val="003F5612"/>
    <w:rsid w:val="00405E14"/>
    <w:rsid w:val="00415D56"/>
    <w:rsid w:val="00427C87"/>
    <w:rsid w:val="004336E7"/>
    <w:rsid w:val="0044648A"/>
    <w:rsid w:val="00460E76"/>
    <w:rsid w:val="004613B3"/>
    <w:rsid w:val="004821EB"/>
    <w:rsid w:val="00491072"/>
    <w:rsid w:val="004A699F"/>
    <w:rsid w:val="004B123B"/>
    <w:rsid w:val="004C2B34"/>
    <w:rsid w:val="004F0A9C"/>
    <w:rsid w:val="004F46C3"/>
    <w:rsid w:val="00505D9B"/>
    <w:rsid w:val="0051091D"/>
    <w:rsid w:val="00531AAB"/>
    <w:rsid w:val="005447B3"/>
    <w:rsid w:val="00547FFD"/>
    <w:rsid w:val="00550A26"/>
    <w:rsid w:val="00554940"/>
    <w:rsid w:val="0058246E"/>
    <w:rsid w:val="005824C8"/>
    <w:rsid w:val="005C4931"/>
    <w:rsid w:val="005D3EA1"/>
    <w:rsid w:val="005D5800"/>
    <w:rsid w:val="005F559C"/>
    <w:rsid w:val="005F5798"/>
    <w:rsid w:val="0062222F"/>
    <w:rsid w:val="00637AAD"/>
    <w:rsid w:val="00647AF6"/>
    <w:rsid w:val="00656904"/>
    <w:rsid w:val="006A0F68"/>
    <w:rsid w:val="006A227C"/>
    <w:rsid w:val="006B1DC5"/>
    <w:rsid w:val="006B2B09"/>
    <w:rsid w:val="006B759E"/>
    <w:rsid w:val="006D0C01"/>
    <w:rsid w:val="006F7D3F"/>
    <w:rsid w:val="00732CE3"/>
    <w:rsid w:val="00732F86"/>
    <w:rsid w:val="00751AA4"/>
    <w:rsid w:val="007657B8"/>
    <w:rsid w:val="007A1551"/>
    <w:rsid w:val="007B0FEC"/>
    <w:rsid w:val="007B5F85"/>
    <w:rsid w:val="007F15AB"/>
    <w:rsid w:val="008319E7"/>
    <w:rsid w:val="008402D7"/>
    <w:rsid w:val="008500B3"/>
    <w:rsid w:val="008528CA"/>
    <w:rsid w:val="00864CE9"/>
    <w:rsid w:val="00875272"/>
    <w:rsid w:val="008854EE"/>
    <w:rsid w:val="00890405"/>
    <w:rsid w:val="008A74E7"/>
    <w:rsid w:val="008B2B50"/>
    <w:rsid w:val="008C3612"/>
    <w:rsid w:val="008C4945"/>
    <w:rsid w:val="008C676A"/>
    <w:rsid w:val="00914A6D"/>
    <w:rsid w:val="00920C1D"/>
    <w:rsid w:val="00922E09"/>
    <w:rsid w:val="00933580"/>
    <w:rsid w:val="00936FBB"/>
    <w:rsid w:val="00956741"/>
    <w:rsid w:val="009F1C92"/>
    <w:rsid w:val="009F3AFE"/>
    <w:rsid w:val="009F3C19"/>
    <w:rsid w:val="009F7894"/>
    <w:rsid w:val="00A16005"/>
    <w:rsid w:val="00A47EEB"/>
    <w:rsid w:val="00A5214C"/>
    <w:rsid w:val="00A85D7B"/>
    <w:rsid w:val="00AC310A"/>
    <w:rsid w:val="00AC599B"/>
    <w:rsid w:val="00AD390B"/>
    <w:rsid w:val="00AD41CC"/>
    <w:rsid w:val="00AD4DD1"/>
    <w:rsid w:val="00AE320E"/>
    <w:rsid w:val="00AE773E"/>
    <w:rsid w:val="00B45ABE"/>
    <w:rsid w:val="00BE6A9E"/>
    <w:rsid w:val="00C12E83"/>
    <w:rsid w:val="00C1321C"/>
    <w:rsid w:val="00C75EA3"/>
    <w:rsid w:val="00C92D2B"/>
    <w:rsid w:val="00CA147D"/>
    <w:rsid w:val="00CA4E4F"/>
    <w:rsid w:val="00CC081D"/>
    <w:rsid w:val="00CC4577"/>
    <w:rsid w:val="00CD6133"/>
    <w:rsid w:val="00CE6D7E"/>
    <w:rsid w:val="00D465EA"/>
    <w:rsid w:val="00D67E6E"/>
    <w:rsid w:val="00D7259C"/>
    <w:rsid w:val="00D90E04"/>
    <w:rsid w:val="00D978D7"/>
    <w:rsid w:val="00D97F5A"/>
    <w:rsid w:val="00DB1084"/>
    <w:rsid w:val="00DD1A56"/>
    <w:rsid w:val="00DD1BCC"/>
    <w:rsid w:val="00DF7783"/>
    <w:rsid w:val="00E10CA1"/>
    <w:rsid w:val="00E21F87"/>
    <w:rsid w:val="00E2404C"/>
    <w:rsid w:val="00E31443"/>
    <w:rsid w:val="00E872E0"/>
    <w:rsid w:val="00E93ACD"/>
    <w:rsid w:val="00EB77C0"/>
    <w:rsid w:val="00EC1BE2"/>
    <w:rsid w:val="00ED0814"/>
    <w:rsid w:val="00ED1E6B"/>
    <w:rsid w:val="00F03197"/>
    <w:rsid w:val="00F06CD6"/>
    <w:rsid w:val="00F113D1"/>
    <w:rsid w:val="00F2015E"/>
    <w:rsid w:val="00F2271E"/>
    <w:rsid w:val="00F53155"/>
    <w:rsid w:val="00FA09F5"/>
    <w:rsid w:val="00FB1E0F"/>
    <w:rsid w:val="00FD1552"/>
    <w:rsid w:val="41C89C10"/>
    <w:rsid w:val="7943A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C69DB"/>
  <w15:docId w15:val="{8C3973BB-8A3B-4C46-97CF-9C735672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spacing w:line="669" w:lineRule="exact"/>
      <w:ind w:left="140"/>
      <w:outlineLvl w:val="0"/>
    </w:pPr>
    <w:rPr>
      <w:b/>
      <w:bCs/>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72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402D7"/>
    <w:rPr>
      <w:sz w:val="16"/>
      <w:szCs w:val="16"/>
    </w:rPr>
  </w:style>
  <w:style w:type="paragraph" w:styleId="CommentText">
    <w:name w:val="annotation text"/>
    <w:basedOn w:val="Normal"/>
    <w:link w:val="CommentTextChar"/>
    <w:uiPriority w:val="99"/>
    <w:unhideWhenUsed/>
    <w:rsid w:val="008402D7"/>
    <w:rPr>
      <w:sz w:val="20"/>
      <w:szCs w:val="20"/>
    </w:rPr>
  </w:style>
  <w:style w:type="character" w:customStyle="1" w:styleId="CommentTextChar">
    <w:name w:val="Comment Text Char"/>
    <w:basedOn w:val="DefaultParagraphFont"/>
    <w:link w:val="CommentText"/>
    <w:uiPriority w:val="99"/>
    <w:rsid w:val="008402D7"/>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402D7"/>
    <w:rPr>
      <w:b/>
      <w:bCs/>
    </w:rPr>
  </w:style>
  <w:style w:type="character" w:customStyle="1" w:styleId="CommentSubjectChar">
    <w:name w:val="Comment Subject Char"/>
    <w:basedOn w:val="CommentTextChar"/>
    <w:link w:val="CommentSubject"/>
    <w:uiPriority w:val="99"/>
    <w:semiHidden/>
    <w:rsid w:val="008402D7"/>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8402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2D7"/>
    <w:rPr>
      <w:rFonts w:ascii="Segoe UI" w:eastAsia="Calibri" w:hAnsi="Segoe UI" w:cs="Segoe UI"/>
      <w:sz w:val="18"/>
      <w:szCs w:val="18"/>
      <w:lang w:val="en-GB" w:eastAsia="en-GB" w:bidi="en-GB"/>
    </w:rPr>
  </w:style>
  <w:style w:type="paragraph" w:styleId="Header">
    <w:name w:val="header"/>
    <w:basedOn w:val="Normal"/>
    <w:link w:val="HeaderChar"/>
    <w:uiPriority w:val="99"/>
    <w:unhideWhenUsed/>
    <w:rsid w:val="00EB77C0"/>
    <w:pPr>
      <w:tabs>
        <w:tab w:val="center" w:pos="4513"/>
        <w:tab w:val="right" w:pos="9026"/>
      </w:tabs>
    </w:pPr>
  </w:style>
  <w:style w:type="character" w:customStyle="1" w:styleId="HeaderChar">
    <w:name w:val="Header Char"/>
    <w:basedOn w:val="DefaultParagraphFont"/>
    <w:link w:val="Header"/>
    <w:uiPriority w:val="99"/>
    <w:rsid w:val="00EB77C0"/>
    <w:rPr>
      <w:rFonts w:ascii="Calibri" w:eastAsia="Calibri" w:hAnsi="Calibri" w:cs="Calibri"/>
      <w:lang w:val="en-GB" w:eastAsia="en-GB" w:bidi="en-GB"/>
    </w:rPr>
  </w:style>
  <w:style w:type="paragraph" w:styleId="Footer">
    <w:name w:val="footer"/>
    <w:basedOn w:val="Normal"/>
    <w:link w:val="FooterChar"/>
    <w:uiPriority w:val="99"/>
    <w:unhideWhenUsed/>
    <w:rsid w:val="00EB77C0"/>
    <w:pPr>
      <w:tabs>
        <w:tab w:val="center" w:pos="4513"/>
        <w:tab w:val="right" w:pos="9026"/>
      </w:tabs>
    </w:pPr>
  </w:style>
  <w:style w:type="character" w:customStyle="1" w:styleId="FooterChar">
    <w:name w:val="Footer Char"/>
    <w:basedOn w:val="DefaultParagraphFont"/>
    <w:link w:val="Footer"/>
    <w:uiPriority w:val="99"/>
    <w:rsid w:val="00EB77C0"/>
    <w:rPr>
      <w:rFonts w:ascii="Calibri" w:eastAsia="Calibri" w:hAnsi="Calibri" w:cs="Calibri"/>
      <w:lang w:val="en-GB" w:eastAsia="en-GB" w:bidi="en-GB"/>
    </w:rPr>
  </w:style>
  <w:style w:type="character" w:styleId="Hyperlink">
    <w:name w:val="Hyperlink"/>
    <w:basedOn w:val="DefaultParagraphFont"/>
    <w:uiPriority w:val="99"/>
    <w:unhideWhenUsed/>
    <w:rsid w:val="00A47EEB"/>
    <w:rPr>
      <w:color w:val="0000FF"/>
      <w:u w:val="single"/>
    </w:rPr>
  </w:style>
  <w:style w:type="character" w:styleId="UnresolvedMention">
    <w:name w:val="Unresolved Mention"/>
    <w:basedOn w:val="DefaultParagraphFont"/>
    <w:uiPriority w:val="99"/>
    <w:unhideWhenUsed/>
    <w:rsid w:val="00CC081D"/>
    <w:rPr>
      <w:color w:val="605E5C"/>
      <w:shd w:val="clear" w:color="auto" w:fill="E1DFDD"/>
    </w:rPr>
  </w:style>
  <w:style w:type="paragraph" w:styleId="NormalWeb">
    <w:name w:val="Normal (Web)"/>
    <w:basedOn w:val="Normal"/>
    <w:uiPriority w:val="99"/>
    <w:semiHidden/>
    <w:unhideWhenUsed/>
    <w:rsid w:val="00732CE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Mention">
    <w:name w:val="Mention"/>
    <w:basedOn w:val="DefaultParagraphFont"/>
    <w:uiPriority w:val="99"/>
    <w:unhideWhenUsed/>
    <w:rsid w:val="00491072"/>
    <w:rPr>
      <w:color w:val="2B579A"/>
      <w:shd w:val="clear" w:color="auto" w:fill="E1DFDD"/>
    </w:rPr>
  </w:style>
  <w:style w:type="paragraph" w:styleId="Revision">
    <w:name w:val="Revision"/>
    <w:hidden/>
    <w:uiPriority w:val="99"/>
    <w:semiHidden/>
    <w:rsid w:val="00F2015E"/>
    <w:pPr>
      <w:widowControl/>
      <w:autoSpaceDE/>
      <w:autoSpaceDN/>
    </w:pPr>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119213">
      <w:bodyDiv w:val="1"/>
      <w:marLeft w:val="0"/>
      <w:marRight w:val="0"/>
      <w:marTop w:val="0"/>
      <w:marBottom w:val="0"/>
      <w:divBdr>
        <w:top w:val="none" w:sz="0" w:space="0" w:color="auto"/>
        <w:left w:val="none" w:sz="0" w:space="0" w:color="auto"/>
        <w:bottom w:val="none" w:sz="0" w:space="0" w:color="auto"/>
        <w:right w:val="none" w:sz="0" w:space="0" w:color="auto"/>
      </w:divBdr>
    </w:div>
    <w:div w:id="1886140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10/15/section/6" TargetMode="External"/><Relationship Id="rId18" Type="http://schemas.openxmlformats.org/officeDocument/2006/relationships/hyperlink" Target="mailto:wellbeing@gre.ac.uk" TargetMode="External"/><Relationship Id="rId3" Type="http://schemas.openxmlformats.org/officeDocument/2006/relationships/customXml" Target="../customXml/item3.xml"/><Relationship Id="rId21" Type="http://schemas.openxmlformats.org/officeDocument/2006/relationships/hyperlink" Target="mailto:wellbeing@gre.ac.uk" TargetMode="External"/><Relationship Id="rId7" Type="http://schemas.openxmlformats.org/officeDocument/2006/relationships/webSettings" Target="webSettings.xml"/><Relationship Id="rId12" Type="http://schemas.openxmlformats.org/officeDocument/2006/relationships/hyperlink" Target="https://www.qaa.ac.uk/docs/qaa/quality-code/revised-uk-quality-code-for-higher-education.pdf" TargetMode="External"/><Relationship Id="rId17" Type="http://schemas.openxmlformats.org/officeDocument/2006/relationships/hyperlink" Target="mailto:gr.accommodation@gre.ac.uk" TargetMode="External"/><Relationship Id="rId2" Type="http://schemas.openxmlformats.org/officeDocument/2006/relationships/customXml" Target="../customXml/item2.xml"/><Relationship Id="rId16" Type="http://schemas.openxmlformats.org/officeDocument/2006/relationships/hyperlink" Target="mailto:courseinfo@gre.ac.uk" TargetMode="External"/><Relationship Id="rId20" Type="http://schemas.openxmlformats.org/officeDocument/2006/relationships/hyperlink" Target="https://docs.gre.ac.uk/rep/sas/examinations-and-assessments-regul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re.ac.uk/study/support"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gre.ac.uk/study/suppor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ellbeing@gre.ac.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DCD1FC02425F4AA3D0EEA015A12621" ma:contentTypeVersion="13" ma:contentTypeDescription="Create a new document." ma:contentTypeScope="" ma:versionID="743541fcf1a8fc32d0e29a79e465dfb2">
  <xsd:schema xmlns:xsd="http://www.w3.org/2001/XMLSchema" xmlns:xs="http://www.w3.org/2001/XMLSchema" xmlns:p="http://schemas.microsoft.com/office/2006/metadata/properties" xmlns:ns3="42d2cff9-ef5a-41ce-8867-a1121e5cb6a1" xmlns:ns4="b30dc133-6482-4d37-9a46-54f443b49b26" targetNamespace="http://schemas.microsoft.com/office/2006/metadata/properties" ma:root="true" ma:fieldsID="86f98af0b805a15d7ecb7357a31d6009" ns3:_="" ns4:_="">
    <xsd:import namespace="42d2cff9-ef5a-41ce-8867-a1121e5cb6a1"/>
    <xsd:import namespace="b30dc133-6482-4d37-9a46-54f443b49b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2cff9-ef5a-41ce-8867-a1121e5cb6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0dc133-6482-4d37-9a46-54f443b49b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E2005-5440-4763-BFEF-E4F684495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2cff9-ef5a-41ce-8867-a1121e5cb6a1"/>
    <ds:schemaRef ds:uri="b30dc133-6482-4d37-9a46-54f443b49b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9AC19-26EE-4EEC-8E46-3B0B69EBBE68}">
  <ds:schemaRefs>
    <ds:schemaRef ds:uri="http://schemas.microsoft.com/office/infopath/2007/PartnerControls"/>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b30dc133-6482-4d37-9a46-54f443b49b26"/>
    <ds:schemaRef ds:uri="42d2cff9-ef5a-41ce-8867-a1121e5cb6a1"/>
    <ds:schemaRef ds:uri="http://www.w3.org/XML/1998/namespace"/>
  </ds:schemaRefs>
</ds:datastoreItem>
</file>

<file path=customXml/itemProps3.xml><?xml version="1.0" encoding="utf-8"?>
<ds:datastoreItem xmlns:ds="http://schemas.openxmlformats.org/officeDocument/2006/customXml" ds:itemID="{0B11E6F3-EA29-45F4-97C6-8650BA9E31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Library &amp; Information Services (ICT)</dc:creator>
  <cp:lastModifiedBy>Shapna Compton</cp:lastModifiedBy>
  <cp:revision>2</cp:revision>
  <dcterms:created xsi:type="dcterms:W3CDTF">2024-06-03T13:14:00Z</dcterms:created>
  <dcterms:modified xsi:type="dcterms:W3CDTF">2024-06-03T13:14:00Z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2018-08-13T00:00:00Z</vt:filetime>
  </property>
  <property fmtid="{D5CDD505-2E9C-101B-9397-08002B2CF9AE}" pid="3" name="Creator">
    <vt:lpwstr>Microsoft® Word 2013</vt:lpwstr>
  </property>
  <property fmtid="{D5CDD505-2E9C-101B-9397-08002B2CF9AE}" pid="4" name="LastSaved">
    <vt:filetime>2021-04-19T00:00:00Z</vt:filetime>
  </property>
  <property fmtid="{D5CDD505-2E9C-101B-9397-08002B2CF9AE}" pid="5" name="ContentTypeId">
    <vt:lpwstr>0x010100D1DCD1FC02425F4AA3D0EEA015A12621</vt:lpwstr>
  </property>
</Properties>
</file>