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DA" w:rsidRPr="00A747B8" w:rsidRDefault="008428A9">
      <w:pPr>
        <w:rPr>
          <w:rFonts w:ascii="Arial" w:hAnsi="Arial" w:cs="Arial"/>
          <w:sz w:val="24"/>
          <w:szCs w:val="24"/>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New UoG Logo Jan 2010" style="position:absolute;margin-left:299.25pt;margin-top:-54.75pt;width:174.75pt;height:87pt;z-index:251658240;visibility:visible">
            <v:imagedata r:id="rId7" o:title=""/>
          </v:shape>
        </w:pict>
      </w:r>
      <w:r w:rsidR="00C301DA">
        <w:rPr>
          <w:rFonts w:ascii="Arial" w:hAnsi="Arial" w:cs="Arial"/>
          <w:sz w:val="24"/>
          <w:szCs w:val="24"/>
        </w:rPr>
        <w:t xml:space="preserve">   </w:t>
      </w:r>
    </w:p>
    <w:p w:rsidR="00C301DA" w:rsidRPr="00A747B8" w:rsidRDefault="00C301DA" w:rsidP="00B336A5">
      <w:pPr>
        <w:rPr>
          <w:rFonts w:ascii="Arial" w:hAnsi="Arial" w:cs="Arial"/>
          <w:sz w:val="24"/>
          <w:szCs w:val="24"/>
        </w:rPr>
      </w:pPr>
    </w:p>
    <w:p w:rsidR="00C301DA" w:rsidRPr="00A747B8" w:rsidRDefault="00C301DA" w:rsidP="00B336A5">
      <w:pPr>
        <w:jc w:val="center"/>
        <w:rPr>
          <w:rFonts w:ascii="Arial" w:hAnsi="Arial" w:cs="Arial"/>
          <w:b/>
          <w:sz w:val="24"/>
          <w:szCs w:val="24"/>
        </w:rPr>
      </w:pPr>
      <w:r>
        <w:rPr>
          <w:rFonts w:ascii="Arial" w:hAnsi="Arial" w:cs="Arial"/>
          <w:b/>
          <w:sz w:val="24"/>
          <w:szCs w:val="24"/>
        </w:rPr>
        <w:t>LEARNING AND QUALITY COMMITTEE</w:t>
      </w:r>
    </w:p>
    <w:p w:rsidR="00C301DA" w:rsidRPr="00A747B8" w:rsidRDefault="00C301DA" w:rsidP="00B336A5">
      <w:pPr>
        <w:tabs>
          <w:tab w:val="left" w:pos="0"/>
        </w:tabs>
        <w:jc w:val="center"/>
        <w:rPr>
          <w:rFonts w:ascii="Arial" w:hAnsi="Arial" w:cs="Arial"/>
          <w:b/>
          <w:sz w:val="24"/>
          <w:szCs w:val="24"/>
        </w:rPr>
      </w:pPr>
      <w:r w:rsidRPr="00A747B8">
        <w:rPr>
          <w:rFonts w:ascii="Arial" w:hAnsi="Arial" w:cs="Arial"/>
          <w:b/>
          <w:sz w:val="24"/>
          <w:szCs w:val="24"/>
        </w:rPr>
        <w:t xml:space="preserve">Minutes of the </w:t>
      </w:r>
      <w:r>
        <w:rPr>
          <w:rFonts w:ascii="Arial" w:hAnsi="Arial" w:cs="Arial"/>
          <w:b/>
          <w:sz w:val="24"/>
          <w:szCs w:val="24"/>
        </w:rPr>
        <w:t>first</w:t>
      </w:r>
      <w:r w:rsidRPr="00A747B8">
        <w:rPr>
          <w:rFonts w:ascii="Arial" w:hAnsi="Arial" w:cs="Arial"/>
          <w:b/>
          <w:sz w:val="24"/>
          <w:szCs w:val="24"/>
        </w:rPr>
        <w:t xml:space="preserve"> meeting of the </w:t>
      </w:r>
      <w:r>
        <w:rPr>
          <w:rFonts w:ascii="Arial" w:hAnsi="Arial" w:cs="Arial"/>
          <w:b/>
          <w:sz w:val="24"/>
          <w:szCs w:val="24"/>
        </w:rPr>
        <w:t>Learning and Quality Committee</w:t>
      </w:r>
      <w:r w:rsidRPr="00A747B8">
        <w:rPr>
          <w:rFonts w:ascii="Arial" w:hAnsi="Arial" w:cs="Arial"/>
          <w:b/>
          <w:sz w:val="24"/>
          <w:szCs w:val="24"/>
        </w:rPr>
        <w:t xml:space="preserve"> in the 201</w:t>
      </w:r>
      <w:r>
        <w:rPr>
          <w:rFonts w:ascii="Arial" w:hAnsi="Arial" w:cs="Arial"/>
          <w:b/>
          <w:sz w:val="24"/>
          <w:szCs w:val="24"/>
        </w:rPr>
        <w:t>2</w:t>
      </w:r>
      <w:r w:rsidRPr="00A747B8">
        <w:rPr>
          <w:rFonts w:ascii="Arial" w:hAnsi="Arial" w:cs="Arial"/>
          <w:b/>
          <w:sz w:val="24"/>
          <w:szCs w:val="24"/>
        </w:rPr>
        <w:t>-1</w:t>
      </w:r>
      <w:r>
        <w:rPr>
          <w:rFonts w:ascii="Arial" w:hAnsi="Arial" w:cs="Arial"/>
          <w:b/>
          <w:sz w:val="24"/>
          <w:szCs w:val="24"/>
        </w:rPr>
        <w:t>3</w:t>
      </w:r>
      <w:r w:rsidRPr="00A747B8">
        <w:rPr>
          <w:rFonts w:ascii="Arial" w:hAnsi="Arial" w:cs="Arial"/>
          <w:b/>
          <w:sz w:val="24"/>
          <w:szCs w:val="24"/>
        </w:rPr>
        <w:t xml:space="preserve"> academic session, held on </w:t>
      </w:r>
      <w:r>
        <w:rPr>
          <w:rFonts w:ascii="Arial" w:hAnsi="Arial" w:cs="Arial"/>
          <w:b/>
          <w:sz w:val="24"/>
          <w:szCs w:val="24"/>
        </w:rPr>
        <w:t>Wednesday 19</w:t>
      </w:r>
      <w:r w:rsidRPr="007E2521">
        <w:rPr>
          <w:rFonts w:ascii="Arial" w:hAnsi="Arial" w:cs="Arial"/>
          <w:b/>
          <w:sz w:val="24"/>
          <w:szCs w:val="24"/>
          <w:vertAlign w:val="superscript"/>
        </w:rPr>
        <w:t>th</w:t>
      </w:r>
      <w:r>
        <w:rPr>
          <w:rFonts w:ascii="Arial" w:hAnsi="Arial" w:cs="Arial"/>
          <w:b/>
          <w:sz w:val="24"/>
          <w:szCs w:val="24"/>
        </w:rPr>
        <w:t xml:space="preserve"> September</w:t>
      </w:r>
      <w:r w:rsidRPr="00A747B8">
        <w:rPr>
          <w:rFonts w:ascii="Arial" w:hAnsi="Arial" w:cs="Arial"/>
          <w:b/>
          <w:sz w:val="24"/>
          <w:szCs w:val="24"/>
        </w:rPr>
        <w:t xml:space="preserve"> in </w:t>
      </w:r>
      <w:r>
        <w:rPr>
          <w:rFonts w:ascii="Arial" w:hAnsi="Arial" w:cs="Arial"/>
          <w:b/>
          <w:sz w:val="24"/>
          <w:szCs w:val="24"/>
        </w:rPr>
        <w:t>HH102</w:t>
      </w:r>
      <w:r w:rsidRPr="00A747B8">
        <w:rPr>
          <w:rFonts w:ascii="Arial" w:hAnsi="Arial" w:cs="Arial"/>
          <w:b/>
          <w:sz w:val="24"/>
          <w:szCs w:val="24"/>
        </w:rPr>
        <w:t xml:space="preserve">, </w:t>
      </w:r>
      <w:smartTag w:uri="urn:schemas-microsoft-com:office:smarttags" w:element="City">
        <w:r>
          <w:rPr>
            <w:rFonts w:ascii="Arial" w:hAnsi="Arial" w:cs="Arial"/>
            <w:b/>
            <w:sz w:val="24"/>
            <w:szCs w:val="24"/>
          </w:rPr>
          <w:t>Hamilton</w:t>
        </w:r>
      </w:smartTag>
      <w:r>
        <w:rPr>
          <w:rFonts w:ascii="Arial" w:hAnsi="Arial" w:cs="Arial"/>
          <w:b/>
          <w:sz w:val="24"/>
          <w:szCs w:val="24"/>
        </w:rPr>
        <w:t xml:space="preserve"> House</w:t>
      </w:r>
      <w:r w:rsidRPr="00A747B8">
        <w:rPr>
          <w:rFonts w:ascii="Arial" w:hAnsi="Arial" w:cs="Arial"/>
          <w:b/>
          <w:sz w:val="24"/>
          <w:szCs w:val="24"/>
        </w:rPr>
        <w:t xml:space="preserve">, </w:t>
      </w:r>
      <w:smartTag w:uri="urn:schemas-microsoft-com:office:smarttags" w:element="place">
        <w:smartTag w:uri="urn:schemas-microsoft-com:office:smarttags" w:element="City">
          <w:r>
            <w:rPr>
              <w:rFonts w:ascii="Arial" w:hAnsi="Arial" w:cs="Arial"/>
              <w:b/>
              <w:sz w:val="24"/>
              <w:szCs w:val="24"/>
            </w:rPr>
            <w:t>Greenwich</w:t>
          </w:r>
        </w:smartTag>
      </w:smartTag>
      <w:r>
        <w:rPr>
          <w:rFonts w:ascii="Arial" w:hAnsi="Arial" w:cs="Arial"/>
          <w:b/>
          <w:sz w:val="24"/>
          <w:szCs w:val="24"/>
        </w:rPr>
        <w:t xml:space="preserve"> Campus</w:t>
      </w:r>
    </w:p>
    <w:p w:rsidR="00C301DA" w:rsidRPr="00A747B8" w:rsidRDefault="00C301DA" w:rsidP="00B336A5">
      <w:pPr>
        <w:rPr>
          <w:rFonts w:ascii="Arial" w:hAnsi="Arial" w:cs="Arial"/>
          <w:sz w:val="24"/>
          <w:szCs w:val="24"/>
        </w:rPr>
      </w:pPr>
    </w:p>
    <w:tbl>
      <w:tblPr>
        <w:tblW w:w="0" w:type="auto"/>
        <w:tblLayout w:type="fixed"/>
        <w:tblLook w:val="01E0" w:firstRow="1" w:lastRow="1" w:firstColumn="1" w:lastColumn="1" w:noHBand="0" w:noVBand="0"/>
      </w:tblPr>
      <w:tblGrid>
        <w:gridCol w:w="2306"/>
        <w:gridCol w:w="2089"/>
        <w:gridCol w:w="5211"/>
      </w:tblGrid>
      <w:tr w:rsidR="00C301DA" w:rsidTr="005116F9">
        <w:trPr>
          <w:trHeight w:val="369"/>
        </w:trPr>
        <w:tc>
          <w:tcPr>
            <w:tcW w:w="2306" w:type="dxa"/>
            <w:vAlign w:val="center"/>
          </w:tcPr>
          <w:p w:rsidR="00C301DA" w:rsidRPr="00CA7635" w:rsidRDefault="00C301DA" w:rsidP="00B336A5">
            <w:pPr>
              <w:rPr>
                <w:rFonts w:ascii="Arial" w:hAnsi="Arial" w:cs="Arial"/>
                <w:sz w:val="20"/>
                <w:szCs w:val="20"/>
              </w:rPr>
            </w:pPr>
            <w:r w:rsidRPr="00CA7635">
              <w:rPr>
                <w:rFonts w:ascii="Arial" w:hAnsi="Arial" w:cs="Arial"/>
                <w:b/>
                <w:sz w:val="24"/>
                <w:szCs w:val="24"/>
              </w:rPr>
              <w:t>Present</w:t>
            </w:r>
            <w:r w:rsidRPr="00CA7635">
              <w:rPr>
                <w:rFonts w:ascii="Arial" w:hAnsi="Arial" w:cs="Arial"/>
                <w:sz w:val="20"/>
                <w:szCs w:val="20"/>
              </w:rPr>
              <w:t>:</w:t>
            </w: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S. Jarvis (Chair)</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Deputy Vice-Chancellor (Academic Development)</w:t>
            </w:r>
          </w:p>
        </w:tc>
      </w:tr>
      <w:tr w:rsidR="00C301DA" w:rsidTr="005116F9">
        <w:trPr>
          <w:trHeight w:val="207"/>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S. Naylor (Officer)</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QA Manager Learning and Quality Unit</w:t>
            </w:r>
          </w:p>
        </w:tc>
      </w:tr>
      <w:tr w:rsidR="00C301DA" w:rsidTr="005116F9">
        <w:trPr>
          <w:trHeight w:val="285"/>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D. Brander</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Vice President (Education</w:t>
            </w:r>
            <w:r>
              <w:rPr>
                <w:rFonts w:ascii="Arial" w:hAnsi="Arial" w:cs="Arial"/>
                <w:sz w:val="20"/>
                <w:szCs w:val="20"/>
              </w:rPr>
              <w:t xml:space="preserve"> &amp; Welfare</w:t>
            </w:r>
            <w:r w:rsidRPr="00CA7635">
              <w:rPr>
                <w:rFonts w:ascii="Arial" w:hAnsi="Arial" w:cs="Arial"/>
                <w:sz w:val="20"/>
                <w:szCs w:val="20"/>
              </w:rPr>
              <w:t>), Students’ Union</w:t>
            </w:r>
          </w:p>
        </w:tc>
      </w:tr>
      <w:tr w:rsidR="00C301DA" w:rsidTr="005116F9">
        <w:trPr>
          <w:trHeight w:val="95"/>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W. Cealey Harrison</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Head of Learning and Quality Unit</w:t>
            </w:r>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J. Cullinane</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Business</w:t>
                  </w:r>
                </w:smartTag>
              </w:smartTag>
            </w:smartTag>
          </w:p>
        </w:tc>
      </w:tr>
      <w:tr w:rsidR="00C301DA" w:rsidTr="005116F9">
        <w:trPr>
          <w:trHeight w:val="159"/>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A. Grant</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Engineering</w:t>
                  </w:r>
                </w:smartTag>
              </w:smartTag>
            </w:smartTag>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V. Habgood</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DLQ, School Health and Social Care</w:t>
            </w:r>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D. Hayes</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Head of Partnership Division</w:t>
            </w:r>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C. Ierotheou</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r w:rsidRPr="00CA7635">
                <w:rPr>
                  <w:rFonts w:ascii="Arial" w:hAnsi="Arial" w:cs="Arial"/>
                  <w:sz w:val="20"/>
                  <w:szCs w:val="20"/>
                </w:rPr>
                <w:t>School</w:t>
              </w:r>
            </w:smartTag>
            <w:r w:rsidRPr="00CA7635">
              <w:rPr>
                <w:rFonts w:ascii="Arial" w:hAnsi="Arial" w:cs="Arial"/>
                <w:sz w:val="20"/>
                <w:szCs w:val="20"/>
              </w:rPr>
              <w:t xml:space="preserve"> of Computing &amp; Mathematical Sciences</w:t>
            </w:r>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S. Leggatt</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 xml:space="preserve">Acting 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Education</w:t>
                  </w:r>
                </w:smartTag>
              </w:smartTag>
            </w:smartTag>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A. Murphy</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Head of Learning Services, ILS</w:t>
            </w:r>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Z. Pe</w:t>
            </w:r>
            <w:r>
              <w:rPr>
                <w:rFonts w:ascii="Arial" w:hAnsi="Arial" w:cs="Arial"/>
                <w:sz w:val="20"/>
                <w:szCs w:val="20"/>
              </w:rPr>
              <w:t>t</w:t>
            </w:r>
            <w:r w:rsidRPr="00CA7635">
              <w:rPr>
                <w:rFonts w:ascii="Arial" w:hAnsi="Arial" w:cs="Arial"/>
                <w:sz w:val="20"/>
                <w:szCs w:val="20"/>
              </w:rPr>
              <w:t>tit</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DLQ, School of Humanities &amp; Social Sciences</w:t>
            </w:r>
          </w:p>
        </w:tc>
      </w:tr>
      <w:tr w:rsidR="00C301DA" w:rsidTr="005116F9">
        <w:trPr>
          <w:trHeight w:val="113"/>
        </w:trPr>
        <w:tc>
          <w:tcPr>
            <w:tcW w:w="2306" w:type="dxa"/>
            <w:vAlign w:val="center"/>
          </w:tcPr>
          <w:p w:rsidR="00C301DA" w:rsidRPr="00CA7635" w:rsidRDefault="00C301DA" w:rsidP="00B336A5">
            <w:pPr>
              <w:rPr>
                <w:rFonts w:ascii="Arial" w:hAnsi="Arial" w:cs="Arial"/>
                <w:sz w:val="20"/>
                <w:szCs w:val="20"/>
              </w:rPr>
            </w:pPr>
          </w:p>
        </w:tc>
        <w:tc>
          <w:tcPr>
            <w:tcW w:w="2089" w:type="dxa"/>
            <w:vAlign w:val="bottom"/>
          </w:tcPr>
          <w:p w:rsidR="00C301DA" w:rsidRPr="00CA7635" w:rsidRDefault="00C301DA" w:rsidP="005116F9">
            <w:pPr>
              <w:rPr>
                <w:rFonts w:ascii="Arial" w:hAnsi="Arial" w:cs="Arial"/>
                <w:sz w:val="20"/>
                <w:szCs w:val="20"/>
              </w:rPr>
            </w:pPr>
            <w:smartTag w:uri="urn:schemas-microsoft-com:office:smarttags" w:element="PlaceName">
              <w:smartTag w:uri="urn:schemas-microsoft-com:office:smarttags" w:element="place">
                <w:r w:rsidRPr="00CA7635">
                  <w:rPr>
                    <w:rFonts w:ascii="Arial" w:hAnsi="Arial" w:cs="Arial"/>
                    <w:sz w:val="20"/>
                    <w:szCs w:val="20"/>
                  </w:rPr>
                  <w:t>S. Walker</w:t>
                </w:r>
              </w:smartTag>
            </w:smartTag>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Head of Educational Development Unit</w:t>
            </w:r>
          </w:p>
        </w:tc>
      </w:tr>
      <w:tr w:rsidR="00C301DA" w:rsidTr="005116F9">
        <w:tc>
          <w:tcPr>
            <w:tcW w:w="2306" w:type="dxa"/>
            <w:vAlign w:val="center"/>
          </w:tcPr>
          <w:p w:rsidR="00C301DA" w:rsidRPr="00CA7635" w:rsidRDefault="00C301DA" w:rsidP="003D5841">
            <w:pPr>
              <w:rPr>
                <w:rFonts w:ascii="Arial" w:hAnsi="Arial" w:cs="Arial"/>
                <w:sz w:val="20"/>
                <w:szCs w:val="20"/>
              </w:rPr>
            </w:pPr>
            <w:r w:rsidRPr="00CA7635">
              <w:rPr>
                <w:rFonts w:ascii="Arial" w:hAnsi="Arial" w:cs="Arial"/>
                <w:b/>
                <w:sz w:val="24"/>
                <w:szCs w:val="24"/>
              </w:rPr>
              <w:t>In attendance</w:t>
            </w: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C. Couper</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Head of Planning and Statistics</w:t>
            </w:r>
          </w:p>
        </w:tc>
      </w:tr>
      <w:tr w:rsidR="00C301DA" w:rsidTr="005116F9">
        <w:tc>
          <w:tcPr>
            <w:tcW w:w="2306" w:type="dxa"/>
            <w:vAlign w:val="center"/>
          </w:tcPr>
          <w:p w:rsidR="00C301DA" w:rsidRPr="00CA7635" w:rsidRDefault="00C301DA" w:rsidP="003D5841">
            <w:pPr>
              <w:rPr>
                <w:rFonts w:ascii="Arial" w:hAnsi="Arial" w:cs="Arial"/>
                <w:b/>
                <w:sz w:val="24"/>
                <w:szCs w:val="24"/>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K.Thompson</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Senior Planning Analyst, Planning &amp; Statistics</w:t>
            </w:r>
          </w:p>
        </w:tc>
      </w:tr>
      <w:tr w:rsidR="00C301DA" w:rsidTr="005116F9">
        <w:tc>
          <w:tcPr>
            <w:tcW w:w="2306" w:type="dxa"/>
            <w:vAlign w:val="center"/>
          </w:tcPr>
          <w:p w:rsidR="00C301DA" w:rsidRPr="00CA7635" w:rsidRDefault="00C301DA" w:rsidP="00B336A5">
            <w:pPr>
              <w:rPr>
                <w:rFonts w:ascii="Arial" w:hAnsi="Arial" w:cs="Arial"/>
                <w:b/>
                <w:sz w:val="24"/>
                <w:szCs w:val="24"/>
              </w:rPr>
            </w:pPr>
            <w:r w:rsidRPr="00CA7635">
              <w:rPr>
                <w:rFonts w:ascii="Arial" w:hAnsi="Arial" w:cs="Arial"/>
                <w:b/>
                <w:sz w:val="24"/>
                <w:szCs w:val="24"/>
              </w:rPr>
              <w:t>Apologies</w:t>
            </w: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C. Delage</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 xml:space="preserve">DLQ,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Architecture</w:t>
                  </w:r>
                </w:smartTag>
              </w:smartTag>
            </w:smartTag>
            <w:r w:rsidRPr="00CA7635">
              <w:rPr>
                <w:rFonts w:ascii="Arial" w:hAnsi="Arial" w:cs="Arial"/>
                <w:sz w:val="20"/>
                <w:szCs w:val="20"/>
              </w:rPr>
              <w:t>, Design and Construction</w:t>
            </w:r>
          </w:p>
        </w:tc>
      </w:tr>
      <w:tr w:rsidR="00C301DA" w:rsidTr="005116F9">
        <w:tc>
          <w:tcPr>
            <w:tcW w:w="2306" w:type="dxa"/>
            <w:vAlign w:val="center"/>
          </w:tcPr>
          <w:p w:rsidR="00C301DA" w:rsidRPr="00CA7635" w:rsidRDefault="00C301DA" w:rsidP="00B336A5">
            <w:pPr>
              <w:rPr>
                <w:rFonts w:ascii="Arial" w:hAnsi="Arial" w:cs="Arial"/>
                <w:b/>
                <w:sz w:val="24"/>
                <w:szCs w:val="24"/>
              </w:rPr>
            </w:pPr>
          </w:p>
        </w:tc>
        <w:tc>
          <w:tcPr>
            <w:tcW w:w="2089"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D. Sheppard</w:t>
            </w:r>
          </w:p>
        </w:tc>
        <w:tc>
          <w:tcPr>
            <w:tcW w:w="5211" w:type="dxa"/>
            <w:vAlign w:val="bottom"/>
          </w:tcPr>
          <w:p w:rsidR="00C301DA" w:rsidRPr="00CA7635" w:rsidRDefault="00C301DA" w:rsidP="005116F9">
            <w:pPr>
              <w:rPr>
                <w:rFonts w:ascii="Arial" w:hAnsi="Arial" w:cs="Arial"/>
                <w:sz w:val="20"/>
                <w:szCs w:val="20"/>
              </w:rPr>
            </w:pPr>
            <w:r w:rsidRPr="00CA7635">
              <w:rPr>
                <w:rFonts w:ascii="Arial" w:hAnsi="Arial" w:cs="Arial"/>
                <w:sz w:val="20"/>
                <w:szCs w:val="20"/>
              </w:rPr>
              <w:t xml:space="preserve">SQAO,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CA7635">
                      <w:rPr>
                        <w:rFonts w:ascii="Arial" w:hAnsi="Arial" w:cs="Arial"/>
                        <w:sz w:val="20"/>
                        <w:szCs w:val="20"/>
                      </w:rPr>
                      <w:t>School</w:t>
                    </w:r>
                  </w:smartTag>
                </w:smartTag>
                <w:r w:rsidRPr="00CA7635">
                  <w:rPr>
                    <w:rFonts w:ascii="Arial" w:hAnsi="Arial" w:cs="Arial"/>
                    <w:sz w:val="20"/>
                    <w:szCs w:val="20"/>
                  </w:rPr>
                  <w:t xml:space="preserve"> of </w:t>
                </w:r>
                <w:smartTag w:uri="urn:schemas-microsoft-com:office:smarttags" w:element="PlaceName">
                  <w:r w:rsidRPr="00CA7635">
                    <w:rPr>
                      <w:rFonts w:ascii="Arial" w:hAnsi="Arial" w:cs="Arial"/>
                      <w:sz w:val="20"/>
                      <w:szCs w:val="20"/>
                    </w:rPr>
                    <w:t>Business</w:t>
                  </w:r>
                </w:smartTag>
              </w:smartTag>
            </w:smartTag>
          </w:p>
        </w:tc>
      </w:tr>
    </w:tbl>
    <w:p w:rsidR="00C301DA" w:rsidRDefault="00C301DA">
      <w:r>
        <w:br w:type="page"/>
      </w:r>
    </w:p>
    <w:tbl>
      <w:tblPr>
        <w:tblW w:w="10008" w:type="dxa"/>
        <w:tblLayout w:type="fixed"/>
        <w:tblLook w:val="01E0" w:firstRow="1" w:lastRow="1" w:firstColumn="1" w:lastColumn="1" w:noHBand="0" w:noVBand="0"/>
      </w:tblPr>
      <w:tblGrid>
        <w:gridCol w:w="1548"/>
        <w:gridCol w:w="7380"/>
        <w:gridCol w:w="1080"/>
      </w:tblGrid>
      <w:tr w:rsidR="00C301DA" w:rsidTr="005116F9">
        <w:tc>
          <w:tcPr>
            <w:tcW w:w="1548" w:type="dxa"/>
          </w:tcPr>
          <w:p w:rsidR="00C301DA" w:rsidRPr="00CA7635" w:rsidRDefault="00C301DA" w:rsidP="00CA7635">
            <w:pPr>
              <w:spacing w:after="240"/>
              <w:jc w:val="both"/>
              <w:rPr>
                <w:rFonts w:ascii="Arial" w:hAnsi="Arial" w:cs="Arial"/>
                <w:sz w:val="24"/>
                <w:szCs w:val="24"/>
              </w:rPr>
            </w:pPr>
            <w:r w:rsidRPr="00CA7635">
              <w:rPr>
                <w:rFonts w:ascii="Arial" w:hAnsi="Arial" w:cs="Arial"/>
                <w:b/>
                <w:sz w:val="24"/>
                <w:szCs w:val="24"/>
              </w:rPr>
              <w:t>LQC/12</w:t>
            </w:r>
            <w:r>
              <w:rPr>
                <w:rFonts w:ascii="Arial" w:hAnsi="Arial" w:cs="Arial"/>
                <w:b/>
                <w:sz w:val="24"/>
                <w:szCs w:val="24"/>
              </w:rPr>
              <w:t>.</w:t>
            </w:r>
            <w:r w:rsidRPr="00CA7635">
              <w:rPr>
                <w:rFonts w:ascii="Arial" w:hAnsi="Arial" w:cs="Arial"/>
                <w:b/>
                <w:sz w:val="24"/>
                <w:szCs w:val="24"/>
              </w:rPr>
              <w:t>1</w:t>
            </w:r>
          </w:p>
        </w:tc>
        <w:tc>
          <w:tcPr>
            <w:tcW w:w="7380" w:type="dxa"/>
          </w:tcPr>
          <w:p w:rsidR="00C301DA" w:rsidRPr="00CA7635" w:rsidRDefault="00C301DA" w:rsidP="00CA7635">
            <w:pPr>
              <w:spacing w:after="240"/>
              <w:rPr>
                <w:rFonts w:ascii="Arial" w:hAnsi="Arial" w:cs="Arial"/>
                <w:sz w:val="24"/>
                <w:szCs w:val="24"/>
              </w:rPr>
            </w:pPr>
            <w:r w:rsidRPr="00CA7635">
              <w:rPr>
                <w:rFonts w:ascii="Arial" w:hAnsi="Arial" w:cs="Arial"/>
                <w:b/>
                <w:sz w:val="24"/>
                <w:szCs w:val="24"/>
              </w:rPr>
              <w:t>Items from Chair</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jc w:val="right"/>
              <w:rPr>
                <w:rFonts w:ascii="Arial" w:hAnsi="Arial" w:cs="Arial"/>
                <w:sz w:val="24"/>
                <w:szCs w:val="24"/>
              </w:rPr>
            </w:pPr>
            <w:r w:rsidRPr="00CA7635">
              <w:rPr>
                <w:rFonts w:ascii="Arial" w:hAnsi="Arial" w:cs="Arial"/>
                <w:sz w:val="24"/>
                <w:szCs w:val="24"/>
              </w:rPr>
              <w:t>1.1</w:t>
            </w:r>
          </w:p>
        </w:tc>
        <w:tc>
          <w:tcPr>
            <w:tcW w:w="7380" w:type="dxa"/>
          </w:tcPr>
          <w:p w:rsidR="00C301DA" w:rsidRPr="00CA7635" w:rsidRDefault="00C301DA" w:rsidP="00CA7635">
            <w:pPr>
              <w:spacing w:after="240"/>
              <w:rPr>
                <w:rFonts w:ascii="Arial" w:hAnsi="Arial" w:cs="Arial"/>
                <w:sz w:val="24"/>
                <w:szCs w:val="24"/>
              </w:rPr>
            </w:pPr>
            <w:r w:rsidRPr="00CA7635">
              <w:rPr>
                <w:rFonts w:ascii="Arial" w:hAnsi="Arial" w:cs="Arial"/>
                <w:sz w:val="24"/>
                <w:szCs w:val="24"/>
              </w:rPr>
              <w:t>The Chair welcomed Dean Brander to his first meeting of the session as Student Union (VP) for Education.</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jc w:val="right"/>
              <w:rPr>
                <w:rFonts w:ascii="Arial" w:hAnsi="Arial" w:cs="Arial"/>
                <w:sz w:val="24"/>
                <w:szCs w:val="24"/>
              </w:rPr>
            </w:pPr>
            <w:r w:rsidRPr="00CA7635">
              <w:rPr>
                <w:rFonts w:ascii="Arial" w:hAnsi="Arial" w:cs="Arial"/>
                <w:sz w:val="24"/>
                <w:szCs w:val="24"/>
              </w:rPr>
              <w:t>1.2</w:t>
            </w:r>
          </w:p>
        </w:tc>
        <w:tc>
          <w:tcPr>
            <w:tcW w:w="7380" w:type="dxa"/>
          </w:tcPr>
          <w:p w:rsidR="00C301DA" w:rsidRPr="00CA7635" w:rsidRDefault="00C301DA" w:rsidP="007829C9">
            <w:pPr>
              <w:spacing w:after="240"/>
              <w:rPr>
                <w:rFonts w:ascii="Arial" w:hAnsi="Arial" w:cs="Arial"/>
                <w:sz w:val="24"/>
                <w:szCs w:val="24"/>
              </w:rPr>
            </w:pPr>
            <w:r w:rsidRPr="00CA7635">
              <w:rPr>
                <w:rFonts w:ascii="Arial" w:hAnsi="Arial" w:cs="Arial"/>
                <w:sz w:val="24"/>
                <w:szCs w:val="24"/>
              </w:rPr>
              <w:t>The Chair noted that the University would be focusing upon targeted recruitment and portfolio review with the immediate aims of improving student sense of belonging and identity</w:t>
            </w:r>
            <w:r>
              <w:rPr>
                <w:rFonts w:ascii="Arial" w:hAnsi="Arial" w:cs="Arial"/>
                <w:sz w:val="24"/>
                <w:szCs w:val="24"/>
              </w:rPr>
              <w:t>. In particular, this focus is aimed at</w:t>
            </w:r>
            <w:r w:rsidRPr="00CA7635">
              <w:rPr>
                <w:rFonts w:ascii="Arial" w:hAnsi="Arial" w:cs="Arial"/>
                <w:sz w:val="24"/>
                <w:szCs w:val="24"/>
              </w:rPr>
              <w:t xml:space="preserve"> improv</w:t>
            </w:r>
            <w:r>
              <w:rPr>
                <w:rFonts w:ascii="Arial" w:hAnsi="Arial" w:cs="Arial"/>
                <w:sz w:val="24"/>
                <w:szCs w:val="24"/>
              </w:rPr>
              <w:t xml:space="preserve">ing the </w:t>
            </w:r>
            <w:r w:rsidRPr="00CA7635">
              <w:rPr>
                <w:rFonts w:ascii="Arial" w:hAnsi="Arial" w:cs="Arial"/>
                <w:sz w:val="24"/>
                <w:szCs w:val="24"/>
              </w:rPr>
              <w:t>student experience</w:t>
            </w:r>
            <w:r>
              <w:rPr>
                <w:rFonts w:ascii="Arial" w:hAnsi="Arial" w:cs="Arial"/>
                <w:sz w:val="24"/>
                <w:szCs w:val="24"/>
              </w:rPr>
              <w:t xml:space="preserve"> and </w:t>
            </w:r>
            <w:r w:rsidRPr="00CA7635">
              <w:rPr>
                <w:rFonts w:ascii="Arial" w:hAnsi="Arial" w:cs="Arial"/>
                <w:sz w:val="24"/>
                <w:szCs w:val="24"/>
              </w:rPr>
              <w:t xml:space="preserve">engagement with staff </w:t>
            </w:r>
            <w:r>
              <w:rPr>
                <w:rFonts w:ascii="Arial" w:hAnsi="Arial" w:cs="Arial"/>
                <w:sz w:val="24"/>
                <w:szCs w:val="24"/>
              </w:rPr>
              <w:t>at all levels</w:t>
            </w:r>
            <w:r w:rsidRPr="00CA7635">
              <w:rPr>
                <w:rFonts w:ascii="Arial" w:hAnsi="Arial" w:cs="Arial"/>
                <w:sz w:val="24"/>
                <w:szCs w:val="24"/>
              </w:rPr>
              <w:t>.  The aim of increasing st</w:t>
            </w:r>
            <w:r>
              <w:rPr>
                <w:rFonts w:ascii="Arial" w:hAnsi="Arial" w:cs="Arial"/>
                <w:sz w:val="24"/>
                <w:szCs w:val="24"/>
              </w:rPr>
              <w:t>udent belonging will be a theme</w:t>
            </w:r>
            <w:r w:rsidRPr="00CA7635">
              <w:rPr>
                <w:rFonts w:ascii="Arial" w:hAnsi="Arial" w:cs="Arial"/>
                <w:sz w:val="24"/>
                <w:szCs w:val="24"/>
              </w:rPr>
              <w:t xml:space="preserve"> developed across the University and plans are being made to hold campus development events during the session.  </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jc w:val="right"/>
              <w:rPr>
                <w:rFonts w:ascii="Arial" w:hAnsi="Arial" w:cs="Arial"/>
                <w:sz w:val="24"/>
                <w:szCs w:val="24"/>
              </w:rPr>
            </w:pPr>
            <w:r w:rsidRPr="00CA7635">
              <w:rPr>
                <w:rFonts w:ascii="Arial" w:hAnsi="Arial" w:cs="Arial"/>
                <w:sz w:val="24"/>
                <w:szCs w:val="24"/>
              </w:rPr>
              <w:t>1.3</w:t>
            </w:r>
          </w:p>
        </w:tc>
        <w:tc>
          <w:tcPr>
            <w:tcW w:w="7380" w:type="dxa"/>
          </w:tcPr>
          <w:p w:rsidR="00C301DA" w:rsidRPr="00CA7635" w:rsidRDefault="00C301DA" w:rsidP="00CA7635">
            <w:pPr>
              <w:spacing w:after="240"/>
              <w:rPr>
                <w:rFonts w:ascii="Arial" w:hAnsi="Arial" w:cs="Arial"/>
                <w:sz w:val="24"/>
                <w:szCs w:val="24"/>
              </w:rPr>
            </w:pPr>
            <w:r w:rsidRPr="00CA7635">
              <w:rPr>
                <w:rFonts w:ascii="Arial" w:hAnsi="Arial" w:cs="Arial"/>
                <w:sz w:val="24"/>
                <w:szCs w:val="24"/>
              </w:rPr>
              <w:t>The University will be subscribing to the “Student Ba</w:t>
            </w:r>
            <w:r>
              <w:rPr>
                <w:rFonts w:ascii="Arial" w:hAnsi="Arial" w:cs="Arial"/>
                <w:sz w:val="24"/>
                <w:szCs w:val="24"/>
              </w:rPr>
              <w:t>rometer”</w:t>
            </w:r>
            <w:r w:rsidRPr="00CA7635">
              <w:rPr>
                <w:rFonts w:ascii="Arial" w:hAnsi="Arial" w:cs="Arial"/>
                <w:sz w:val="24"/>
                <w:szCs w:val="24"/>
              </w:rPr>
              <w:t xml:space="preserve"> </w:t>
            </w:r>
            <w:r>
              <w:rPr>
                <w:rFonts w:ascii="Arial" w:hAnsi="Arial" w:cs="Arial"/>
                <w:sz w:val="24"/>
                <w:szCs w:val="24"/>
              </w:rPr>
              <w:t xml:space="preserve">conducted by </w:t>
            </w:r>
            <w:r w:rsidRPr="00CA7635">
              <w:rPr>
                <w:rFonts w:ascii="Arial" w:hAnsi="Arial" w:cs="Arial"/>
                <w:sz w:val="24"/>
                <w:szCs w:val="24"/>
              </w:rPr>
              <w:t>IG</w:t>
            </w:r>
            <w:r>
              <w:rPr>
                <w:rFonts w:ascii="Arial" w:hAnsi="Arial" w:cs="Arial"/>
                <w:sz w:val="24"/>
                <w:szCs w:val="24"/>
              </w:rPr>
              <w:t>raduate</w:t>
            </w:r>
            <w:r w:rsidRPr="00CA7635">
              <w:rPr>
                <w:rFonts w:ascii="Arial" w:hAnsi="Arial" w:cs="Arial"/>
                <w:sz w:val="24"/>
                <w:szCs w:val="24"/>
              </w:rPr>
              <w:t xml:space="preserve"> from 2012-13</w:t>
            </w:r>
            <w:r>
              <w:rPr>
                <w:rFonts w:ascii="Arial" w:hAnsi="Arial" w:cs="Arial"/>
                <w:sz w:val="24"/>
                <w:szCs w:val="24"/>
              </w:rPr>
              <w:t xml:space="preserve">. The survey </w:t>
            </w:r>
            <w:r w:rsidRPr="00CA7635">
              <w:rPr>
                <w:rFonts w:ascii="Arial" w:hAnsi="Arial" w:cs="Arial"/>
                <w:sz w:val="24"/>
                <w:szCs w:val="24"/>
              </w:rPr>
              <w:t>data</w:t>
            </w:r>
            <w:r>
              <w:rPr>
                <w:rFonts w:ascii="Arial" w:hAnsi="Arial" w:cs="Arial"/>
                <w:sz w:val="24"/>
                <w:szCs w:val="24"/>
              </w:rPr>
              <w:t xml:space="preserve"> allows</w:t>
            </w:r>
            <w:r w:rsidRPr="00CA7635">
              <w:rPr>
                <w:rFonts w:ascii="Arial" w:hAnsi="Arial" w:cs="Arial"/>
                <w:sz w:val="24"/>
                <w:szCs w:val="24"/>
              </w:rPr>
              <w:t xml:space="preserve"> the University </w:t>
            </w:r>
            <w:r>
              <w:rPr>
                <w:rFonts w:ascii="Arial" w:hAnsi="Arial" w:cs="Arial"/>
                <w:sz w:val="24"/>
                <w:szCs w:val="24"/>
              </w:rPr>
              <w:t>to</w:t>
            </w:r>
            <w:r w:rsidRPr="00CA7635">
              <w:rPr>
                <w:rFonts w:ascii="Arial" w:hAnsi="Arial" w:cs="Arial"/>
                <w:sz w:val="24"/>
                <w:szCs w:val="24"/>
              </w:rPr>
              <w:t xml:space="preserve"> be able to benchmark itself against other </w:t>
            </w:r>
            <w:smartTag w:uri="urn:schemas-microsoft-com:office:smarttags" w:element="place">
              <w:smartTag w:uri="urn:schemas-microsoft-com:office:smarttags" w:element="City">
                <w:r w:rsidRPr="00CA7635">
                  <w:rPr>
                    <w:rFonts w:ascii="Arial" w:hAnsi="Arial" w:cs="Arial"/>
                    <w:sz w:val="24"/>
                    <w:szCs w:val="24"/>
                  </w:rPr>
                  <w:t>London</w:t>
                </w:r>
              </w:smartTag>
            </w:smartTag>
            <w:r w:rsidRPr="00CA7635">
              <w:rPr>
                <w:rFonts w:ascii="Arial" w:hAnsi="Arial" w:cs="Arial"/>
                <w:sz w:val="24"/>
                <w:szCs w:val="24"/>
              </w:rPr>
              <w:t xml:space="preserve"> institutions and nationally.  Analysis of data for international students will be expected in January following a November survey.</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sz w:val="24"/>
                <w:szCs w:val="24"/>
              </w:rPr>
            </w:pPr>
            <w:r w:rsidRPr="00CA7635">
              <w:rPr>
                <w:rFonts w:ascii="Arial" w:hAnsi="Arial" w:cs="Arial"/>
                <w:b/>
                <w:sz w:val="24"/>
                <w:szCs w:val="24"/>
              </w:rPr>
              <w:t>LQC/12</w:t>
            </w:r>
            <w:r>
              <w:rPr>
                <w:rFonts w:ascii="Arial" w:hAnsi="Arial" w:cs="Arial"/>
                <w:b/>
                <w:sz w:val="24"/>
                <w:szCs w:val="24"/>
              </w:rPr>
              <w:t>.</w:t>
            </w:r>
            <w:r w:rsidRPr="00CA7635">
              <w:rPr>
                <w:rFonts w:ascii="Arial" w:hAnsi="Arial" w:cs="Arial"/>
                <w:b/>
                <w:sz w:val="24"/>
                <w:szCs w:val="24"/>
              </w:rPr>
              <w:t>2</w:t>
            </w:r>
          </w:p>
        </w:tc>
        <w:tc>
          <w:tcPr>
            <w:tcW w:w="7380" w:type="dxa"/>
          </w:tcPr>
          <w:p w:rsidR="00C301DA" w:rsidRPr="00CA7635" w:rsidRDefault="00C301DA" w:rsidP="00CA7635">
            <w:pPr>
              <w:spacing w:after="240"/>
              <w:rPr>
                <w:rFonts w:ascii="Arial" w:hAnsi="Arial" w:cs="Arial"/>
                <w:sz w:val="24"/>
                <w:szCs w:val="24"/>
              </w:rPr>
            </w:pPr>
            <w:r w:rsidRPr="00CA7635">
              <w:rPr>
                <w:rFonts w:ascii="Arial" w:hAnsi="Arial" w:cs="Arial"/>
                <w:b/>
                <w:sz w:val="24"/>
                <w:szCs w:val="24"/>
              </w:rPr>
              <w:t>Minutes of the Previous Meeting</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sz w:val="24"/>
                <w:szCs w:val="24"/>
              </w:rPr>
            </w:pPr>
          </w:p>
        </w:tc>
        <w:tc>
          <w:tcPr>
            <w:tcW w:w="7380" w:type="dxa"/>
          </w:tcPr>
          <w:p w:rsidR="00C301DA" w:rsidRPr="00CA7635" w:rsidRDefault="00C301DA" w:rsidP="00CA7635">
            <w:pPr>
              <w:spacing w:after="240"/>
              <w:rPr>
                <w:rFonts w:ascii="Arial" w:hAnsi="Arial" w:cs="Arial"/>
                <w:b/>
                <w:sz w:val="24"/>
                <w:szCs w:val="24"/>
              </w:rPr>
            </w:pPr>
            <w:r w:rsidRPr="00CA7635">
              <w:rPr>
                <w:rFonts w:ascii="Arial" w:hAnsi="Arial" w:cs="Arial"/>
                <w:sz w:val="24"/>
                <w:szCs w:val="24"/>
              </w:rPr>
              <w:t xml:space="preserve">The minutes of the previous meeting held on </w:t>
            </w:r>
            <w:r>
              <w:rPr>
                <w:rFonts w:ascii="Arial" w:hAnsi="Arial" w:cs="Arial"/>
                <w:sz w:val="24"/>
                <w:szCs w:val="24"/>
              </w:rPr>
              <w:t>9</w:t>
            </w:r>
            <w:r w:rsidRPr="0094233C">
              <w:rPr>
                <w:rFonts w:ascii="Arial" w:hAnsi="Arial" w:cs="Arial"/>
                <w:sz w:val="24"/>
                <w:szCs w:val="24"/>
                <w:vertAlign w:val="superscript"/>
              </w:rPr>
              <w:t>th</w:t>
            </w:r>
            <w:r>
              <w:rPr>
                <w:rFonts w:ascii="Arial" w:hAnsi="Arial" w:cs="Arial"/>
                <w:sz w:val="24"/>
                <w:szCs w:val="24"/>
              </w:rPr>
              <w:t xml:space="preserve"> May</w:t>
            </w:r>
            <w:r w:rsidRPr="00CA7635">
              <w:rPr>
                <w:rFonts w:ascii="Arial" w:hAnsi="Arial" w:cs="Arial"/>
                <w:sz w:val="24"/>
                <w:szCs w:val="24"/>
              </w:rPr>
              <w:t xml:space="preserve"> 2012 were </w:t>
            </w:r>
            <w:r w:rsidRPr="00CA7635">
              <w:rPr>
                <w:rFonts w:ascii="Arial" w:hAnsi="Arial" w:cs="Arial"/>
                <w:b/>
                <w:sz w:val="24"/>
                <w:szCs w:val="24"/>
              </w:rPr>
              <w:t>agreed</w:t>
            </w:r>
            <w:r w:rsidRPr="00CA7635">
              <w:rPr>
                <w:rFonts w:ascii="Arial" w:hAnsi="Arial" w:cs="Arial"/>
                <w:sz w:val="24"/>
                <w:szCs w:val="24"/>
              </w:rPr>
              <w:t xml:space="preserve"> as an accurate record subject to one minor change to School name and a request from the Committee that the ARG use a consistent name.</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LQC/12.3</w:t>
            </w:r>
          </w:p>
        </w:tc>
        <w:tc>
          <w:tcPr>
            <w:tcW w:w="7380"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Matters arising from the Minutes</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sz w:val="24"/>
                <w:szCs w:val="24"/>
              </w:rPr>
            </w:pPr>
          </w:p>
        </w:tc>
        <w:tc>
          <w:tcPr>
            <w:tcW w:w="7380" w:type="dxa"/>
          </w:tcPr>
          <w:p w:rsidR="00C301DA" w:rsidRPr="00CA7635" w:rsidRDefault="00C301DA" w:rsidP="00CA7635">
            <w:pPr>
              <w:spacing w:after="240"/>
              <w:rPr>
                <w:rFonts w:ascii="Arial" w:hAnsi="Arial" w:cs="Arial"/>
                <w:b/>
                <w:sz w:val="24"/>
                <w:szCs w:val="24"/>
              </w:rPr>
            </w:pPr>
            <w:r w:rsidRPr="00CA7635">
              <w:rPr>
                <w:rFonts w:ascii="Arial" w:hAnsi="Arial" w:cs="Arial"/>
                <w:sz w:val="24"/>
                <w:szCs w:val="24"/>
              </w:rPr>
              <w:t xml:space="preserve">The majority of actions arising from the May 2012 minutes are completed.  Specific reference to completion of the publication of student examination marks and development of Moodle were made by the Committee.  </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jc w:val="right"/>
              <w:rPr>
                <w:rFonts w:ascii="Arial" w:hAnsi="Arial" w:cs="Arial"/>
                <w:sz w:val="24"/>
                <w:szCs w:val="24"/>
              </w:rPr>
            </w:pPr>
            <w:r w:rsidRPr="00CA7635">
              <w:rPr>
                <w:rFonts w:ascii="Arial" w:hAnsi="Arial" w:cs="Arial"/>
                <w:sz w:val="24"/>
                <w:szCs w:val="24"/>
              </w:rPr>
              <w:t>3.1</w:t>
            </w:r>
          </w:p>
        </w:tc>
        <w:tc>
          <w:tcPr>
            <w:tcW w:w="7380" w:type="dxa"/>
          </w:tcPr>
          <w:p w:rsidR="00C301DA" w:rsidRPr="00CA7635" w:rsidRDefault="00C301DA" w:rsidP="00CA3106">
            <w:pPr>
              <w:spacing w:after="240"/>
              <w:rPr>
                <w:rFonts w:ascii="Arial" w:hAnsi="Arial" w:cs="Arial"/>
                <w:b/>
                <w:sz w:val="24"/>
                <w:szCs w:val="24"/>
              </w:rPr>
            </w:pPr>
            <w:r w:rsidRPr="00CA7635">
              <w:rPr>
                <w:rFonts w:ascii="Arial" w:hAnsi="Arial" w:cs="Arial"/>
                <w:sz w:val="24"/>
                <w:szCs w:val="24"/>
              </w:rPr>
              <w:t>In the former case plans for the early release of marks remain under discussion between OSA and the University</w:t>
            </w:r>
            <w:r>
              <w:rPr>
                <w:rFonts w:ascii="Arial" w:hAnsi="Arial" w:cs="Arial"/>
                <w:sz w:val="24"/>
                <w:szCs w:val="24"/>
              </w:rPr>
              <w:t xml:space="preserve"> S</w:t>
            </w:r>
            <w:r w:rsidRPr="00CA7635">
              <w:rPr>
                <w:rFonts w:ascii="Arial" w:hAnsi="Arial" w:cs="Arial"/>
                <w:sz w:val="24"/>
                <w:szCs w:val="24"/>
              </w:rPr>
              <w:t xml:space="preserve">ecretary, the former confirming that all Schools have subscribed to the release of exam results, that the marks would be made available to an expected maximum of six months early for some groups of students (overseas centres) and that the OSA workload involved in addressing the management of the release would amount to some 2 – 3 days additional work.  The committee endorsed </w:t>
            </w:r>
            <w:r>
              <w:rPr>
                <w:rFonts w:ascii="Arial" w:hAnsi="Arial" w:cs="Arial"/>
                <w:sz w:val="24"/>
                <w:szCs w:val="24"/>
              </w:rPr>
              <w:t>its earlier</w:t>
            </w:r>
            <w:r w:rsidRPr="00CA7635">
              <w:rPr>
                <w:rFonts w:ascii="Arial" w:hAnsi="Arial" w:cs="Arial"/>
                <w:sz w:val="24"/>
                <w:szCs w:val="24"/>
              </w:rPr>
              <w:t xml:space="preserve"> </w:t>
            </w:r>
            <w:r w:rsidRPr="00CA7635">
              <w:rPr>
                <w:rFonts w:ascii="Arial" w:hAnsi="Arial" w:cs="Arial"/>
                <w:sz w:val="24"/>
                <w:szCs w:val="24"/>
              </w:rPr>
              <w:lastRenderedPageBreak/>
              <w:t xml:space="preserve">view that early release will enable a large group of students to plan for potential resits and for graduation ceremonies with greater </w:t>
            </w:r>
            <w:r>
              <w:rPr>
                <w:rFonts w:ascii="Arial" w:hAnsi="Arial" w:cs="Arial"/>
                <w:sz w:val="24"/>
                <w:szCs w:val="24"/>
              </w:rPr>
              <w:t>certainty</w:t>
            </w:r>
            <w:r w:rsidRPr="00CA7635">
              <w:rPr>
                <w:rFonts w:ascii="Arial" w:hAnsi="Arial" w:cs="Arial"/>
                <w:sz w:val="24"/>
                <w:szCs w:val="24"/>
              </w:rPr>
              <w:t xml:space="preserve"> than in the past.  </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jc w:val="right"/>
              <w:rPr>
                <w:rFonts w:ascii="Arial" w:hAnsi="Arial" w:cs="Arial"/>
                <w:sz w:val="24"/>
                <w:szCs w:val="24"/>
              </w:rPr>
            </w:pPr>
            <w:r w:rsidRPr="00CA7635">
              <w:rPr>
                <w:rFonts w:ascii="Arial" w:hAnsi="Arial" w:cs="Arial"/>
                <w:sz w:val="24"/>
                <w:szCs w:val="24"/>
              </w:rPr>
              <w:lastRenderedPageBreak/>
              <w:t>3.2</w:t>
            </w:r>
          </w:p>
        </w:tc>
        <w:tc>
          <w:tcPr>
            <w:tcW w:w="7380" w:type="dxa"/>
          </w:tcPr>
          <w:p w:rsidR="00C301DA" w:rsidRPr="00CA7635" w:rsidRDefault="00C301DA" w:rsidP="007829C9">
            <w:pPr>
              <w:spacing w:after="240"/>
              <w:rPr>
                <w:rFonts w:ascii="Arial" w:hAnsi="Arial" w:cs="Arial"/>
                <w:b/>
                <w:sz w:val="24"/>
                <w:szCs w:val="24"/>
              </w:rPr>
            </w:pPr>
            <w:r w:rsidRPr="00CA7635">
              <w:rPr>
                <w:rFonts w:ascii="Arial" w:hAnsi="Arial" w:cs="Arial"/>
                <w:sz w:val="24"/>
                <w:szCs w:val="24"/>
              </w:rPr>
              <w:t>With regard to Mo</w:t>
            </w:r>
            <w:r>
              <w:rPr>
                <w:rFonts w:ascii="Arial" w:hAnsi="Arial" w:cs="Arial"/>
                <w:sz w:val="24"/>
                <w:szCs w:val="24"/>
              </w:rPr>
              <w:t>o</w:t>
            </w:r>
            <w:r w:rsidRPr="00CA7635">
              <w:rPr>
                <w:rFonts w:ascii="Arial" w:hAnsi="Arial" w:cs="Arial"/>
                <w:sz w:val="24"/>
                <w:szCs w:val="24"/>
              </w:rPr>
              <w:t>dle the Committee noted continuing challenges in removing “phantom” sites from Moodle as a key issue and requested that support from the VLE Working Group be sought.  The Schools of Humanit</w:t>
            </w:r>
            <w:r>
              <w:rPr>
                <w:rFonts w:ascii="Arial" w:hAnsi="Arial" w:cs="Arial"/>
                <w:sz w:val="24"/>
                <w:szCs w:val="24"/>
              </w:rPr>
              <w:t>i</w:t>
            </w:r>
            <w:r w:rsidRPr="00CA7635">
              <w:rPr>
                <w:rFonts w:ascii="Arial" w:hAnsi="Arial" w:cs="Arial"/>
                <w:sz w:val="24"/>
                <w:szCs w:val="24"/>
              </w:rPr>
              <w:t>es &amp; Social Sciences and Health &amp; Soc</w:t>
            </w:r>
            <w:r>
              <w:rPr>
                <w:rFonts w:ascii="Arial" w:hAnsi="Arial" w:cs="Arial"/>
                <w:sz w:val="24"/>
                <w:szCs w:val="24"/>
              </w:rPr>
              <w:t>i</w:t>
            </w:r>
            <w:r w:rsidRPr="00CA7635">
              <w:rPr>
                <w:rFonts w:ascii="Arial" w:hAnsi="Arial" w:cs="Arial"/>
                <w:sz w:val="24"/>
                <w:szCs w:val="24"/>
              </w:rPr>
              <w:t>al Care, who are trialling External Examiner access to Moodle in 2012-13, assured the committee that they expect no problems</w:t>
            </w:r>
            <w:r>
              <w:rPr>
                <w:rFonts w:ascii="Arial" w:hAnsi="Arial" w:cs="Arial"/>
                <w:sz w:val="24"/>
                <w:szCs w:val="24"/>
              </w:rPr>
              <w:t xml:space="preserve"> for examiners who will be guided to appropriate occurrences of the courses under their responsibility.</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jc w:val="right"/>
              <w:rPr>
                <w:rFonts w:ascii="Arial" w:hAnsi="Arial" w:cs="Arial"/>
                <w:sz w:val="24"/>
                <w:szCs w:val="24"/>
              </w:rPr>
            </w:pPr>
            <w:r w:rsidRPr="00CA7635">
              <w:rPr>
                <w:rFonts w:ascii="Arial" w:hAnsi="Arial" w:cs="Arial"/>
                <w:sz w:val="24"/>
                <w:szCs w:val="24"/>
              </w:rPr>
              <w:t>3.3</w:t>
            </w:r>
          </w:p>
        </w:tc>
        <w:tc>
          <w:tcPr>
            <w:tcW w:w="7380" w:type="dxa"/>
          </w:tcPr>
          <w:p w:rsidR="00C301DA" w:rsidRPr="00CA7635" w:rsidRDefault="00C301DA" w:rsidP="00454D5E">
            <w:pPr>
              <w:spacing w:after="240"/>
              <w:rPr>
                <w:rFonts w:ascii="Arial" w:hAnsi="Arial" w:cs="Arial"/>
                <w:sz w:val="24"/>
                <w:szCs w:val="24"/>
              </w:rPr>
            </w:pPr>
            <w:r w:rsidRPr="00CA7635">
              <w:rPr>
                <w:rFonts w:ascii="Arial" w:hAnsi="Arial" w:cs="Arial"/>
                <w:sz w:val="24"/>
                <w:szCs w:val="24"/>
              </w:rPr>
              <w:t xml:space="preserve">The </w:t>
            </w:r>
            <w:smartTag w:uri="urn:schemas-microsoft-com:office:smarttags" w:element="place">
              <w:smartTag w:uri="urn:schemas-microsoft-com:office:smarttags" w:element="PlaceType">
                <w:r w:rsidRPr="00CA7635">
                  <w:rPr>
                    <w:rFonts w:ascii="Arial" w:hAnsi="Arial" w:cs="Arial"/>
                    <w:sz w:val="24"/>
                    <w:szCs w:val="24"/>
                  </w:rPr>
                  <w:t>School</w:t>
                </w:r>
              </w:smartTag>
              <w:r w:rsidRPr="00CA7635">
                <w:rPr>
                  <w:rFonts w:ascii="Arial" w:hAnsi="Arial" w:cs="Arial"/>
                  <w:sz w:val="24"/>
                  <w:szCs w:val="24"/>
                </w:rPr>
                <w:t xml:space="preserve"> of </w:t>
              </w:r>
              <w:smartTag w:uri="urn:schemas-microsoft-com:office:smarttags" w:element="PlaceName">
                <w:r w:rsidRPr="00CA7635">
                  <w:rPr>
                    <w:rFonts w:ascii="Arial" w:hAnsi="Arial" w:cs="Arial"/>
                    <w:sz w:val="24"/>
                    <w:szCs w:val="24"/>
                  </w:rPr>
                  <w:t>Engineering</w:t>
                </w:r>
              </w:smartTag>
            </w:smartTag>
            <w:r w:rsidRPr="00CA7635">
              <w:rPr>
                <w:rFonts w:ascii="Arial" w:hAnsi="Arial" w:cs="Arial"/>
                <w:sz w:val="24"/>
                <w:szCs w:val="24"/>
              </w:rPr>
              <w:t xml:space="preserve"> noted that it is conducting a project with ILS to enable examiner access to coursework and materials via Turnitin: a project which can be rolled out to the wider University</w:t>
            </w:r>
            <w:r>
              <w:rPr>
                <w:rFonts w:ascii="Arial" w:hAnsi="Arial" w:cs="Arial"/>
                <w:sz w:val="24"/>
                <w:szCs w:val="24"/>
              </w:rPr>
              <w:t>.</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color w:val="FF0000"/>
                <w:sz w:val="24"/>
                <w:szCs w:val="24"/>
              </w:rPr>
            </w:pPr>
            <w:r w:rsidRPr="00CA7635">
              <w:rPr>
                <w:rFonts w:ascii="Arial" w:hAnsi="Arial" w:cs="Arial"/>
                <w:b/>
                <w:color w:val="FF0000"/>
                <w:sz w:val="24"/>
                <w:szCs w:val="24"/>
              </w:rPr>
              <w:t>Action</w:t>
            </w:r>
          </w:p>
        </w:tc>
        <w:tc>
          <w:tcPr>
            <w:tcW w:w="7380" w:type="dxa"/>
          </w:tcPr>
          <w:p w:rsidR="00C301DA" w:rsidRPr="00B71293" w:rsidRDefault="00C301DA" w:rsidP="00B71293">
            <w:pPr>
              <w:spacing w:after="240"/>
              <w:rPr>
                <w:rFonts w:ascii="Arial" w:hAnsi="Arial" w:cs="Arial"/>
                <w:b/>
                <w:color w:val="FF0000"/>
                <w:sz w:val="24"/>
                <w:szCs w:val="24"/>
              </w:rPr>
            </w:pPr>
            <w:r w:rsidRPr="00B71293">
              <w:rPr>
                <w:rFonts w:ascii="Arial" w:hAnsi="Arial" w:cs="Arial"/>
                <w:b/>
                <w:color w:val="FF0000"/>
                <w:sz w:val="24"/>
                <w:szCs w:val="24"/>
              </w:rPr>
              <w:t>Contact VLE Group and place Moodle “phantom sites” item on the Group’s Agenda for 2012-13 discussion of potential longer term resolutions to their removal.</w:t>
            </w:r>
          </w:p>
        </w:tc>
        <w:tc>
          <w:tcPr>
            <w:tcW w:w="1080" w:type="dxa"/>
          </w:tcPr>
          <w:p w:rsidR="00C301DA" w:rsidRPr="00B71293" w:rsidRDefault="00C301DA" w:rsidP="00CA7635">
            <w:pPr>
              <w:spacing w:after="240"/>
              <w:rPr>
                <w:rFonts w:ascii="Arial" w:hAnsi="Arial" w:cs="Arial"/>
                <w:b/>
                <w:color w:val="FF0000"/>
                <w:sz w:val="24"/>
                <w:szCs w:val="24"/>
              </w:rPr>
            </w:pPr>
            <w:r w:rsidRPr="00B71293">
              <w:rPr>
                <w:rFonts w:ascii="Arial" w:hAnsi="Arial" w:cs="Arial"/>
                <w:b/>
                <w:color w:val="FF0000"/>
                <w:sz w:val="24"/>
                <w:szCs w:val="24"/>
              </w:rPr>
              <w:t>LQU</w:t>
            </w:r>
          </w:p>
        </w:tc>
      </w:tr>
      <w:tr w:rsidR="00C301DA" w:rsidTr="005116F9">
        <w:tc>
          <w:tcPr>
            <w:tcW w:w="1548" w:type="dxa"/>
          </w:tcPr>
          <w:p w:rsidR="00C301DA" w:rsidRPr="00CA7635" w:rsidRDefault="00C301DA" w:rsidP="00CA7635">
            <w:pPr>
              <w:spacing w:after="240"/>
              <w:rPr>
                <w:rFonts w:ascii="Arial" w:hAnsi="Arial" w:cs="Arial"/>
                <w:b/>
                <w:color w:val="FF0000"/>
                <w:sz w:val="24"/>
                <w:szCs w:val="24"/>
              </w:rPr>
            </w:pPr>
            <w:r w:rsidRPr="00CA7635">
              <w:rPr>
                <w:rFonts w:ascii="Arial" w:hAnsi="Arial" w:cs="Arial"/>
                <w:b/>
                <w:sz w:val="24"/>
                <w:szCs w:val="24"/>
              </w:rPr>
              <w:t>LQC/12.4</w:t>
            </w:r>
          </w:p>
        </w:tc>
        <w:tc>
          <w:tcPr>
            <w:tcW w:w="7380"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2011-12 National Student Survey and University Student Survey</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sz w:val="24"/>
                <w:szCs w:val="24"/>
              </w:rPr>
            </w:pPr>
          </w:p>
        </w:tc>
        <w:tc>
          <w:tcPr>
            <w:tcW w:w="7380" w:type="dxa"/>
          </w:tcPr>
          <w:p w:rsidR="00C301DA" w:rsidRDefault="00C301DA" w:rsidP="00CA7635">
            <w:pPr>
              <w:spacing w:after="240"/>
              <w:rPr>
                <w:rFonts w:ascii="Arial" w:hAnsi="Arial" w:cs="Arial"/>
                <w:sz w:val="24"/>
                <w:szCs w:val="24"/>
              </w:rPr>
            </w:pPr>
            <w:r>
              <w:rPr>
                <w:rFonts w:ascii="Arial" w:hAnsi="Arial" w:cs="Arial"/>
                <w:sz w:val="24"/>
                <w:szCs w:val="24"/>
              </w:rPr>
              <w:t>The Committee received and discussed the results for the 2011-12 NSS and the on-campus results for the same period for the USS.  All three papers focussed on outcomes at Departmental level.   Data for other HEIs will be publicly available by the end of the month.  LQC noted the following main points:</w:t>
            </w:r>
          </w:p>
          <w:p w:rsidR="00C301DA" w:rsidRDefault="00C301DA" w:rsidP="00004160">
            <w:pPr>
              <w:spacing w:after="240"/>
              <w:rPr>
                <w:rFonts w:ascii="Arial" w:hAnsi="Arial" w:cs="Arial"/>
                <w:sz w:val="24"/>
                <w:szCs w:val="24"/>
              </w:rPr>
            </w:pPr>
            <w:r>
              <w:rPr>
                <w:rFonts w:ascii="Arial" w:hAnsi="Arial" w:cs="Arial"/>
                <w:sz w:val="24"/>
                <w:szCs w:val="24"/>
              </w:rPr>
              <w:t>That responses rates are now above national average for the NSS and the general trend is upwards in terms of positive responses, of particular note being improvement in library responses, the overall positive responses from international students as a group generally and for mature students to the main survey questions.</w:t>
            </w:r>
          </w:p>
          <w:p w:rsidR="00C301DA" w:rsidRDefault="00C301DA" w:rsidP="00004160">
            <w:pPr>
              <w:spacing w:after="240"/>
              <w:rPr>
                <w:rFonts w:ascii="Arial" w:hAnsi="Arial" w:cs="Arial"/>
                <w:sz w:val="24"/>
                <w:szCs w:val="24"/>
              </w:rPr>
            </w:pPr>
            <w:r>
              <w:rPr>
                <w:rFonts w:ascii="Arial" w:hAnsi="Arial" w:cs="Arial"/>
                <w:sz w:val="24"/>
                <w:szCs w:val="24"/>
              </w:rPr>
              <w:t xml:space="preserve">That Schools should focus attention on the differentiation between Departments within a School with the aim of establishing whether effective practices leading to improved scores in one Department might be transferrable to another. </w:t>
            </w:r>
          </w:p>
          <w:p w:rsidR="00C301DA" w:rsidRDefault="00C301DA" w:rsidP="00004160">
            <w:pPr>
              <w:spacing w:after="240"/>
              <w:rPr>
                <w:rFonts w:ascii="Arial" w:hAnsi="Arial" w:cs="Arial"/>
                <w:sz w:val="24"/>
                <w:szCs w:val="24"/>
              </w:rPr>
            </w:pPr>
            <w:r>
              <w:rPr>
                <w:rFonts w:ascii="Arial" w:hAnsi="Arial" w:cs="Arial"/>
                <w:sz w:val="24"/>
                <w:szCs w:val="24"/>
              </w:rPr>
              <w:t xml:space="preserve">That the University could consider moving towards a partnership based model of working with the Students’ Union to improve the </w:t>
            </w:r>
            <w:r>
              <w:rPr>
                <w:rFonts w:ascii="Arial" w:hAnsi="Arial" w:cs="Arial"/>
                <w:sz w:val="24"/>
                <w:szCs w:val="24"/>
              </w:rPr>
              <w:lastRenderedPageBreak/>
              <w:t xml:space="preserve">results relating to the Union and Social activities of student experience at </w:t>
            </w:r>
            <w:smartTag w:uri="urn:schemas-microsoft-com:office:smarttags" w:element="place">
              <w:smartTag w:uri="urn:schemas-microsoft-com:office:smarttags" w:element="City">
                <w:r>
                  <w:rPr>
                    <w:rFonts w:ascii="Arial" w:hAnsi="Arial" w:cs="Arial"/>
                    <w:sz w:val="24"/>
                    <w:szCs w:val="24"/>
                  </w:rPr>
                  <w:t>Greenwich</w:t>
                </w:r>
              </w:smartTag>
            </w:smartTag>
            <w:r>
              <w:rPr>
                <w:rFonts w:ascii="Arial" w:hAnsi="Arial" w:cs="Arial"/>
                <w:sz w:val="24"/>
                <w:szCs w:val="24"/>
              </w:rPr>
              <w:t>.</w:t>
            </w:r>
          </w:p>
          <w:p w:rsidR="00C301DA" w:rsidRDefault="00C301DA" w:rsidP="00004160">
            <w:pPr>
              <w:spacing w:after="240"/>
              <w:rPr>
                <w:rFonts w:ascii="Arial" w:hAnsi="Arial" w:cs="Arial"/>
                <w:sz w:val="24"/>
                <w:szCs w:val="24"/>
              </w:rPr>
            </w:pPr>
            <w:r>
              <w:rPr>
                <w:rFonts w:ascii="Arial" w:hAnsi="Arial" w:cs="Arial"/>
                <w:sz w:val="24"/>
                <w:szCs w:val="24"/>
              </w:rPr>
              <w:t>Some further review of the nature and expectations regarding “work placement” in the University could be undertaken in order to manage student expectation of this type of activity: the term being somewhat ambiguous.</w:t>
            </w:r>
          </w:p>
          <w:p w:rsidR="00C301DA" w:rsidRPr="00162FF2" w:rsidRDefault="00C301DA" w:rsidP="00162FF2">
            <w:pPr>
              <w:spacing w:after="240"/>
              <w:rPr>
                <w:rFonts w:ascii="Arial" w:hAnsi="Arial" w:cs="Arial"/>
                <w:sz w:val="24"/>
                <w:szCs w:val="24"/>
              </w:rPr>
            </w:pPr>
            <w:r w:rsidRPr="00162FF2">
              <w:rPr>
                <w:rFonts w:ascii="Arial" w:hAnsi="Arial" w:cs="Arial"/>
                <w:sz w:val="24"/>
                <w:szCs w:val="24"/>
              </w:rPr>
              <w:t>In respect to the USS the Committee noted that the inclusion of a response option that permits students to comment upon the level of importance they attach to the activity under question remains desirable: ie.  that students be offered the opportunity to comment upon how important that activity is as a part of their University experience as well as an opportunity to provide a graded response on how positively they view the activity per se.</w:t>
            </w:r>
          </w:p>
          <w:p w:rsidR="00C301DA" w:rsidRDefault="00C301DA" w:rsidP="00004160">
            <w:pPr>
              <w:spacing w:after="240"/>
              <w:rPr>
                <w:rFonts w:ascii="Arial" w:hAnsi="Arial" w:cs="Arial"/>
                <w:sz w:val="24"/>
                <w:szCs w:val="24"/>
              </w:rPr>
            </w:pPr>
            <w:r>
              <w:rPr>
                <w:rFonts w:ascii="Arial" w:hAnsi="Arial" w:cs="Arial"/>
                <w:sz w:val="24"/>
                <w:szCs w:val="24"/>
              </w:rPr>
              <w:t>The USS response rate is improving and the on-campus response rates are similar to that of other online surveys.  The Committee agreed that attention to basic organisational development at course and programme level will lead to a more positive outcome across a range of questions.  Schools were requested as part of their review of both surveys for the SMRD to undertake a full review of the written comments made by students.</w:t>
            </w:r>
          </w:p>
          <w:p w:rsidR="00C301DA" w:rsidRPr="00004160" w:rsidRDefault="00C301DA" w:rsidP="00D912B6">
            <w:pPr>
              <w:spacing w:after="240"/>
              <w:rPr>
                <w:rFonts w:ascii="Arial" w:hAnsi="Arial" w:cs="Arial"/>
                <w:sz w:val="24"/>
                <w:szCs w:val="24"/>
              </w:rPr>
            </w:pPr>
            <w:r>
              <w:rPr>
                <w:rFonts w:ascii="Arial" w:hAnsi="Arial" w:cs="Arial"/>
                <w:sz w:val="24"/>
                <w:szCs w:val="24"/>
              </w:rPr>
              <w:t xml:space="preserve">In order to consider providing a postgraduate benchmark the Chair noted that the University might consider using PTES (Postgraduate Taught Experience Survey), available via the </w:t>
            </w:r>
            <w:smartTag w:uri="urn:schemas-microsoft-com:office:smarttags" w:element="place">
              <w:smartTag w:uri="urn:schemas-microsoft-com:office:smarttags" w:element="PlaceName">
                <w:r>
                  <w:rPr>
                    <w:rFonts w:ascii="Arial" w:hAnsi="Arial" w:cs="Arial"/>
                    <w:sz w:val="24"/>
                    <w:szCs w:val="24"/>
                  </w:rPr>
                  <w:t>Higher</w:t>
                </w:r>
              </w:smartTag>
              <w:r>
                <w:rPr>
                  <w:rFonts w:ascii="Arial" w:hAnsi="Arial" w:cs="Arial"/>
                  <w:sz w:val="24"/>
                  <w:szCs w:val="24"/>
                </w:rPr>
                <w:t xml:space="preserve"> </w:t>
              </w:r>
              <w:smartTag w:uri="urn:schemas-microsoft-com:office:smarttags" w:element="PlaceName">
                <w:r>
                  <w:rPr>
                    <w:rFonts w:ascii="Arial" w:hAnsi="Arial" w:cs="Arial"/>
                    <w:sz w:val="24"/>
                    <w:szCs w:val="24"/>
                  </w:rPr>
                  <w:t>Education</w:t>
                </w:r>
              </w:smartTag>
              <w:r>
                <w:rPr>
                  <w:rFonts w:ascii="Arial" w:hAnsi="Arial" w:cs="Arial"/>
                  <w:sz w:val="24"/>
                  <w:szCs w:val="24"/>
                </w:rPr>
                <w:t xml:space="preserve"> </w:t>
              </w:r>
              <w:smartTag w:uri="urn:schemas-microsoft-com:office:smarttags" w:element="PlaceType">
                <w:r>
                  <w:rPr>
                    <w:rFonts w:ascii="Arial" w:hAnsi="Arial" w:cs="Arial"/>
                    <w:sz w:val="24"/>
                    <w:szCs w:val="24"/>
                  </w:rPr>
                  <w:t>Academy</w:t>
                </w:r>
              </w:smartTag>
            </w:smartTag>
            <w:r>
              <w:rPr>
                <w:rFonts w:ascii="Arial" w:hAnsi="Arial" w:cs="Arial"/>
                <w:sz w:val="24"/>
                <w:szCs w:val="24"/>
              </w:rPr>
              <w:t>.  PAS agreed to investigate this informally and advise the committee officer and Chair accordingly prior to its 2012 closure date of 30/11/2012.</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B71293" w:rsidRDefault="00C301DA" w:rsidP="00CA7635">
            <w:pPr>
              <w:spacing w:after="240"/>
              <w:rPr>
                <w:rFonts w:ascii="Arial" w:hAnsi="Arial" w:cs="Arial"/>
                <w:b/>
                <w:color w:val="FF0000"/>
                <w:sz w:val="24"/>
                <w:szCs w:val="24"/>
              </w:rPr>
            </w:pPr>
            <w:r w:rsidRPr="00B71293">
              <w:rPr>
                <w:rFonts w:ascii="Arial" w:hAnsi="Arial" w:cs="Arial"/>
                <w:b/>
                <w:color w:val="FF0000"/>
                <w:sz w:val="24"/>
                <w:szCs w:val="24"/>
              </w:rPr>
              <w:lastRenderedPageBreak/>
              <w:t>Action</w:t>
            </w:r>
          </w:p>
        </w:tc>
        <w:tc>
          <w:tcPr>
            <w:tcW w:w="7380" w:type="dxa"/>
          </w:tcPr>
          <w:p w:rsidR="00C301DA" w:rsidRPr="00B71293" w:rsidRDefault="00C301DA" w:rsidP="00B71293">
            <w:pPr>
              <w:spacing w:after="240"/>
              <w:rPr>
                <w:rFonts w:ascii="Arial" w:hAnsi="Arial" w:cs="Arial"/>
                <w:b/>
                <w:color w:val="FF0000"/>
                <w:sz w:val="24"/>
                <w:szCs w:val="24"/>
              </w:rPr>
            </w:pPr>
            <w:r w:rsidRPr="00B71293">
              <w:rPr>
                <w:rFonts w:ascii="Arial" w:hAnsi="Arial" w:cs="Arial"/>
                <w:b/>
                <w:color w:val="FF0000"/>
                <w:sz w:val="24"/>
                <w:szCs w:val="24"/>
              </w:rPr>
              <w:t xml:space="preserve">PAS to review PTES and provide a view to the Officer of its potential for </w:t>
            </w:r>
            <w:smartTag w:uri="urn:schemas-microsoft-com:office:smarttags" w:element="place">
              <w:smartTag w:uri="urn:schemas-microsoft-com:office:smarttags" w:element="PlaceType">
                <w:r w:rsidRPr="00B71293">
                  <w:rPr>
                    <w:rFonts w:ascii="Arial" w:hAnsi="Arial" w:cs="Arial"/>
                    <w:b/>
                    <w:color w:val="FF0000"/>
                    <w:sz w:val="24"/>
                    <w:szCs w:val="24"/>
                  </w:rPr>
                  <w:t>University</w:t>
                </w:r>
              </w:smartTag>
              <w:r w:rsidRPr="00B71293">
                <w:rPr>
                  <w:rFonts w:ascii="Arial" w:hAnsi="Arial" w:cs="Arial"/>
                  <w:b/>
                  <w:color w:val="FF0000"/>
                  <w:sz w:val="24"/>
                  <w:szCs w:val="24"/>
                </w:rPr>
                <w:t xml:space="preserve"> of </w:t>
              </w:r>
              <w:smartTag w:uri="urn:schemas-microsoft-com:office:smarttags" w:element="PlaceName">
                <w:r w:rsidRPr="00B71293">
                  <w:rPr>
                    <w:rFonts w:ascii="Arial" w:hAnsi="Arial" w:cs="Arial"/>
                    <w:b/>
                    <w:color w:val="FF0000"/>
                    <w:sz w:val="24"/>
                    <w:szCs w:val="24"/>
                  </w:rPr>
                  <w:t>Greenwich</w:t>
                </w:r>
              </w:smartTag>
            </w:smartTag>
            <w:r w:rsidRPr="00B71293">
              <w:rPr>
                <w:rFonts w:ascii="Arial" w:hAnsi="Arial" w:cs="Arial"/>
                <w:b/>
                <w:color w:val="FF0000"/>
                <w:sz w:val="24"/>
                <w:szCs w:val="24"/>
              </w:rPr>
              <w:t xml:space="preserve"> participation.</w:t>
            </w:r>
          </w:p>
        </w:tc>
        <w:tc>
          <w:tcPr>
            <w:tcW w:w="1080" w:type="dxa"/>
          </w:tcPr>
          <w:p w:rsidR="00C301DA" w:rsidRPr="00B71293" w:rsidRDefault="00C301DA" w:rsidP="00CA7635">
            <w:pPr>
              <w:spacing w:after="240"/>
              <w:rPr>
                <w:rFonts w:ascii="Arial" w:hAnsi="Arial" w:cs="Arial"/>
                <w:b/>
                <w:color w:val="FF0000"/>
                <w:sz w:val="24"/>
                <w:szCs w:val="24"/>
              </w:rPr>
            </w:pPr>
            <w:r w:rsidRPr="00B71293">
              <w:rPr>
                <w:rFonts w:ascii="Arial" w:hAnsi="Arial" w:cs="Arial"/>
                <w:b/>
                <w:color w:val="FF0000"/>
                <w:sz w:val="24"/>
                <w:szCs w:val="24"/>
              </w:rPr>
              <w:t>CC</w:t>
            </w:r>
          </w:p>
        </w:tc>
      </w:tr>
      <w:tr w:rsidR="00C301DA" w:rsidTr="005116F9">
        <w:tc>
          <w:tcPr>
            <w:tcW w:w="1548"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LQC/12.5</w:t>
            </w:r>
          </w:p>
        </w:tc>
        <w:tc>
          <w:tcPr>
            <w:tcW w:w="7380" w:type="dxa"/>
          </w:tcPr>
          <w:p w:rsidR="00C301DA" w:rsidRPr="00CA7635" w:rsidRDefault="00C301DA" w:rsidP="00B71293">
            <w:pPr>
              <w:spacing w:after="240"/>
              <w:rPr>
                <w:rFonts w:ascii="Arial" w:hAnsi="Arial" w:cs="Arial"/>
                <w:b/>
                <w:sz w:val="24"/>
                <w:szCs w:val="24"/>
              </w:rPr>
            </w:pPr>
            <w:r>
              <w:rPr>
                <w:rFonts w:ascii="Arial" w:hAnsi="Arial" w:cs="Arial"/>
                <w:b/>
                <w:sz w:val="24"/>
                <w:szCs w:val="24"/>
              </w:rPr>
              <w:t>Approval and Review Group</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sz w:val="24"/>
                <w:szCs w:val="24"/>
              </w:rPr>
            </w:pPr>
          </w:p>
        </w:tc>
        <w:tc>
          <w:tcPr>
            <w:tcW w:w="7380" w:type="dxa"/>
          </w:tcPr>
          <w:p w:rsidR="00C301DA" w:rsidRDefault="00C301DA" w:rsidP="00C16DF1">
            <w:pPr>
              <w:spacing w:after="240"/>
              <w:rPr>
                <w:rFonts w:ascii="Arial" w:hAnsi="Arial" w:cs="Arial"/>
                <w:sz w:val="24"/>
                <w:szCs w:val="24"/>
              </w:rPr>
            </w:pPr>
            <w:r w:rsidRPr="00B71293">
              <w:rPr>
                <w:rFonts w:ascii="Arial" w:hAnsi="Arial" w:cs="Arial"/>
                <w:sz w:val="24"/>
                <w:szCs w:val="24"/>
              </w:rPr>
              <w:t xml:space="preserve">LQC received and noted the minutes for the Approvals and Reviews Group for June 2012.  It noted that the majority of events have now been signed out; those remaining in essence being overseas </w:t>
            </w:r>
            <w:r>
              <w:rPr>
                <w:rFonts w:ascii="Arial" w:hAnsi="Arial" w:cs="Arial"/>
                <w:sz w:val="24"/>
                <w:szCs w:val="24"/>
              </w:rPr>
              <w:t xml:space="preserve">collaborations </w:t>
            </w:r>
            <w:r w:rsidRPr="00B71293">
              <w:rPr>
                <w:rFonts w:ascii="Arial" w:hAnsi="Arial" w:cs="Arial"/>
                <w:sz w:val="24"/>
                <w:szCs w:val="24"/>
              </w:rPr>
              <w:t xml:space="preserve">and dependent upon a proposed partner obtaining </w:t>
            </w:r>
            <w:r>
              <w:rPr>
                <w:rFonts w:ascii="Arial" w:hAnsi="Arial" w:cs="Arial"/>
                <w:sz w:val="24"/>
                <w:szCs w:val="24"/>
              </w:rPr>
              <w:t>ministerial approval</w:t>
            </w:r>
            <w:r w:rsidRPr="00B71293">
              <w:rPr>
                <w:rFonts w:ascii="Arial" w:hAnsi="Arial" w:cs="Arial"/>
                <w:sz w:val="24"/>
                <w:szCs w:val="24"/>
              </w:rPr>
              <w:t xml:space="preserve">. </w:t>
            </w:r>
          </w:p>
          <w:p w:rsidR="00C301DA" w:rsidRDefault="00C301DA" w:rsidP="00C16DF1">
            <w:pPr>
              <w:spacing w:after="240"/>
              <w:rPr>
                <w:rFonts w:ascii="Arial" w:hAnsi="Arial" w:cs="Arial"/>
                <w:sz w:val="24"/>
                <w:szCs w:val="24"/>
              </w:rPr>
            </w:pPr>
          </w:p>
          <w:p w:rsidR="00C301DA" w:rsidRDefault="00C301DA" w:rsidP="00C16DF1">
            <w:pPr>
              <w:spacing w:after="240"/>
              <w:rPr>
                <w:rFonts w:ascii="Arial" w:hAnsi="Arial" w:cs="Arial"/>
                <w:sz w:val="24"/>
                <w:szCs w:val="24"/>
              </w:rPr>
            </w:pPr>
          </w:p>
          <w:p w:rsidR="00C301DA" w:rsidRDefault="00C301DA" w:rsidP="00C16DF1">
            <w:pPr>
              <w:spacing w:after="240"/>
              <w:rPr>
                <w:rFonts w:ascii="Arial" w:hAnsi="Arial" w:cs="Arial"/>
                <w:sz w:val="24"/>
                <w:szCs w:val="24"/>
              </w:rPr>
            </w:pPr>
          </w:p>
          <w:p w:rsidR="00C301DA" w:rsidRPr="00B71293" w:rsidRDefault="00C301DA" w:rsidP="00C16DF1">
            <w:pPr>
              <w:spacing w:after="240"/>
              <w:rPr>
                <w:rFonts w:ascii="Arial" w:hAnsi="Arial" w:cs="Arial"/>
                <w:sz w:val="24"/>
                <w:szCs w:val="24"/>
              </w:rPr>
            </w:pP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sz w:val="24"/>
                <w:szCs w:val="24"/>
              </w:rPr>
            </w:pPr>
            <w:r>
              <w:lastRenderedPageBreak/>
              <w:br w:type="page"/>
            </w:r>
            <w:r w:rsidRPr="00CA7635">
              <w:rPr>
                <w:rFonts w:ascii="Arial" w:hAnsi="Arial" w:cs="Arial"/>
                <w:b/>
                <w:sz w:val="24"/>
                <w:szCs w:val="24"/>
              </w:rPr>
              <w:t>LQC/12.6</w:t>
            </w:r>
          </w:p>
        </w:tc>
        <w:tc>
          <w:tcPr>
            <w:tcW w:w="7380"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External Examiner Appointments</w:t>
            </w:r>
          </w:p>
        </w:tc>
        <w:tc>
          <w:tcPr>
            <w:tcW w:w="1080" w:type="dxa"/>
            <w:tcBorders>
              <w:left w:val="nil"/>
            </w:tcBorders>
          </w:tcPr>
          <w:p w:rsidR="00C301DA" w:rsidRPr="00CA7635" w:rsidRDefault="00C301DA" w:rsidP="00CA7635">
            <w:pPr>
              <w:spacing w:after="240"/>
              <w:rPr>
                <w:rFonts w:ascii="Arial" w:hAnsi="Arial" w:cs="Arial"/>
                <w:sz w:val="24"/>
                <w:szCs w:val="24"/>
              </w:rPr>
            </w:pPr>
          </w:p>
        </w:tc>
      </w:tr>
      <w:tr w:rsidR="00C301DA" w:rsidRPr="00E94E13" w:rsidTr="005116F9">
        <w:trPr>
          <w:trHeight w:val="2257"/>
        </w:trPr>
        <w:tc>
          <w:tcPr>
            <w:tcW w:w="1548" w:type="dxa"/>
          </w:tcPr>
          <w:p w:rsidR="00C301DA" w:rsidRPr="00E94E13" w:rsidRDefault="00C301DA" w:rsidP="00CA7635">
            <w:pPr>
              <w:spacing w:after="240"/>
              <w:rPr>
                <w:rFonts w:ascii="Arial" w:hAnsi="Arial" w:cs="Arial"/>
                <w:sz w:val="24"/>
                <w:szCs w:val="24"/>
              </w:rPr>
            </w:pPr>
          </w:p>
        </w:tc>
        <w:tc>
          <w:tcPr>
            <w:tcW w:w="7380" w:type="dxa"/>
          </w:tcPr>
          <w:p w:rsidR="00C301DA" w:rsidRPr="00E94E13" w:rsidRDefault="00C301DA" w:rsidP="005116F9">
            <w:pPr>
              <w:spacing w:after="240"/>
              <w:rPr>
                <w:rFonts w:ascii="Arial" w:hAnsi="Arial" w:cs="Arial"/>
                <w:sz w:val="24"/>
                <w:szCs w:val="24"/>
              </w:rPr>
            </w:pPr>
            <w:r>
              <w:rPr>
                <w:rFonts w:ascii="Arial" w:hAnsi="Arial" w:cs="Arial"/>
                <w:sz w:val="24"/>
                <w:szCs w:val="24"/>
              </w:rPr>
              <w:t>The committee received a list of examiners whose period of tenure expires in December 2012 for those for whom a one year extension may be sought.  School members were requested to ensure that Heads of Department sought extensions and new appointments as appropriate within the assessment timescale of the University system.  That is, that all new and re-appointments must be completed no later than 31</w:t>
            </w:r>
            <w:r w:rsidRPr="00E94E13">
              <w:rPr>
                <w:rFonts w:ascii="Arial" w:hAnsi="Arial" w:cs="Arial"/>
                <w:sz w:val="24"/>
                <w:szCs w:val="24"/>
                <w:vertAlign w:val="superscript"/>
              </w:rPr>
              <w:t>st</w:t>
            </w:r>
            <w:r>
              <w:rPr>
                <w:rFonts w:ascii="Arial" w:hAnsi="Arial" w:cs="Arial"/>
                <w:sz w:val="24"/>
                <w:szCs w:val="24"/>
              </w:rPr>
              <w:t xml:space="preserve"> December 2012.</w:t>
            </w:r>
            <w:r>
              <w:rPr>
                <w:rStyle w:val="FootnoteReference"/>
                <w:rFonts w:ascii="Arial" w:hAnsi="Arial" w:cs="Arial"/>
                <w:sz w:val="24"/>
                <w:szCs w:val="24"/>
              </w:rPr>
              <w:footnoteReference w:id="1"/>
            </w:r>
          </w:p>
        </w:tc>
        <w:tc>
          <w:tcPr>
            <w:tcW w:w="1080" w:type="dxa"/>
            <w:tcBorders>
              <w:left w:val="nil"/>
            </w:tcBorders>
          </w:tcPr>
          <w:p w:rsidR="00C301DA" w:rsidRPr="00E94E13"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LQC/12.7</w:t>
            </w:r>
          </w:p>
        </w:tc>
        <w:tc>
          <w:tcPr>
            <w:tcW w:w="7380"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Professional Bodies and External Agencies</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5B2025">
            <w:pPr>
              <w:spacing w:after="240"/>
              <w:jc w:val="right"/>
              <w:rPr>
                <w:rFonts w:ascii="Arial" w:hAnsi="Arial" w:cs="Arial"/>
                <w:b/>
                <w:sz w:val="24"/>
                <w:szCs w:val="24"/>
              </w:rPr>
            </w:pPr>
            <w:r>
              <w:rPr>
                <w:rFonts w:ascii="Arial" w:hAnsi="Arial" w:cs="Arial"/>
                <w:b/>
                <w:sz w:val="24"/>
                <w:szCs w:val="24"/>
              </w:rPr>
              <w:t>7.1</w:t>
            </w:r>
          </w:p>
        </w:tc>
        <w:tc>
          <w:tcPr>
            <w:tcW w:w="7380" w:type="dxa"/>
          </w:tcPr>
          <w:p w:rsidR="00C301DA" w:rsidRDefault="00C301DA" w:rsidP="00CA7635">
            <w:pPr>
              <w:spacing w:after="240"/>
              <w:rPr>
                <w:rFonts w:ascii="Arial" w:hAnsi="Arial" w:cs="Arial"/>
                <w:b/>
                <w:sz w:val="24"/>
                <w:szCs w:val="24"/>
              </w:rPr>
            </w:pPr>
            <w:r>
              <w:rPr>
                <w:rFonts w:ascii="Arial" w:hAnsi="Arial" w:cs="Arial"/>
                <w:b/>
                <w:sz w:val="24"/>
                <w:szCs w:val="24"/>
              </w:rPr>
              <w:t>National Youth Agency Annual Report</w:t>
            </w:r>
          </w:p>
          <w:p w:rsidR="00C301DA" w:rsidRPr="0064670D" w:rsidRDefault="00C301DA" w:rsidP="00A813AD">
            <w:pPr>
              <w:spacing w:after="240"/>
              <w:rPr>
                <w:rFonts w:ascii="Arial" w:hAnsi="Arial" w:cs="Arial"/>
                <w:sz w:val="24"/>
                <w:szCs w:val="24"/>
              </w:rPr>
            </w:pPr>
            <w:r>
              <w:rPr>
                <w:rFonts w:ascii="Arial" w:hAnsi="Arial" w:cs="Arial"/>
                <w:sz w:val="24"/>
                <w:szCs w:val="24"/>
              </w:rPr>
              <w:t>The Committee received a positive report from the National Youth Agency regarding the standards of the BA Youth and Community Studies, noting that some staffing issues had affected student experience, a view underpinned by the NSS results for the Department. The DLQ noted that he is following up other issues related to the report with the Head of Department.</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E42EC3">
            <w:pPr>
              <w:spacing w:after="240"/>
              <w:jc w:val="right"/>
              <w:rPr>
                <w:rFonts w:ascii="Arial" w:hAnsi="Arial" w:cs="Arial"/>
                <w:b/>
                <w:sz w:val="24"/>
                <w:szCs w:val="24"/>
              </w:rPr>
            </w:pPr>
            <w:r>
              <w:rPr>
                <w:rFonts w:ascii="Arial" w:hAnsi="Arial" w:cs="Arial"/>
                <w:b/>
                <w:sz w:val="24"/>
                <w:szCs w:val="24"/>
              </w:rPr>
              <w:t>7.2</w:t>
            </w:r>
          </w:p>
        </w:tc>
        <w:tc>
          <w:tcPr>
            <w:tcW w:w="7380" w:type="dxa"/>
          </w:tcPr>
          <w:p w:rsidR="00C301DA" w:rsidRDefault="00C301DA" w:rsidP="00CA7635">
            <w:pPr>
              <w:spacing w:after="240"/>
              <w:rPr>
                <w:rFonts w:ascii="Arial" w:hAnsi="Arial" w:cs="Arial"/>
                <w:b/>
                <w:sz w:val="24"/>
                <w:szCs w:val="24"/>
              </w:rPr>
            </w:pPr>
            <w:r>
              <w:rPr>
                <w:rFonts w:ascii="Arial" w:hAnsi="Arial" w:cs="Arial"/>
                <w:b/>
                <w:sz w:val="24"/>
                <w:szCs w:val="24"/>
              </w:rPr>
              <w:t>QAA Benchmarks</w:t>
            </w:r>
          </w:p>
          <w:p w:rsidR="00C301DA" w:rsidRPr="001772AD" w:rsidRDefault="00C301DA" w:rsidP="00C16DF1">
            <w:pPr>
              <w:spacing w:after="240"/>
              <w:rPr>
                <w:rFonts w:ascii="Arial" w:hAnsi="Arial" w:cs="Arial"/>
                <w:b/>
                <w:sz w:val="24"/>
                <w:szCs w:val="24"/>
              </w:rPr>
            </w:pPr>
            <w:r>
              <w:rPr>
                <w:rFonts w:ascii="Arial" w:hAnsi="Arial" w:cs="Arial"/>
                <w:sz w:val="24"/>
                <w:szCs w:val="24"/>
              </w:rPr>
              <w:t>The Committee received revised draft benchmark statements for Forensic Science and for Counselling and Psychotherapy.  These are out for sector consultation with a closing date of 28</w:t>
            </w:r>
            <w:r w:rsidRPr="001772AD">
              <w:rPr>
                <w:rFonts w:ascii="Arial" w:hAnsi="Arial" w:cs="Arial"/>
                <w:sz w:val="24"/>
                <w:szCs w:val="24"/>
                <w:vertAlign w:val="superscript"/>
              </w:rPr>
              <w:t>th</w:t>
            </w:r>
            <w:r>
              <w:rPr>
                <w:rFonts w:ascii="Arial" w:hAnsi="Arial" w:cs="Arial"/>
                <w:sz w:val="24"/>
                <w:szCs w:val="24"/>
              </w:rPr>
              <w:t xml:space="preserve"> September 2012.  Committee noted that the School of Health and Social Care has sought (and had accepted) a deferral request for Counselling Programme review until the benchmark is completed.  Forensic Science, due for review in 2013/14 will be able to incorporate the benchmark as part of the natural review cycle.  </w:t>
            </w:r>
            <w:r w:rsidRPr="001772AD">
              <w:rPr>
                <w:rFonts w:ascii="Arial" w:hAnsi="Arial" w:cs="Arial"/>
                <w:sz w:val="24"/>
                <w:szCs w:val="24"/>
              </w:rPr>
              <w:t>Both School repre</w:t>
            </w:r>
            <w:r>
              <w:rPr>
                <w:rFonts w:ascii="Arial" w:hAnsi="Arial" w:cs="Arial"/>
                <w:sz w:val="24"/>
                <w:szCs w:val="24"/>
              </w:rPr>
              <w:t>sentatives observed that the s</w:t>
            </w:r>
            <w:r w:rsidRPr="001772AD">
              <w:rPr>
                <w:rFonts w:ascii="Arial" w:hAnsi="Arial" w:cs="Arial"/>
                <w:sz w:val="24"/>
                <w:szCs w:val="24"/>
              </w:rPr>
              <w:t>tatements appeared appropriate to the nature of the subject.  Chair requested that any formal responses made to the QAA are also circulate</w:t>
            </w:r>
            <w:r>
              <w:rPr>
                <w:rFonts w:ascii="Arial" w:hAnsi="Arial" w:cs="Arial"/>
                <w:sz w:val="24"/>
                <w:szCs w:val="24"/>
              </w:rPr>
              <w:t>d to</w:t>
            </w:r>
            <w:r w:rsidRPr="001772AD">
              <w:rPr>
                <w:rFonts w:ascii="Arial" w:hAnsi="Arial" w:cs="Arial"/>
                <w:sz w:val="24"/>
                <w:szCs w:val="24"/>
              </w:rPr>
              <w:t xml:space="preserve"> </w:t>
            </w:r>
            <w:r w:rsidRPr="001772AD">
              <w:rPr>
                <w:rFonts w:ascii="Arial" w:hAnsi="Arial" w:cs="Arial"/>
                <w:sz w:val="24"/>
                <w:szCs w:val="24"/>
              </w:rPr>
              <w:lastRenderedPageBreak/>
              <w:t>the Committee officer.</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Default="00C301DA" w:rsidP="00E42EC3">
            <w:pPr>
              <w:spacing w:after="240"/>
              <w:jc w:val="right"/>
              <w:rPr>
                <w:rFonts w:ascii="Arial" w:hAnsi="Arial" w:cs="Arial"/>
                <w:b/>
                <w:sz w:val="24"/>
                <w:szCs w:val="24"/>
              </w:rPr>
            </w:pPr>
          </w:p>
          <w:p w:rsidR="00C301DA" w:rsidRPr="00CA7635" w:rsidRDefault="00C301DA" w:rsidP="00E42EC3">
            <w:pPr>
              <w:spacing w:after="240"/>
              <w:jc w:val="right"/>
              <w:rPr>
                <w:rFonts w:ascii="Arial" w:hAnsi="Arial" w:cs="Arial"/>
                <w:b/>
                <w:sz w:val="24"/>
                <w:szCs w:val="24"/>
              </w:rPr>
            </w:pPr>
            <w:r>
              <w:rPr>
                <w:rFonts w:ascii="Arial" w:hAnsi="Arial" w:cs="Arial"/>
                <w:b/>
                <w:sz w:val="24"/>
                <w:szCs w:val="24"/>
              </w:rPr>
              <w:t>7.3</w:t>
            </w:r>
          </w:p>
        </w:tc>
        <w:tc>
          <w:tcPr>
            <w:tcW w:w="7380" w:type="dxa"/>
          </w:tcPr>
          <w:p w:rsidR="00C301DA" w:rsidRDefault="00C301DA" w:rsidP="00CA7635">
            <w:pPr>
              <w:spacing w:after="240"/>
              <w:rPr>
                <w:rFonts w:ascii="Arial" w:hAnsi="Arial" w:cs="Arial"/>
                <w:b/>
                <w:sz w:val="24"/>
                <w:szCs w:val="24"/>
              </w:rPr>
            </w:pPr>
            <w:r>
              <w:rPr>
                <w:rFonts w:ascii="Arial" w:hAnsi="Arial" w:cs="Arial"/>
                <w:b/>
                <w:sz w:val="24"/>
                <w:szCs w:val="24"/>
              </w:rPr>
              <w:t>QAA Quality Code, Part C:  Information on HE</w:t>
            </w:r>
          </w:p>
          <w:p w:rsidR="00C301DA" w:rsidRDefault="00C301DA" w:rsidP="00CA7635">
            <w:pPr>
              <w:spacing w:after="240"/>
              <w:rPr>
                <w:rFonts w:ascii="Arial" w:hAnsi="Arial" w:cs="Arial"/>
                <w:sz w:val="24"/>
                <w:szCs w:val="24"/>
              </w:rPr>
            </w:pPr>
            <w:r w:rsidRPr="0020483F">
              <w:rPr>
                <w:rFonts w:ascii="Arial" w:hAnsi="Arial" w:cs="Arial"/>
                <w:sz w:val="24"/>
                <w:szCs w:val="24"/>
              </w:rPr>
              <w:t>In response t</w:t>
            </w:r>
            <w:r>
              <w:rPr>
                <w:rFonts w:ascii="Arial" w:hAnsi="Arial" w:cs="Arial"/>
                <w:sz w:val="24"/>
                <w:szCs w:val="24"/>
              </w:rPr>
              <w:t>o</w:t>
            </w:r>
            <w:r w:rsidRPr="0020483F">
              <w:rPr>
                <w:rFonts w:ascii="Arial" w:hAnsi="Arial" w:cs="Arial"/>
                <w:sz w:val="24"/>
                <w:szCs w:val="24"/>
              </w:rPr>
              <w:t xml:space="preserve"> the publication of the Revised Part C of the QAA Quality Code, the LQU had undertaken a short review of the location and nature of the information that the University provides to prospective, current and graduated students.</w:t>
            </w:r>
            <w:r>
              <w:rPr>
                <w:rFonts w:ascii="Arial" w:hAnsi="Arial" w:cs="Arial"/>
                <w:sz w:val="24"/>
                <w:szCs w:val="24"/>
              </w:rPr>
              <w:t xml:space="preserve">  The paper presented identified the nature of information provided under the QAA’s 7 indicators, where it may be located and where it was felt that University could enhance its provision.</w:t>
            </w:r>
          </w:p>
          <w:p w:rsidR="00C301DA" w:rsidRPr="0020483F" w:rsidRDefault="00C301DA" w:rsidP="00CA7635">
            <w:pPr>
              <w:spacing w:after="240"/>
              <w:rPr>
                <w:rFonts w:ascii="Arial" w:hAnsi="Arial" w:cs="Arial"/>
                <w:sz w:val="24"/>
                <w:szCs w:val="24"/>
              </w:rPr>
            </w:pPr>
            <w:r>
              <w:rPr>
                <w:rFonts w:ascii="Arial" w:hAnsi="Arial" w:cs="Arial"/>
                <w:sz w:val="24"/>
                <w:szCs w:val="24"/>
              </w:rPr>
              <w:t>The view of the Committee was that whilst the University does meet the QAA’s general tenets, key academic information and guidance could be better signposted within the University’s web pages. Also, consistency of provision was an issue, particularly with information pertaining to individual Schools some of which is only provided on internal intranet sites. School pages would benefit from greater consistency of general content.  More attention ought to be focussed on how the University meets Indicator 3 in detail and the extent to which Student Union materials are available to potential students.</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544BC9" w:rsidRDefault="00C301DA" w:rsidP="00CA7635">
            <w:pPr>
              <w:spacing w:after="240"/>
              <w:rPr>
                <w:rFonts w:ascii="Arial" w:hAnsi="Arial" w:cs="Arial"/>
                <w:b/>
                <w:color w:val="FF0000"/>
                <w:sz w:val="24"/>
                <w:szCs w:val="24"/>
              </w:rPr>
            </w:pPr>
            <w:r w:rsidRPr="00544BC9">
              <w:rPr>
                <w:rFonts w:ascii="Arial" w:hAnsi="Arial" w:cs="Arial"/>
                <w:b/>
                <w:color w:val="FF0000"/>
                <w:sz w:val="24"/>
                <w:szCs w:val="24"/>
              </w:rPr>
              <w:t>Action</w:t>
            </w:r>
          </w:p>
        </w:tc>
        <w:tc>
          <w:tcPr>
            <w:tcW w:w="7380" w:type="dxa"/>
          </w:tcPr>
          <w:p w:rsidR="00C301DA" w:rsidRPr="00544BC9" w:rsidRDefault="00C301DA" w:rsidP="00CA7635">
            <w:pPr>
              <w:spacing w:after="240"/>
              <w:rPr>
                <w:rFonts w:ascii="Arial" w:hAnsi="Arial" w:cs="Arial"/>
                <w:b/>
                <w:color w:val="FF0000"/>
                <w:sz w:val="24"/>
                <w:szCs w:val="24"/>
              </w:rPr>
            </w:pPr>
            <w:r w:rsidRPr="00544BC9">
              <w:rPr>
                <w:rFonts w:ascii="Arial" w:hAnsi="Arial" w:cs="Arial"/>
                <w:b/>
                <w:color w:val="FF0000"/>
                <w:sz w:val="24"/>
                <w:szCs w:val="24"/>
              </w:rPr>
              <w:t>Chair to raise the issues of signposting and web presence for academic information at VCG</w:t>
            </w:r>
          </w:p>
        </w:tc>
        <w:tc>
          <w:tcPr>
            <w:tcW w:w="1080" w:type="dxa"/>
          </w:tcPr>
          <w:p w:rsidR="00C301DA" w:rsidRPr="00A813AD" w:rsidRDefault="00C301DA" w:rsidP="00CA7635">
            <w:pPr>
              <w:spacing w:after="240"/>
              <w:rPr>
                <w:rFonts w:ascii="Arial" w:hAnsi="Arial" w:cs="Arial"/>
                <w:b/>
                <w:color w:val="FF0000"/>
                <w:sz w:val="24"/>
                <w:szCs w:val="24"/>
              </w:rPr>
            </w:pPr>
            <w:r w:rsidRPr="00A813AD">
              <w:rPr>
                <w:rFonts w:ascii="Arial" w:hAnsi="Arial" w:cs="Arial"/>
                <w:b/>
                <w:color w:val="FF0000"/>
                <w:sz w:val="24"/>
                <w:szCs w:val="24"/>
              </w:rPr>
              <w:t>SJ</w:t>
            </w:r>
          </w:p>
        </w:tc>
      </w:tr>
      <w:tr w:rsidR="00C301DA" w:rsidTr="005116F9">
        <w:tc>
          <w:tcPr>
            <w:tcW w:w="1548"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LQC/12/8</w:t>
            </w:r>
          </w:p>
        </w:tc>
        <w:tc>
          <w:tcPr>
            <w:tcW w:w="7380" w:type="dxa"/>
          </w:tcPr>
          <w:p w:rsidR="00C301DA" w:rsidRPr="00CA7635" w:rsidRDefault="00C301DA" w:rsidP="00CA7635">
            <w:pPr>
              <w:spacing w:after="240"/>
              <w:rPr>
                <w:rFonts w:ascii="Arial" w:hAnsi="Arial" w:cs="Arial"/>
                <w:b/>
                <w:sz w:val="24"/>
                <w:szCs w:val="24"/>
              </w:rPr>
            </w:pPr>
            <w:r w:rsidRPr="00CA7635">
              <w:rPr>
                <w:rFonts w:ascii="Arial" w:hAnsi="Arial" w:cs="Arial"/>
                <w:b/>
                <w:sz w:val="24"/>
                <w:szCs w:val="24"/>
              </w:rPr>
              <w:t>2011-12 Learning and Teaching Conference evaluation</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A7635">
            <w:pPr>
              <w:spacing w:after="240"/>
              <w:rPr>
                <w:rFonts w:ascii="Arial" w:hAnsi="Arial" w:cs="Arial"/>
                <w:b/>
                <w:sz w:val="24"/>
                <w:szCs w:val="24"/>
              </w:rPr>
            </w:pPr>
          </w:p>
        </w:tc>
        <w:tc>
          <w:tcPr>
            <w:tcW w:w="7380" w:type="dxa"/>
          </w:tcPr>
          <w:p w:rsidR="00C301DA" w:rsidRDefault="00C301DA" w:rsidP="00CA7635">
            <w:pPr>
              <w:spacing w:after="240"/>
              <w:rPr>
                <w:rFonts w:ascii="Arial" w:hAnsi="Arial" w:cs="Arial"/>
                <w:sz w:val="24"/>
                <w:szCs w:val="24"/>
              </w:rPr>
            </w:pPr>
            <w:r>
              <w:rPr>
                <w:rFonts w:ascii="Arial" w:hAnsi="Arial" w:cs="Arial"/>
                <w:sz w:val="24"/>
                <w:szCs w:val="24"/>
              </w:rPr>
              <w:t>The Head of the Educational; Development Unit presented an open analysis of the presentations for the 2011-12 Annual Learning and Teaching Conference.</w:t>
            </w:r>
          </w:p>
          <w:p w:rsidR="00C301DA" w:rsidRPr="000C596B" w:rsidRDefault="00C301DA" w:rsidP="002458CA">
            <w:pPr>
              <w:spacing w:after="240"/>
              <w:rPr>
                <w:rFonts w:ascii="Arial" w:hAnsi="Arial" w:cs="Arial"/>
                <w:sz w:val="24"/>
                <w:szCs w:val="24"/>
              </w:rPr>
            </w:pPr>
            <w:r>
              <w:rPr>
                <w:rFonts w:ascii="Arial" w:hAnsi="Arial" w:cs="Arial"/>
                <w:sz w:val="24"/>
                <w:szCs w:val="24"/>
              </w:rPr>
              <w:t>Discussion centred on how to generate a wider audience for the Conference and the Educational Development Unit was requested to consider other formats for the conference season that might include running the conference earlier in session as an institutional day, undertaking smaller lead-up events at campus level to generate momentum, and building on School based activities where this is possible.</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CA7635" w:rsidRDefault="00C301DA" w:rsidP="00C16DF1">
            <w:pPr>
              <w:spacing w:after="240"/>
              <w:rPr>
                <w:rFonts w:ascii="Arial" w:hAnsi="Arial" w:cs="Arial"/>
                <w:b/>
                <w:sz w:val="24"/>
                <w:szCs w:val="24"/>
              </w:rPr>
            </w:pPr>
            <w:r>
              <w:rPr>
                <w:rFonts w:ascii="Arial" w:hAnsi="Arial" w:cs="Arial"/>
                <w:b/>
                <w:sz w:val="24"/>
                <w:szCs w:val="24"/>
              </w:rPr>
              <w:t>AOB</w:t>
            </w:r>
          </w:p>
        </w:tc>
        <w:tc>
          <w:tcPr>
            <w:tcW w:w="7380" w:type="dxa"/>
          </w:tcPr>
          <w:p w:rsidR="00C301DA" w:rsidRPr="00C16DF1" w:rsidRDefault="00C301DA" w:rsidP="00CA7635">
            <w:pPr>
              <w:spacing w:after="240"/>
              <w:rPr>
                <w:rFonts w:ascii="Arial" w:hAnsi="Arial" w:cs="Arial"/>
                <w:b/>
                <w:sz w:val="24"/>
                <w:szCs w:val="24"/>
              </w:rPr>
            </w:pPr>
            <w:r w:rsidRPr="00C16DF1">
              <w:rPr>
                <w:rFonts w:ascii="Arial" w:hAnsi="Arial" w:cs="Arial"/>
                <w:b/>
                <w:sz w:val="24"/>
                <w:szCs w:val="24"/>
              </w:rPr>
              <w:t>UKBA License and Partner College Student Transfers</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Default="00C301DA" w:rsidP="00C16DF1">
            <w:pPr>
              <w:spacing w:after="240"/>
              <w:rPr>
                <w:rFonts w:ascii="Arial" w:hAnsi="Arial" w:cs="Arial"/>
                <w:b/>
                <w:sz w:val="24"/>
                <w:szCs w:val="24"/>
              </w:rPr>
            </w:pPr>
          </w:p>
        </w:tc>
        <w:tc>
          <w:tcPr>
            <w:tcW w:w="7380" w:type="dxa"/>
          </w:tcPr>
          <w:p w:rsidR="00C301DA" w:rsidRDefault="00C301DA" w:rsidP="00C16DF1">
            <w:pPr>
              <w:spacing w:after="240"/>
              <w:rPr>
                <w:rFonts w:ascii="Arial" w:hAnsi="Arial" w:cs="Arial"/>
                <w:sz w:val="24"/>
                <w:szCs w:val="24"/>
              </w:rPr>
            </w:pPr>
            <w:r>
              <w:rPr>
                <w:rFonts w:ascii="Arial" w:hAnsi="Arial" w:cs="Arial"/>
                <w:sz w:val="24"/>
                <w:szCs w:val="24"/>
              </w:rPr>
              <w:t xml:space="preserve">The Business School raised the issue of the extension of UKBA licence for students transferring from partner Colleges to the final </w:t>
            </w:r>
            <w:r>
              <w:rPr>
                <w:rFonts w:ascii="Arial" w:hAnsi="Arial" w:cs="Arial"/>
                <w:sz w:val="24"/>
                <w:szCs w:val="24"/>
              </w:rPr>
              <w:lastRenderedPageBreak/>
              <w:t>stage of a University award and the information that ought to be provided to both Partner Colleges and the international students as to their status.  The Committee noted that the University could strengthen its forum for discussion of such issues as they arise.  LQC agreed that such a forum would naturally reside in the Office of Student Affairs.</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Pr="002458CA" w:rsidRDefault="00C301DA" w:rsidP="00C16DF1">
            <w:pPr>
              <w:spacing w:after="240"/>
              <w:rPr>
                <w:rFonts w:ascii="Arial" w:hAnsi="Arial" w:cs="Arial"/>
                <w:b/>
                <w:color w:val="FF0000"/>
                <w:sz w:val="24"/>
                <w:szCs w:val="24"/>
              </w:rPr>
            </w:pPr>
            <w:r w:rsidRPr="002458CA">
              <w:rPr>
                <w:rFonts w:ascii="Arial" w:hAnsi="Arial" w:cs="Arial"/>
                <w:b/>
                <w:color w:val="FF0000"/>
                <w:sz w:val="24"/>
                <w:szCs w:val="24"/>
              </w:rPr>
              <w:lastRenderedPageBreak/>
              <w:t>Action</w:t>
            </w:r>
          </w:p>
        </w:tc>
        <w:tc>
          <w:tcPr>
            <w:tcW w:w="7380" w:type="dxa"/>
          </w:tcPr>
          <w:p w:rsidR="00C301DA" w:rsidRPr="002458CA" w:rsidRDefault="00C301DA" w:rsidP="002458CA">
            <w:pPr>
              <w:spacing w:after="240"/>
              <w:rPr>
                <w:rFonts w:ascii="Arial" w:hAnsi="Arial" w:cs="Arial"/>
                <w:b/>
                <w:color w:val="FF0000"/>
                <w:sz w:val="24"/>
                <w:szCs w:val="24"/>
              </w:rPr>
            </w:pPr>
            <w:r w:rsidRPr="002458CA">
              <w:rPr>
                <w:rFonts w:ascii="Arial" w:hAnsi="Arial" w:cs="Arial"/>
                <w:b/>
                <w:color w:val="FF0000"/>
                <w:sz w:val="24"/>
                <w:szCs w:val="24"/>
              </w:rPr>
              <w:t xml:space="preserve">Investigate the status and nature of information provided to international students transferring from Partner Colleges to the University in respect of </w:t>
            </w:r>
            <w:r>
              <w:rPr>
                <w:rFonts w:ascii="Arial" w:hAnsi="Arial" w:cs="Arial"/>
                <w:b/>
                <w:color w:val="FF0000"/>
                <w:sz w:val="24"/>
                <w:szCs w:val="24"/>
              </w:rPr>
              <w:t xml:space="preserve">their </w:t>
            </w:r>
            <w:r w:rsidRPr="002458CA">
              <w:rPr>
                <w:rFonts w:ascii="Arial" w:hAnsi="Arial" w:cs="Arial"/>
                <w:b/>
                <w:color w:val="FF0000"/>
                <w:sz w:val="24"/>
                <w:szCs w:val="24"/>
              </w:rPr>
              <w:t xml:space="preserve">UKBA </w:t>
            </w:r>
            <w:r>
              <w:rPr>
                <w:rFonts w:ascii="Arial" w:hAnsi="Arial" w:cs="Arial"/>
                <w:b/>
                <w:color w:val="FF0000"/>
                <w:sz w:val="24"/>
                <w:szCs w:val="24"/>
              </w:rPr>
              <w:t>visa</w:t>
            </w:r>
          </w:p>
        </w:tc>
        <w:tc>
          <w:tcPr>
            <w:tcW w:w="1080" w:type="dxa"/>
          </w:tcPr>
          <w:p w:rsidR="00C301DA" w:rsidRPr="002458CA" w:rsidRDefault="00C301DA" w:rsidP="00CA7635">
            <w:pPr>
              <w:spacing w:after="240"/>
              <w:rPr>
                <w:rFonts w:ascii="Arial" w:hAnsi="Arial" w:cs="Arial"/>
                <w:b/>
                <w:color w:val="FF0000"/>
                <w:sz w:val="24"/>
                <w:szCs w:val="24"/>
              </w:rPr>
            </w:pPr>
            <w:r w:rsidRPr="002458CA">
              <w:rPr>
                <w:rFonts w:ascii="Arial" w:hAnsi="Arial" w:cs="Arial"/>
                <w:b/>
                <w:color w:val="FF0000"/>
                <w:sz w:val="24"/>
                <w:szCs w:val="24"/>
              </w:rPr>
              <w:t>LQU</w:t>
            </w:r>
          </w:p>
        </w:tc>
      </w:tr>
      <w:tr w:rsidR="00C301DA" w:rsidTr="005116F9">
        <w:tc>
          <w:tcPr>
            <w:tcW w:w="1548" w:type="dxa"/>
          </w:tcPr>
          <w:p w:rsidR="00C301DA" w:rsidRDefault="00C301DA" w:rsidP="00CA7635">
            <w:pPr>
              <w:spacing w:after="240"/>
              <w:rPr>
                <w:rFonts w:ascii="Arial" w:hAnsi="Arial" w:cs="Arial"/>
                <w:b/>
                <w:sz w:val="24"/>
                <w:szCs w:val="24"/>
              </w:rPr>
            </w:pPr>
          </w:p>
        </w:tc>
        <w:tc>
          <w:tcPr>
            <w:tcW w:w="7380" w:type="dxa"/>
          </w:tcPr>
          <w:p w:rsidR="00C301DA" w:rsidRPr="002458CA" w:rsidRDefault="00C301DA" w:rsidP="00CA7635">
            <w:pPr>
              <w:spacing w:after="240"/>
              <w:rPr>
                <w:rFonts w:ascii="Arial" w:hAnsi="Arial" w:cs="Arial"/>
                <w:b/>
                <w:sz w:val="24"/>
                <w:szCs w:val="24"/>
              </w:rPr>
            </w:pPr>
            <w:r w:rsidRPr="002458CA">
              <w:rPr>
                <w:rFonts w:ascii="Arial" w:hAnsi="Arial" w:cs="Arial"/>
                <w:b/>
                <w:sz w:val="24"/>
                <w:szCs w:val="24"/>
              </w:rPr>
              <w:t>APL Mapping</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Default="00C301DA" w:rsidP="00CA7635">
            <w:pPr>
              <w:spacing w:after="240"/>
              <w:rPr>
                <w:rFonts w:ascii="Arial" w:hAnsi="Arial" w:cs="Arial"/>
                <w:b/>
                <w:sz w:val="24"/>
                <w:szCs w:val="24"/>
              </w:rPr>
            </w:pPr>
          </w:p>
        </w:tc>
        <w:tc>
          <w:tcPr>
            <w:tcW w:w="7380" w:type="dxa"/>
          </w:tcPr>
          <w:p w:rsidR="00C301DA" w:rsidRDefault="00C301DA" w:rsidP="006F4EF0">
            <w:pPr>
              <w:spacing w:after="240"/>
              <w:rPr>
                <w:rFonts w:ascii="Arial" w:hAnsi="Arial" w:cs="Arial"/>
                <w:sz w:val="24"/>
                <w:szCs w:val="24"/>
              </w:rPr>
            </w:pPr>
            <w:r>
              <w:rPr>
                <w:rFonts w:ascii="Arial" w:hAnsi="Arial" w:cs="Arial"/>
                <w:sz w:val="24"/>
                <w:szCs w:val="24"/>
              </w:rPr>
              <w:t>In response to a Business School question, LQC confirmed that students undertaking applications for APL as part of admissions should always have their experience clearly mapped against individual programme and course outcomes so that there is a demonstrable audit trail for exemption purposes.  Such information should be made available as a matter of course to admissions teams.</w:t>
            </w:r>
          </w:p>
        </w:tc>
        <w:tc>
          <w:tcPr>
            <w:tcW w:w="1080" w:type="dxa"/>
          </w:tcPr>
          <w:p w:rsidR="00C301DA" w:rsidRPr="00CA7635" w:rsidRDefault="00C301DA" w:rsidP="00CA7635">
            <w:pPr>
              <w:spacing w:after="240"/>
              <w:rPr>
                <w:rFonts w:ascii="Arial" w:hAnsi="Arial" w:cs="Arial"/>
                <w:sz w:val="24"/>
                <w:szCs w:val="24"/>
              </w:rPr>
            </w:pPr>
          </w:p>
        </w:tc>
      </w:tr>
      <w:tr w:rsidR="00C301DA" w:rsidTr="005116F9">
        <w:tc>
          <w:tcPr>
            <w:tcW w:w="1548" w:type="dxa"/>
          </w:tcPr>
          <w:p w:rsidR="00C301DA" w:rsidRDefault="00C301DA" w:rsidP="00CA7635">
            <w:pPr>
              <w:spacing w:after="240"/>
              <w:rPr>
                <w:rFonts w:ascii="Arial" w:hAnsi="Arial" w:cs="Arial"/>
                <w:b/>
                <w:sz w:val="24"/>
                <w:szCs w:val="24"/>
              </w:rPr>
            </w:pPr>
          </w:p>
        </w:tc>
        <w:tc>
          <w:tcPr>
            <w:tcW w:w="7380" w:type="dxa"/>
          </w:tcPr>
          <w:p w:rsidR="00C301DA" w:rsidRDefault="00C301DA" w:rsidP="003005CD">
            <w:pPr>
              <w:rPr>
                <w:rFonts w:ascii="Arial" w:hAnsi="Arial" w:cs="Arial"/>
                <w:b/>
                <w:sz w:val="24"/>
                <w:szCs w:val="24"/>
              </w:rPr>
            </w:pPr>
            <w:r w:rsidRPr="00A747B8">
              <w:rPr>
                <w:rFonts w:ascii="Arial" w:hAnsi="Arial" w:cs="Arial"/>
                <w:b/>
                <w:sz w:val="24"/>
                <w:szCs w:val="24"/>
              </w:rPr>
              <w:t xml:space="preserve">Date </w:t>
            </w:r>
            <w:r>
              <w:rPr>
                <w:rFonts w:ascii="Arial" w:hAnsi="Arial" w:cs="Arial"/>
                <w:b/>
                <w:sz w:val="24"/>
                <w:szCs w:val="24"/>
              </w:rPr>
              <w:t>and Time o</w:t>
            </w:r>
            <w:r w:rsidRPr="00A747B8">
              <w:rPr>
                <w:rFonts w:ascii="Arial" w:hAnsi="Arial" w:cs="Arial"/>
                <w:b/>
                <w:sz w:val="24"/>
                <w:szCs w:val="24"/>
              </w:rPr>
              <w:t>f Next Meeting</w:t>
            </w:r>
          </w:p>
          <w:p w:rsidR="00C301DA" w:rsidRDefault="00C301DA" w:rsidP="003005CD">
            <w:pPr>
              <w:rPr>
                <w:rFonts w:ascii="Arial" w:hAnsi="Arial" w:cs="Arial"/>
                <w:sz w:val="24"/>
                <w:szCs w:val="24"/>
              </w:rPr>
            </w:pPr>
            <w:r w:rsidRPr="007B5687">
              <w:rPr>
                <w:rFonts w:ascii="Arial" w:hAnsi="Arial" w:cs="Arial"/>
                <w:sz w:val="24"/>
                <w:szCs w:val="24"/>
              </w:rPr>
              <w:t>The next meeting of the Learning and Quality Committee will take place on Wednesday 18</w:t>
            </w:r>
            <w:r w:rsidRPr="007B5687">
              <w:rPr>
                <w:rFonts w:ascii="Arial" w:hAnsi="Arial" w:cs="Arial"/>
                <w:sz w:val="24"/>
                <w:szCs w:val="24"/>
                <w:vertAlign w:val="superscript"/>
              </w:rPr>
              <w:t>th</w:t>
            </w:r>
            <w:r w:rsidRPr="007B5687">
              <w:rPr>
                <w:rFonts w:ascii="Arial" w:hAnsi="Arial" w:cs="Arial"/>
                <w:sz w:val="24"/>
                <w:szCs w:val="24"/>
              </w:rPr>
              <w:t xml:space="preserve"> October 2012, at 13.00 in Seacole 309/10, Avery Hill Campus</w:t>
            </w:r>
          </w:p>
          <w:p w:rsidR="00C301DA" w:rsidRPr="007B5687" w:rsidRDefault="00C301DA" w:rsidP="003005CD">
            <w:pPr>
              <w:rPr>
                <w:rFonts w:ascii="Arial" w:hAnsi="Arial" w:cs="Arial"/>
                <w:sz w:val="24"/>
                <w:szCs w:val="24"/>
              </w:rPr>
            </w:pPr>
            <w:r>
              <w:rPr>
                <w:rFonts w:ascii="Arial" w:hAnsi="Arial" w:cs="Arial"/>
                <w:sz w:val="24"/>
                <w:szCs w:val="24"/>
              </w:rPr>
              <w:t>Members are requested to provide papers and agenda items (only supported by written material) no later than Wednesday 11</w:t>
            </w:r>
            <w:r w:rsidRPr="003005CD">
              <w:rPr>
                <w:rFonts w:ascii="Arial" w:hAnsi="Arial" w:cs="Arial"/>
                <w:sz w:val="24"/>
                <w:szCs w:val="24"/>
                <w:vertAlign w:val="superscript"/>
              </w:rPr>
              <w:t>th</w:t>
            </w:r>
            <w:r>
              <w:rPr>
                <w:rFonts w:ascii="Arial" w:hAnsi="Arial" w:cs="Arial"/>
                <w:sz w:val="24"/>
                <w:szCs w:val="24"/>
              </w:rPr>
              <w:t xml:space="preserve"> October for circulation on 12</w:t>
            </w:r>
            <w:r w:rsidRPr="003005CD">
              <w:rPr>
                <w:rFonts w:ascii="Arial" w:hAnsi="Arial" w:cs="Arial"/>
                <w:sz w:val="24"/>
                <w:szCs w:val="24"/>
                <w:vertAlign w:val="superscript"/>
              </w:rPr>
              <w:t>th</w:t>
            </w:r>
            <w:r>
              <w:rPr>
                <w:rFonts w:ascii="Arial" w:hAnsi="Arial" w:cs="Arial"/>
                <w:sz w:val="24"/>
                <w:szCs w:val="24"/>
              </w:rPr>
              <w:t xml:space="preserve"> October.</w:t>
            </w:r>
          </w:p>
          <w:p w:rsidR="00C301DA" w:rsidRDefault="00C301DA" w:rsidP="00CA7635">
            <w:pPr>
              <w:spacing w:after="240"/>
              <w:rPr>
                <w:rFonts w:ascii="Arial" w:hAnsi="Arial" w:cs="Arial"/>
                <w:sz w:val="24"/>
                <w:szCs w:val="24"/>
              </w:rPr>
            </w:pPr>
          </w:p>
        </w:tc>
        <w:tc>
          <w:tcPr>
            <w:tcW w:w="1080" w:type="dxa"/>
          </w:tcPr>
          <w:p w:rsidR="00C301DA" w:rsidRPr="00CA7635" w:rsidRDefault="00C301DA" w:rsidP="00CA7635">
            <w:pPr>
              <w:spacing w:after="240"/>
              <w:rPr>
                <w:rFonts w:ascii="Arial" w:hAnsi="Arial" w:cs="Arial"/>
                <w:sz w:val="24"/>
                <w:szCs w:val="24"/>
              </w:rPr>
            </w:pPr>
          </w:p>
        </w:tc>
      </w:tr>
    </w:tbl>
    <w:p w:rsidR="00C301DA" w:rsidRPr="00571666" w:rsidRDefault="00C301DA" w:rsidP="00571666">
      <w:pPr>
        <w:ind w:left="180"/>
        <w:rPr>
          <w:b/>
          <w:color w:val="FF0000"/>
        </w:rPr>
      </w:pPr>
    </w:p>
    <w:p w:rsidR="00C301DA" w:rsidRDefault="00C301DA" w:rsidP="00571666">
      <w:pPr>
        <w:ind w:left="1440" w:hanging="540"/>
      </w:pPr>
    </w:p>
    <w:p w:rsidR="00C301DA" w:rsidRPr="00A747B8" w:rsidRDefault="00C301DA" w:rsidP="00B336A5">
      <w:pPr>
        <w:rPr>
          <w:rFonts w:ascii="Arial" w:hAnsi="Arial" w:cs="Arial"/>
          <w:b/>
          <w:sz w:val="24"/>
          <w:szCs w:val="24"/>
        </w:rPr>
      </w:pPr>
      <w:r w:rsidRPr="00A747B8">
        <w:rPr>
          <w:rFonts w:ascii="Arial" w:hAnsi="Arial" w:cs="Arial"/>
          <w:b/>
          <w:sz w:val="24"/>
          <w:szCs w:val="24"/>
        </w:rPr>
        <w:tab/>
      </w:r>
    </w:p>
    <w:p w:rsidR="00C301DA" w:rsidRPr="00385E81" w:rsidRDefault="00C301DA" w:rsidP="00385E81">
      <w:pPr>
        <w:jc w:val="right"/>
        <w:rPr>
          <w:rFonts w:ascii="Arial" w:hAnsi="Arial" w:cs="Arial"/>
          <w:b/>
          <w:sz w:val="24"/>
          <w:szCs w:val="24"/>
        </w:rPr>
      </w:pPr>
      <w:r w:rsidRPr="00A747B8">
        <w:rPr>
          <w:rFonts w:ascii="Arial" w:hAnsi="Arial" w:cs="Arial"/>
          <w:b/>
          <w:i/>
          <w:sz w:val="24"/>
          <w:szCs w:val="24"/>
        </w:rPr>
        <w:tab/>
      </w:r>
      <w:r w:rsidRPr="00A747B8">
        <w:rPr>
          <w:rFonts w:ascii="Arial" w:hAnsi="Arial" w:cs="Arial"/>
          <w:b/>
          <w:i/>
          <w:sz w:val="24"/>
          <w:szCs w:val="24"/>
        </w:rPr>
        <w:tab/>
      </w:r>
    </w:p>
    <w:p w:rsidR="00C301DA" w:rsidRPr="00A747B8" w:rsidRDefault="00C301DA" w:rsidP="00B336A5">
      <w:pPr>
        <w:rPr>
          <w:rFonts w:ascii="Arial" w:hAnsi="Arial" w:cs="Arial"/>
          <w:sz w:val="24"/>
          <w:szCs w:val="24"/>
        </w:rPr>
      </w:pPr>
      <w:r w:rsidRPr="00A747B8">
        <w:rPr>
          <w:rFonts w:ascii="Arial" w:hAnsi="Arial" w:cs="Arial"/>
          <w:i/>
          <w:sz w:val="24"/>
          <w:szCs w:val="24"/>
        </w:rPr>
        <w:tab/>
      </w:r>
      <w:r w:rsidRPr="00A747B8">
        <w:rPr>
          <w:rFonts w:ascii="Arial" w:hAnsi="Arial" w:cs="Arial"/>
          <w:i/>
          <w:sz w:val="24"/>
          <w:szCs w:val="24"/>
        </w:rPr>
        <w:tab/>
      </w:r>
    </w:p>
    <w:p w:rsidR="00C301DA" w:rsidRDefault="00C301DA" w:rsidP="001A4779">
      <w:pPr>
        <w:rPr>
          <w:rFonts w:ascii="Arial" w:hAnsi="Arial" w:cs="Arial"/>
          <w:i/>
          <w:sz w:val="24"/>
          <w:szCs w:val="24"/>
        </w:rPr>
      </w:pPr>
    </w:p>
    <w:p w:rsidR="00C301DA" w:rsidRDefault="00C301DA" w:rsidP="001A4779">
      <w:pPr>
        <w:rPr>
          <w:rFonts w:ascii="Arial" w:hAnsi="Arial" w:cs="Arial"/>
          <w:i/>
          <w:sz w:val="24"/>
          <w:szCs w:val="24"/>
        </w:rPr>
      </w:pPr>
    </w:p>
    <w:p w:rsidR="00C301DA" w:rsidRDefault="00C301DA" w:rsidP="001A4779">
      <w:pPr>
        <w:rPr>
          <w:rFonts w:ascii="Arial" w:hAnsi="Arial" w:cs="Arial"/>
          <w:i/>
          <w:sz w:val="24"/>
          <w:szCs w:val="24"/>
        </w:rPr>
      </w:pPr>
    </w:p>
    <w:p w:rsidR="00C301DA" w:rsidRDefault="00C301DA" w:rsidP="001A4779">
      <w:pPr>
        <w:rPr>
          <w:rFonts w:ascii="Arial" w:hAnsi="Arial" w:cs="Arial"/>
          <w:i/>
          <w:sz w:val="24"/>
          <w:szCs w:val="24"/>
        </w:rPr>
      </w:pPr>
      <w:r>
        <w:rPr>
          <w:rFonts w:ascii="Arial" w:hAnsi="Arial" w:cs="Arial"/>
          <w:i/>
          <w:sz w:val="24"/>
          <w:szCs w:val="24"/>
        </w:rPr>
        <w:t>Officer</w:t>
      </w:r>
      <w:r w:rsidRPr="00A747B8">
        <w:rPr>
          <w:rFonts w:ascii="Arial" w:hAnsi="Arial" w:cs="Arial"/>
          <w:i/>
          <w:sz w:val="24"/>
          <w:szCs w:val="24"/>
        </w:rPr>
        <w:t>:</w:t>
      </w:r>
      <w:r>
        <w:rPr>
          <w:rFonts w:ascii="Arial" w:hAnsi="Arial" w:cs="Arial"/>
          <w:i/>
          <w:sz w:val="24"/>
          <w:szCs w:val="24"/>
        </w:rPr>
        <w:t xml:space="preserve">  Stephen Naylor</w:t>
      </w:r>
      <w:r w:rsidRPr="00A747B8">
        <w:rPr>
          <w:rFonts w:ascii="Arial" w:hAnsi="Arial" w:cs="Arial"/>
          <w:i/>
          <w:sz w:val="24"/>
          <w:szCs w:val="24"/>
        </w:rPr>
        <w:tab/>
      </w:r>
      <w:r w:rsidRPr="00A747B8">
        <w:rPr>
          <w:rFonts w:ascii="Arial" w:hAnsi="Arial" w:cs="Arial"/>
          <w:i/>
          <w:sz w:val="24"/>
          <w:szCs w:val="24"/>
        </w:rPr>
        <w:br/>
        <w:t xml:space="preserve">Tel: </w:t>
      </w:r>
      <w:r w:rsidRPr="00A747B8">
        <w:rPr>
          <w:rFonts w:ascii="Arial" w:hAnsi="Arial" w:cs="Arial"/>
          <w:i/>
          <w:sz w:val="24"/>
          <w:szCs w:val="24"/>
        </w:rPr>
        <w:tab/>
      </w:r>
      <w:r>
        <w:rPr>
          <w:rFonts w:ascii="Arial" w:hAnsi="Arial" w:cs="Arial"/>
          <w:i/>
          <w:sz w:val="24"/>
          <w:szCs w:val="24"/>
        </w:rPr>
        <w:t>8159</w:t>
      </w:r>
      <w:r>
        <w:rPr>
          <w:rFonts w:ascii="Arial" w:hAnsi="Arial" w:cs="Arial"/>
          <w:i/>
          <w:sz w:val="24"/>
          <w:szCs w:val="24"/>
        </w:rPr>
        <w:br/>
        <w:t>Email: ns01@gre.ac.uk</w:t>
      </w:r>
    </w:p>
    <w:sectPr w:rsidR="00C301DA" w:rsidSect="005116F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DA" w:rsidRDefault="00C301DA" w:rsidP="00540A44">
      <w:pPr>
        <w:spacing w:after="0" w:line="240" w:lineRule="auto"/>
      </w:pPr>
      <w:r>
        <w:separator/>
      </w:r>
    </w:p>
  </w:endnote>
  <w:endnote w:type="continuationSeparator" w:id="0">
    <w:p w:rsidR="00C301DA" w:rsidRDefault="00C301DA"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Default="00C30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Pr="00994B7E" w:rsidRDefault="00C301DA" w:rsidP="00994B7E">
    <w:pPr>
      <w:pStyle w:val="Footer"/>
      <w:pBdr>
        <w:top w:val="thinThickSmallGap" w:sz="24" w:space="1" w:color="622423"/>
      </w:pBdr>
      <w:tabs>
        <w:tab w:val="clear" w:pos="4513"/>
        <w:tab w:val="clear" w:pos="9026"/>
        <w:tab w:val="right" w:pos="9638"/>
      </w:tabs>
      <w:rPr>
        <w:rFonts w:ascii="Cambria" w:hAnsi="Cambria"/>
      </w:rPr>
    </w:pPr>
    <w:r>
      <w:rPr>
        <w:rFonts w:ascii="Cambria" w:hAnsi="Cambria"/>
      </w:rPr>
      <w:t>Learning and Quality Committee 12-M1 September 2012</w:t>
    </w:r>
    <w:r w:rsidRPr="00994B7E">
      <w:rPr>
        <w:rFonts w:ascii="Cambria" w:hAnsi="Cambria"/>
      </w:rPr>
      <w:tab/>
      <w:t xml:space="preserve">Page </w:t>
    </w:r>
    <w:r w:rsidR="008428A9">
      <w:fldChar w:fldCharType="begin"/>
    </w:r>
    <w:r w:rsidR="008428A9">
      <w:instrText xml:space="preserve"> PAGE   \* MERGEFORMAT </w:instrText>
    </w:r>
    <w:r w:rsidR="008428A9">
      <w:fldChar w:fldCharType="separate"/>
    </w:r>
    <w:r w:rsidR="008428A9" w:rsidRPr="008428A9">
      <w:rPr>
        <w:rFonts w:ascii="Cambria" w:hAnsi="Cambria"/>
        <w:noProof/>
      </w:rPr>
      <w:t>1</w:t>
    </w:r>
    <w:r w:rsidR="008428A9">
      <w:rPr>
        <w:rFonts w:ascii="Cambria" w:hAnsi="Cambria"/>
        <w:noProof/>
      </w:rPr>
      <w:fldChar w:fldCharType="end"/>
    </w:r>
  </w:p>
  <w:p w:rsidR="00C301DA" w:rsidRDefault="00C301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Default="00C30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DA" w:rsidRDefault="00C301DA" w:rsidP="00540A44">
      <w:pPr>
        <w:spacing w:after="0" w:line="240" w:lineRule="auto"/>
      </w:pPr>
      <w:r>
        <w:separator/>
      </w:r>
    </w:p>
  </w:footnote>
  <w:footnote w:type="continuationSeparator" w:id="0">
    <w:p w:rsidR="00C301DA" w:rsidRDefault="00C301DA" w:rsidP="00540A44">
      <w:pPr>
        <w:spacing w:after="0" w:line="240" w:lineRule="auto"/>
      </w:pPr>
      <w:r>
        <w:continuationSeparator/>
      </w:r>
    </w:p>
  </w:footnote>
  <w:footnote w:id="1">
    <w:p w:rsidR="00C301DA" w:rsidRDefault="00C301DA">
      <w:pPr>
        <w:pStyle w:val="FootnoteText"/>
      </w:pPr>
      <w:r>
        <w:rPr>
          <w:rStyle w:val="FootnoteReference"/>
        </w:rPr>
        <w:footnoteRef/>
      </w:r>
      <w:r>
        <w:t xml:space="preserve"> Officer’s note:  The overlap time from September to  31</w:t>
      </w:r>
      <w:r w:rsidRPr="00E94E13">
        <w:rPr>
          <w:vertAlign w:val="superscript"/>
        </w:rPr>
        <w:t>st</w:t>
      </w:r>
      <w:r>
        <w:t xml:space="preserve"> December permits outgoing examiners to review first semester examinations and provide feedback to the University on early assessments in the cycle.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Default="00C30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Default="00C301DA" w:rsidP="00522B4B">
    <w:pPr>
      <w:pStyle w:val="Header"/>
    </w:pPr>
    <w:r>
      <w:t>LQC 2012/2  Agenda Item 2, P14</w:t>
    </w:r>
  </w:p>
  <w:p w:rsidR="00C301DA" w:rsidRDefault="00C30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Default="00C30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E"/>
    <w:rsid w:val="00004160"/>
    <w:rsid w:val="00006E11"/>
    <w:rsid w:val="00013D77"/>
    <w:rsid w:val="000442AA"/>
    <w:rsid w:val="00056E44"/>
    <w:rsid w:val="00062568"/>
    <w:rsid w:val="000C596B"/>
    <w:rsid w:val="000E1917"/>
    <w:rsid w:val="000F44A6"/>
    <w:rsid w:val="00110C4C"/>
    <w:rsid w:val="00156078"/>
    <w:rsid w:val="00162FF2"/>
    <w:rsid w:val="001772AD"/>
    <w:rsid w:val="001A2DAF"/>
    <w:rsid w:val="001A4779"/>
    <w:rsid w:val="001A649F"/>
    <w:rsid w:val="001B0AA5"/>
    <w:rsid w:val="001F2340"/>
    <w:rsid w:val="002005D5"/>
    <w:rsid w:val="0020483F"/>
    <w:rsid w:val="0021513C"/>
    <w:rsid w:val="00223A23"/>
    <w:rsid w:val="002458CA"/>
    <w:rsid w:val="002616E2"/>
    <w:rsid w:val="002A22EA"/>
    <w:rsid w:val="002F32BE"/>
    <w:rsid w:val="002F5257"/>
    <w:rsid w:val="003005CD"/>
    <w:rsid w:val="0032340E"/>
    <w:rsid w:val="00332579"/>
    <w:rsid w:val="0033391E"/>
    <w:rsid w:val="00373A15"/>
    <w:rsid w:val="0037615B"/>
    <w:rsid w:val="00385E81"/>
    <w:rsid w:val="003931D3"/>
    <w:rsid w:val="003D47C3"/>
    <w:rsid w:val="003D5841"/>
    <w:rsid w:val="00437FEF"/>
    <w:rsid w:val="00454D5E"/>
    <w:rsid w:val="004C1CA5"/>
    <w:rsid w:val="00510DBC"/>
    <w:rsid w:val="005116F9"/>
    <w:rsid w:val="00522B4B"/>
    <w:rsid w:val="005237FD"/>
    <w:rsid w:val="00540A44"/>
    <w:rsid w:val="00544BC9"/>
    <w:rsid w:val="00571666"/>
    <w:rsid w:val="005728CF"/>
    <w:rsid w:val="005804A7"/>
    <w:rsid w:val="0058501B"/>
    <w:rsid w:val="005B2025"/>
    <w:rsid w:val="005B5BDB"/>
    <w:rsid w:val="005E4F47"/>
    <w:rsid w:val="005F3FB4"/>
    <w:rsid w:val="0064670D"/>
    <w:rsid w:val="0065590C"/>
    <w:rsid w:val="00684277"/>
    <w:rsid w:val="006F4EF0"/>
    <w:rsid w:val="0072682D"/>
    <w:rsid w:val="007567C9"/>
    <w:rsid w:val="007829C9"/>
    <w:rsid w:val="007B5687"/>
    <w:rsid w:val="007E2521"/>
    <w:rsid w:val="0081051E"/>
    <w:rsid w:val="008428A9"/>
    <w:rsid w:val="0087597C"/>
    <w:rsid w:val="00885648"/>
    <w:rsid w:val="008919CF"/>
    <w:rsid w:val="008A55CD"/>
    <w:rsid w:val="008D68EB"/>
    <w:rsid w:val="0094233C"/>
    <w:rsid w:val="00994B7E"/>
    <w:rsid w:val="009C1CC6"/>
    <w:rsid w:val="009E0DC6"/>
    <w:rsid w:val="00A154BE"/>
    <w:rsid w:val="00A26584"/>
    <w:rsid w:val="00A31D49"/>
    <w:rsid w:val="00A53464"/>
    <w:rsid w:val="00A60DD9"/>
    <w:rsid w:val="00A6112D"/>
    <w:rsid w:val="00A747B8"/>
    <w:rsid w:val="00A813AD"/>
    <w:rsid w:val="00B336A5"/>
    <w:rsid w:val="00B71293"/>
    <w:rsid w:val="00B83566"/>
    <w:rsid w:val="00B84C9B"/>
    <w:rsid w:val="00B852DE"/>
    <w:rsid w:val="00B96D52"/>
    <w:rsid w:val="00C13265"/>
    <w:rsid w:val="00C15ABD"/>
    <w:rsid w:val="00C16DF1"/>
    <w:rsid w:val="00C301DA"/>
    <w:rsid w:val="00C47A4C"/>
    <w:rsid w:val="00C5074E"/>
    <w:rsid w:val="00C50901"/>
    <w:rsid w:val="00C6785C"/>
    <w:rsid w:val="00C751F5"/>
    <w:rsid w:val="00CA3106"/>
    <w:rsid w:val="00CA3402"/>
    <w:rsid w:val="00CA7635"/>
    <w:rsid w:val="00CB570D"/>
    <w:rsid w:val="00D158A8"/>
    <w:rsid w:val="00D17A1B"/>
    <w:rsid w:val="00D701DC"/>
    <w:rsid w:val="00D912B6"/>
    <w:rsid w:val="00DA13ED"/>
    <w:rsid w:val="00DE06BF"/>
    <w:rsid w:val="00E41FAA"/>
    <w:rsid w:val="00E42EC3"/>
    <w:rsid w:val="00E666B6"/>
    <w:rsid w:val="00E94E13"/>
    <w:rsid w:val="00EB0BA8"/>
    <w:rsid w:val="00F26608"/>
    <w:rsid w:val="00F81421"/>
    <w:rsid w:val="00F81F6B"/>
    <w:rsid w:val="00F869F0"/>
    <w:rsid w:val="00FB7D12"/>
    <w:rsid w:val="00FC393B"/>
    <w:rsid w:val="00FC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6A5"/>
    <w:pPr>
      <w:ind w:left="720"/>
      <w:contextualSpacing/>
    </w:pPr>
  </w:style>
  <w:style w:type="paragraph" w:styleId="NoSpacing">
    <w:name w:val="No Spacing"/>
    <w:uiPriority w:val="99"/>
    <w:qFormat/>
    <w:rsid w:val="00B336A5"/>
    <w:rPr>
      <w:lang w:eastAsia="en-US"/>
    </w:rPr>
  </w:style>
  <w:style w:type="paragraph" w:styleId="Header">
    <w:name w:val="header"/>
    <w:basedOn w:val="Normal"/>
    <w:link w:val="HeaderChar"/>
    <w:uiPriority w:val="99"/>
    <w:rsid w:val="00540A44"/>
    <w:pPr>
      <w:tabs>
        <w:tab w:val="center" w:pos="4513"/>
        <w:tab w:val="right" w:pos="9026"/>
      </w:tabs>
    </w:pPr>
  </w:style>
  <w:style w:type="character" w:customStyle="1" w:styleId="HeaderChar">
    <w:name w:val="Header Char"/>
    <w:basedOn w:val="DefaultParagraphFont"/>
    <w:link w:val="Header"/>
    <w:uiPriority w:val="99"/>
    <w:locked/>
    <w:rsid w:val="00540A44"/>
    <w:rPr>
      <w:rFonts w:cs="Times New Roman"/>
      <w:sz w:val="22"/>
      <w:lang w:eastAsia="en-US"/>
    </w:rPr>
  </w:style>
  <w:style w:type="paragraph" w:styleId="Footer">
    <w:name w:val="footer"/>
    <w:basedOn w:val="Normal"/>
    <w:link w:val="FooterChar"/>
    <w:uiPriority w:val="99"/>
    <w:rsid w:val="00540A44"/>
    <w:pPr>
      <w:tabs>
        <w:tab w:val="center" w:pos="4513"/>
        <w:tab w:val="right" w:pos="9026"/>
      </w:tabs>
    </w:pPr>
  </w:style>
  <w:style w:type="character" w:customStyle="1" w:styleId="FooterChar">
    <w:name w:val="Footer Char"/>
    <w:basedOn w:val="DefaultParagraphFont"/>
    <w:link w:val="Footer"/>
    <w:uiPriority w:val="99"/>
    <w:locked/>
    <w:rsid w:val="00540A44"/>
    <w:rPr>
      <w:rFonts w:cs="Times New Roman"/>
      <w:sz w:val="22"/>
      <w:lang w:eastAsia="en-US"/>
    </w:rPr>
  </w:style>
  <w:style w:type="table" w:styleId="TableGrid">
    <w:name w:val="Table Grid"/>
    <w:basedOn w:val="TableNormal"/>
    <w:uiPriority w:val="99"/>
    <w:locked/>
    <w:rsid w:val="0057166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4E13"/>
    <w:rPr>
      <w:sz w:val="20"/>
      <w:szCs w:val="20"/>
    </w:rPr>
  </w:style>
  <w:style w:type="character" w:customStyle="1" w:styleId="FootnoteTextChar">
    <w:name w:val="Footnote Text Char"/>
    <w:basedOn w:val="DefaultParagraphFont"/>
    <w:link w:val="FootnoteText"/>
    <w:uiPriority w:val="99"/>
    <w:semiHidden/>
    <w:locked/>
    <w:rsid w:val="00C15ABD"/>
    <w:rPr>
      <w:rFonts w:cs="Times New Roman"/>
      <w:sz w:val="20"/>
      <w:lang w:eastAsia="en-US"/>
    </w:rPr>
  </w:style>
  <w:style w:type="character" w:styleId="FootnoteReference">
    <w:name w:val="footnote reference"/>
    <w:basedOn w:val="DefaultParagraphFont"/>
    <w:uiPriority w:val="99"/>
    <w:semiHidden/>
    <w:rsid w:val="00E94E13"/>
    <w:rPr>
      <w:rFonts w:cs="Times New Roman"/>
      <w:vertAlign w:val="superscript"/>
    </w:rPr>
  </w:style>
  <w:style w:type="paragraph" w:styleId="BalloonText">
    <w:name w:val="Balloon Text"/>
    <w:basedOn w:val="Normal"/>
    <w:link w:val="BalloonTextChar"/>
    <w:uiPriority w:val="99"/>
    <w:semiHidden/>
    <w:rsid w:val="00994B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4B7E"/>
    <w:rPr>
      <w:rFonts w:ascii="Tahoma" w:hAnsi="Tahoma" w:cs="Times New Roman"/>
      <w:sz w:val="16"/>
      <w:lang w:eastAsia="en-US"/>
    </w:rPr>
  </w:style>
  <w:style w:type="character" w:styleId="CommentReference">
    <w:name w:val="annotation reference"/>
    <w:basedOn w:val="DefaultParagraphFont"/>
    <w:uiPriority w:val="99"/>
    <w:semiHidden/>
    <w:rsid w:val="00156078"/>
    <w:rPr>
      <w:rFonts w:cs="Times New Roman"/>
      <w:sz w:val="16"/>
      <w:szCs w:val="16"/>
    </w:rPr>
  </w:style>
  <w:style w:type="paragraph" w:styleId="CommentText">
    <w:name w:val="annotation text"/>
    <w:basedOn w:val="Normal"/>
    <w:link w:val="CommentTextChar"/>
    <w:uiPriority w:val="99"/>
    <w:semiHidden/>
    <w:rsid w:val="0015607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56078"/>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05711">
      <w:marLeft w:val="0"/>
      <w:marRight w:val="0"/>
      <w:marTop w:val="0"/>
      <w:marBottom w:val="0"/>
      <w:divBdr>
        <w:top w:val="none" w:sz="0" w:space="0" w:color="auto"/>
        <w:left w:val="none" w:sz="0" w:space="0" w:color="auto"/>
        <w:bottom w:val="none" w:sz="0" w:space="0" w:color="auto"/>
        <w:right w:val="none" w:sz="0" w:space="0" w:color="auto"/>
      </w:divBdr>
    </w:div>
    <w:div w:id="906305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1807</Words>
  <Characters>10305</Characters>
  <Application>Microsoft Office Word</Application>
  <DocSecurity>4</DocSecurity>
  <Lines>85</Lines>
  <Paragraphs>24</Paragraphs>
  <ScaleCrop>false</ScaleCrop>
  <Company>the University of Greenwich</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2011-10-14T11:08:00Z</cp:lastPrinted>
  <dcterms:created xsi:type="dcterms:W3CDTF">2012-11-13T12:04:00Z</dcterms:created>
  <dcterms:modified xsi:type="dcterms:W3CDTF">2012-11-13T12:04:00Z</dcterms:modified>
</cp:coreProperties>
</file>