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AF3F44" w14:textId="77777777" w:rsidR="00562631" w:rsidRPr="008A7C39" w:rsidRDefault="000B5FC6" w:rsidP="008A7C39">
      <w:pPr>
        <w:spacing w:after="0" w:line="240" w:lineRule="auto"/>
        <w:rPr>
          <w:rFonts w:cs="Calibri"/>
          <w:sz w:val="20"/>
          <w:szCs w:val="20"/>
        </w:rPr>
      </w:pPr>
      <w:bookmarkStart w:id="0" w:name="_GoBack"/>
      <w:bookmarkEnd w:id="0"/>
      <w:r>
        <w:rPr>
          <w:noProof/>
          <w:lang w:eastAsia="en-GB"/>
        </w:rPr>
        <w:drawing>
          <wp:anchor distT="0" distB="0" distL="114300" distR="114300" simplePos="0" relativeHeight="251657728" behindDoc="0" locked="0" layoutInCell="1" allowOverlap="1" wp14:anchorId="275888E7" wp14:editId="0A88D57F">
            <wp:simplePos x="0" y="0"/>
            <wp:positionH relativeFrom="column">
              <wp:posOffset>4518660</wp:posOffset>
            </wp:positionH>
            <wp:positionV relativeFrom="paragraph">
              <wp:posOffset>-337820</wp:posOffset>
            </wp:positionV>
            <wp:extent cx="1501140" cy="747395"/>
            <wp:effectExtent l="0" t="0" r="3810" b="0"/>
            <wp:wrapNone/>
            <wp:docPr id="3" name="Picture 2" descr="New UoG Logo Jan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UoG Logo Jan 2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747395"/>
                    </a:xfrm>
                    <a:prstGeom prst="rect">
                      <a:avLst/>
                    </a:prstGeom>
                    <a:noFill/>
                  </pic:spPr>
                </pic:pic>
              </a:graphicData>
            </a:graphic>
            <wp14:sizeRelH relativeFrom="page">
              <wp14:pctWidth>0</wp14:pctWidth>
            </wp14:sizeRelH>
            <wp14:sizeRelV relativeFrom="page">
              <wp14:pctHeight>0</wp14:pctHeight>
            </wp14:sizeRelV>
          </wp:anchor>
        </w:drawing>
      </w:r>
      <w:r w:rsidR="00562631" w:rsidRPr="008A7C39">
        <w:rPr>
          <w:rFonts w:cs="Calibri"/>
          <w:sz w:val="20"/>
          <w:szCs w:val="20"/>
        </w:rPr>
        <w:t xml:space="preserve">    </w:t>
      </w:r>
    </w:p>
    <w:p w14:paraId="421AE813" w14:textId="77777777" w:rsidR="00562631" w:rsidRPr="008A7C39" w:rsidRDefault="00562631" w:rsidP="008A7C39">
      <w:pPr>
        <w:spacing w:after="0" w:line="240" w:lineRule="auto"/>
        <w:rPr>
          <w:rFonts w:cs="Calibri"/>
          <w:sz w:val="20"/>
          <w:szCs w:val="20"/>
        </w:rPr>
      </w:pPr>
    </w:p>
    <w:p w14:paraId="1D45E89C" w14:textId="77777777" w:rsidR="00562631" w:rsidRPr="008A7C39" w:rsidRDefault="00562631" w:rsidP="008A7C39">
      <w:pPr>
        <w:spacing w:after="0" w:line="240" w:lineRule="auto"/>
        <w:jc w:val="center"/>
        <w:rPr>
          <w:rFonts w:cs="Calibri"/>
          <w:sz w:val="20"/>
          <w:szCs w:val="20"/>
        </w:rPr>
      </w:pPr>
      <w:r w:rsidRPr="008A7C39">
        <w:rPr>
          <w:rFonts w:cs="Calibri"/>
          <w:sz w:val="20"/>
          <w:szCs w:val="20"/>
        </w:rPr>
        <w:t>LEARNING AND QUALITY COMMITTEE</w:t>
      </w:r>
    </w:p>
    <w:p w14:paraId="1DF97BFF" w14:textId="77777777" w:rsidR="00562631" w:rsidRPr="008A7C39" w:rsidRDefault="00562631" w:rsidP="008A7C39">
      <w:pPr>
        <w:tabs>
          <w:tab w:val="left" w:pos="0"/>
        </w:tabs>
        <w:spacing w:after="0" w:line="240" w:lineRule="auto"/>
        <w:jc w:val="center"/>
        <w:rPr>
          <w:rFonts w:cs="Calibri"/>
          <w:sz w:val="20"/>
          <w:szCs w:val="20"/>
        </w:rPr>
      </w:pPr>
      <w:r w:rsidRPr="008A7C39">
        <w:rPr>
          <w:rFonts w:cs="Calibri"/>
          <w:sz w:val="20"/>
          <w:szCs w:val="20"/>
        </w:rPr>
        <w:t>Minutes of the sixth meeting of the Learning and Quality Committee in the 2012-13 academic session, held on Wednesday 20</w:t>
      </w:r>
      <w:r w:rsidRPr="008A7C39">
        <w:rPr>
          <w:rFonts w:cs="Calibri"/>
          <w:sz w:val="20"/>
          <w:szCs w:val="20"/>
          <w:vertAlign w:val="superscript"/>
        </w:rPr>
        <w:t>th</w:t>
      </w:r>
      <w:r w:rsidRPr="008A7C39">
        <w:rPr>
          <w:rFonts w:cs="Calibri"/>
          <w:sz w:val="20"/>
          <w:szCs w:val="20"/>
        </w:rPr>
        <w:t xml:space="preserve"> March 2013 in Blake 028 Medway Campus</w:t>
      </w:r>
    </w:p>
    <w:p w14:paraId="07169884" w14:textId="77777777" w:rsidR="00562631" w:rsidRPr="008A7C39" w:rsidRDefault="00562631" w:rsidP="008A7C39">
      <w:pPr>
        <w:spacing w:after="0" w:line="240" w:lineRule="auto"/>
        <w:rPr>
          <w:rFonts w:cs="Calibri"/>
          <w:sz w:val="20"/>
          <w:szCs w:val="20"/>
        </w:rPr>
      </w:pPr>
    </w:p>
    <w:tbl>
      <w:tblPr>
        <w:tblW w:w="0" w:type="auto"/>
        <w:tblLayout w:type="fixed"/>
        <w:tblLook w:val="01E0" w:firstRow="1" w:lastRow="1" w:firstColumn="1" w:lastColumn="1" w:noHBand="0" w:noVBand="0"/>
      </w:tblPr>
      <w:tblGrid>
        <w:gridCol w:w="1538"/>
        <w:gridCol w:w="2200"/>
        <w:gridCol w:w="5868"/>
      </w:tblGrid>
      <w:tr w:rsidR="00562631" w:rsidRPr="008A7C39" w14:paraId="367B3F6C" w14:textId="77777777" w:rsidTr="00D90166">
        <w:trPr>
          <w:trHeight w:val="369"/>
        </w:trPr>
        <w:tc>
          <w:tcPr>
            <w:tcW w:w="1538" w:type="dxa"/>
            <w:vAlign w:val="center"/>
          </w:tcPr>
          <w:p w14:paraId="08E5C03F" w14:textId="77777777" w:rsidR="00562631" w:rsidRPr="008A7C39" w:rsidRDefault="00562631" w:rsidP="008A7C39">
            <w:pPr>
              <w:spacing w:after="0" w:line="240" w:lineRule="auto"/>
              <w:rPr>
                <w:rFonts w:cs="Calibri"/>
                <w:sz w:val="20"/>
                <w:szCs w:val="20"/>
              </w:rPr>
            </w:pPr>
            <w:r w:rsidRPr="008A7C39">
              <w:rPr>
                <w:rFonts w:cs="Calibri"/>
                <w:sz w:val="20"/>
                <w:szCs w:val="20"/>
              </w:rPr>
              <w:t>Present:</w:t>
            </w:r>
          </w:p>
        </w:tc>
        <w:tc>
          <w:tcPr>
            <w:tcW w:w="2200" w:type="dxa"/>
            <w:vAlign w:val="bottom"/>
          </w:tcPr>
          <w:p w14:paraId="710CDE84" w14:textId="77777777" w:rsidR="00562631" w:rsidRPr="008A7C39" w:rsidRDefault="00562631" w:rsidP="008A7C39">
            <w:pPr>
              <w:spacing w:after="0" w:line="240" w:lineRule="auto"/>
              <w:rPr>
                <w:rFonts w:cs="Calibri"/>
                <w:sz w:val="20"/>
                <w:szCs w:val="20"/>
              </w:rPr>
            </w:pPr>
            <w:r w:rsidRPr="008A7C39">
              <w:rPr>
                <w:rFonts w:cs="Calibri"/>
                <w:sz w:val="20"/>
                <w:szCs w:val="20"/>
              </w:rPr>
              <w:t>S. Jarvis (Chair)</w:t>
            </w:r>
          </w:p>
        </w:tc>
        <w:tc>
          <w:tcPr>
            <w:tcW w:w="5868" w:type="dxa"/>
            <w:vAlign w:val="bottom"/>
          </w:tcPr>
          <w:p w14:paraId="15C15F8C" w14:textId="77777777" w:rsidR="00562631" w:rsidRPr="008A7C39" w:rsidRDefault="00562631" w:rsidP="008A7C39">
            <w:pPr>
              <w:spacing w:after="0" w:line="240" w:lineRule="auto"/>
              <w:rPr>
                <w:rFonts w:cs="Calibri"/>
                <w:sz w:val="20"/>
                <w:szCs w:val="20"/>
              </w:rPr>
            </w:pPr>
            <w:r w:rsidRPr="008A7C39">
              <w:rPr>
                <w:rFonts w:cs="Calibri"/>
                <w:sz w:val="20"/>
                <w:szCs w:val="20"/>
              </w:rPr>
              <w:t>Deputy Vice-Chancellor (Academic Development)</w:t>
            </w:r>
          </w:p>
        </w:tc>
      </w:tr>
      <w:tr w:rsidR="00562631" w:rsidRPr="008A7C39" w14:paraId="6F9F5947" w14:textId="77777777" w:rsidTr="00D90166">
        <w:trPr>
          <w:trHeight w:val="207"/>
        </w:trPr>
        <w:tc>
          <w:tcPr>
            <w:tcW w:w="1538" w:type="dxa"/>
            <w:vAlign w:val="center"/>
          </w:tcPr>
          <w:p w14:paraId="313CE99A" w14:textId="77777777" w:rsidR="00562631" w:rsidRPr="008A7C39" w:rsidRDefault="00562631" w:rsidP="008A7C39">
            <w:pPr>
              <w:spacing w:after="0" w:line="240" w:lineRule="auto"/>
              <w:rPr>
                <w:rFonts w:cs="Calibri"/>
                <w:sz w:val="20"/>
                <w:szCs w:val="20"/>
              </w:rPr>
            </w:pPr>
          </w:p>
        </w:tc>
        <w:tc>
          <w:tcPr>
            <w:tcW w:w="2200" w:type="dxa"/>
            <w:vAlign w:val="bottom"/>
          </w:tcPr>
          <w:p w14:paraId="08DA8AD8" w14:textId="77777777" w:rsidR="00562631" w:rsidRPr="008A7C39" w:rsidRDefault="00562631" w:rsidP="008A7C39">
            <w:pPr>
              <w:spacing w:after="0" w:line="240" w:lineRule="auto"/>
              <w:rPr>
                <w:rFonts w:cs="Calibri"/>
                <w:sz w:val="20"/>
                <w:szCs w:val="20"/>
              </w:rPr>
            </w:pPr>
            <w:r w:rsidRPr="008A7C39">
              <w:rPr>
                <w:rFonts w:cs="Calibri"/>
                <w:sz w:val="20"/>
                <w:szCs w:val="20"/>
              </w:rPr>
              <w:t>S. Naylor (Officer)</w:t>
            </w:r>
          </w:p>
        </w:tc>
        <w:tc>
          <w:tcPr>
            <w:tcW w:w="5868" w:type="dxa"/>
            <w:vAlign w:val="bottom"/>
          </w:tcPr>
          <w:p w14:paraId="430D4866" w14:textId="77777777" w:rsidR="00562631" w:rsidRPr="008A7C39" w:rsidRDefault="00562631" w:rsidP="008A7C39">
            <w:pPr>
              <w:spacing w:after="0" w:line="240" w:lineRule="auto"/>
              <w:rPr>
                <w:rFonts w:cs="Calibri"/>
                <w:sz w:val="20"/>
                <w:szCs w:val="20"/>
              </w:rPr>
            </w:pPr>
            <w:r w:rsidRPr="008A7C39">
              <w:rPr>
                <w:rFonts w:cs="Calibri"/>
                <w:sz w:val="20"/>
                <w:szCs w:val="20"/>
              </w:rPr>
              <w:t>QA Manager Learning and Quality Unit</w:t>
            </w:r>
          </w:p>
        </w:tc>
      </w:tr>
      <w:tr w:rsidR="00562631" w:rsidRPr="008A7C39" w14:paraId="74D0F148" w14:textId="77777777" w:rsidTr="00D90166">
        <w:trPr>
          <w:trHeight w:val="95"/>
        </w:trPr>
        <w:tc>
          <w:tcPr>
            <w:tcW w:w="1538" w:type="dxa"/>
            <w:vAlign w:val="center"/>
          </w:tcPr>
          <w:p w14:paraId="4F30EC08" w14:textId="77777777" w:rsidR="00562631" w:rsidRPr="008A7C39" w:rsidRDefault="00562631" w:rsidP="008A7C39">
            <w:pPr>
              <w:spacing w:after="0" w:line="240" w:lineRule="auto"/>
              <w:rPr>
                <w:rFonts w:cs="Calibri"/>
                <w:sz w:val="20"/>
                <w:szCs w:val="20"/>
              </w:rPr>
            </w:pPr>
          </w:p>
        </w:tc>
        <w:tc>
          <w:tcPr>
            <w:tcW w:w="2200" w:type="dxa"/>
            <w:vAlign w:val="bottom"/>
          </w:tcPr>
          <w:p w14:paraId="22DBD6D5" w14:textId="77777777" w:rsidR="00562631" w:rsidRPr="008A7C39" w:rsidRDefault="00562631" w:rsidP="008A7C39">
            <w:pPr>
              <w:spacing w:after="0" w:line="240" w:lineRule="auto"/>
              <w:rPr>
                <w:rFonts w:cs="Calibri"/>
                <w:sz w:val="20"/>
                <w:szCs w:val="20"/>
              </w:rPr>
            </w:pPr>
            <w:r w:rsidRPr="008A7C39">
              <w:rPr>
                <w:rFonts w:cs="Calibri"/>
                <w:sz w:val="20"/>
                <w:szCs w:val="20"/>
              </w:rPr>
              <w:t>R. Blackburn</w:t>
            </w:r>
          </w:p>
        </w:tc>
        <w:tc>
          <w:tcPr>
            <w:tcW w:w="5868" w:type="dxa"/>
            <w:vAlign w:val="bottom"/>
          </w:tcPr>
          <w:p w14:paraId="66CD80BE"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Science</w:t>
            </w:r>
          </w:p>
        </w:tc>
      </w:tr>
      <w:tr w:rsidR="00562631" w:rsidRPr="008A7C39" w14:paraId="08DCEFF1" w14:textId="77777777" w:rsidTr="00D90166">
        <w:trPr>
          <w:trHeight w:val="95"/>
        </w:trPr>
        <w:tc>
          <w:tcPr>
            <w:tcW w:w="1538" w:type="dxa"/>
            <w:vAlign w:val="center"/>
          </w:tcPr>
          <w:p w14:paraId="0EC54574" w14:textId="77777777" w:rsidR="00562631" w:rsidRPr="008A7C39" w:rsidRDefault="00562631" w:rsidP="008A7C39">
            <w:pPr>
              <w:spacing w:after="0" w:line="240" w:lineRule="auto"/>
              <w:rPr>
                <w:rFonts w:cs="Calibri"/>
                <w:sz w:val="20"/>
                <w:szCs w:val="20"/>
              </w:rPr>
            </w:pPr>
          </w:p>
        </w:tc>
        <w:tc>
          <w:tcPr>
            <w:tcW w:w="2200" w:type="dxa"/>
            <w:vAlign w:val="bottom"/>
          </w:tcPr>
          <w:p w14:paraId="41063501" w14:textId="77777777" w:rsidR="00562631" w:rsidRPr="008A7C39" w:rsidRDefault="00562631" w:rsidP="008A7C39">
            <w:pPr>
              <w:spacing w:after="0" w:line="240" w:lineRule="auto"/>
              <w:rPr>
                <w:rFonts w:cs="Calibri"/>
                <w:sz w:val="20"/>
                <w:szCs w:val="20"/>
              </w:rPr>
            </w:pPr>
            <w:r w:rsidRPr="008A7C39">
              <w:rPr>
                <w:rFonts w:cs="Calibri"/>
                <w:sz w:val="20"/>
                <w:szCs w:val="20"/>
              </w:rPr>
              <w:t>W. Cealey Harrison</w:t>
            </w:r>
          </w:p>
        </w:tc>
        <w:tc>
          <w:tcPr>
            <w:tcW w:w="5868" w:type="dxa"/>
            <w:vAlign w:val="bottom"/>
          </w:tcPr>
          <w:p w14:paraId="262C343E" w14:textId="77777777" w:rsidR="00562631" w:rsidRPr="008A7C39" w:rsidRDefault="00562631" w:rsidP="008A7C39">
            <w:pPr>
              <w:spacing w:after="0" w:line="240" w:lineRule="auto"/>
              <w:rPr>
                <w:rFonts w:cs="Calibri"/>
                <w:sz w:val="20"/>
                <w:szCs w:val="20"/>
              </w:rPr>
            </w:pPr>
            <w:r w:rsidRPr="008A7C39">
              <w:rPr>
                <w:rFonts w:cs="Calibri"/>
                <w:sz w:val="20"/>
                <w:szCs w:val="20"/>
              </w:rPr>
              <w:t>Head of Learning and Quality Unit</w:t>
            </w:r>
          </w:p>
        </w:tc>
      </w:tr>
      <w:tr w:rsidR="00562631" w:rsidRPr="008A7C39" w14:paraId="4C734B55" w14:textId="77777777" w:rsidTr="00D90166">
        <w:trPr>
          <w:trHeight w:val="113"/>
        </w:trPr>
        <w:tc>
          <w:tcPr>
            <w:tcW w:w="1538" w:type="dxa"/>
            <w:vAlign w:val="center"/>
          </w:tcPr>
          <w:p w14:paraId="1EED939F" w14:textId="77777777" w:rsidR="00562631" w:rsidRPr="008A7C39" w:rsidRDefault="00562631" w:rsidP="008A7C39">
            <w:pPr>
              <w:spacing w:after="0" w:line="240" w:lineRule="auto"/>
              <w:rPr>
                <w:rFonts w:cs="Calibri"/>
                <w:sz w:val="20"/>
                <w:szCs w:val="20"/>
              </w:rPr>
            </w:pPr>
          </w:p>
        </w:tc>
        <w:tc>
          <w:tcPr>
            <w:tcW w:w="2200" w:type="dxa"/>
            <w:vAlign w:val="bottom"/>
          </w:tcPr>
          <w:p w14:paraId="1B44EE8A" w14:textId="77777777" w:rsidR="00562631" w:rsidRPr="008A7C39" w:rsidRDefault="00562631" w:rsidP="008A7C39">
            <w:pPr>
              <w:spacing w:after="0" w:line="240" w:lineRule="auto"/>
              <w:rPr>
                <w:rFonts w:cs="Calibri"/>
                <w:sz w:val="20"/>
                <w:szCs w:val="20"/>
              </w:rPr>
            </w:pPr>
            <w:r w:rsidRPr="008A7C39">
              <w:rPr>
                <w:rFonts w:cs="Calibri"/>
                <w:sz w:val="20"/>
                <w:szCs w:val="20"/>
              </w:rPr>
              <w:t>C. Delage</w:t>
            </w:r>
          </w:p>
        </w:tc>
        <w:tc>
          <w:tcPr>
            <w:tcW w:w="5868" w:type="dxa"/>
            <w:vAlign w:val="bottom"/>
          </w:tcPr>
          <w:p w14:paraId="3E7FEB51"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Architecture, Design and Construction</w:t>
            </w:r>
          </w:p>
        </w:tc>
      </w:tr>
      <w:tr w:rsidR="00562631" w:rsidRPr="008A7C39" w14:paraId="2526BCB1" w14:textId="77777777" w:rsidTr="00D90166">
        <w:trPr>
          <w:trHeight w:val="113"/>
        </w:trPr>
        <w:tc>
          <w:tcPr>
            <w:tcW w:w="1538" w:type="dxa"/>
            <w:vAlign w:val="center"/>
          </w:tcPr>
          <w:p w14:paraId="7E1DCB99" w14:textId="77777777" w:rsidR="00562631" w:rsidRPr="008A7C39" w:rsidRDefault="00562631" w:rsidP="008A7C39">
            <w:pPr>
              <w:spacing w:after="0" w:line="240" w:lineRule="auto"/>
              <w:rPr>
                <w:rFonts w:cs="Calibri"/>
                <w:sz w:val="20"/>
                <w:szCs w:val="20"/>
              </w:rPr>
            </w:pPr>
          </w:p>
        </w:tc>
        <w:tc>
          <w:tcPr>
            <w:tcW w:w="2200" w:type="dxa"/>
            <w:vAlign w:val="bottom"/>
          </w:tcPr>
          <w:p w14:paraId="5818B6F9" w14:textId="77777777" w:rsidR="00562631" w:rsidRPr="008A7C39" w:rsidRDefault="00562631" w:rsidP="008A7C39">
            <w:pPr>
              <w:spacing w:after="0" w:line="240" w:lineRule="auto"/>
              <w:rPr>
                <w:rFonts w:cs="Calibri"/>
                <w:sz w:val="20"/>
                <w:szCs w:val="20"/>
              </w:rPr>
            </w:pPr>
            <w:r w:rsidRPr="008A7C39">
              <w:rPr>
                <w:rFonts w:cs="Calibri"/>
                <w:sz w:val="20"/>
                <w:szCs w:val="20"/>
              </w:rPr>
              <w:t>J. Cullinane</w:t>
            </w:r>
          </w:p>
        </w:tc>
        <w:tc>
          <w:tcPr>
            <w:tcW w:w="5868" w:type="dxa"/>
            <w:vAlign w:val="bottom"/>
          </w:tcPr>
          <w:p w14:paraId="47305B2E"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Business</w:t>
            </w:r>
          </w:p>
        </w:tc>
      </w:tr>
      <w:tr w:rsidR="00562631" w:rsidRPr="008A7C39" w14:paraId="6E788FC9" w14:textId="77777777" w:rsidTr="00D90166">
        <w:trPr>
          <w:trHeight w:val="159"/>
        </w:trPr>
        <w:tc>
          <w:tcPr>
            <w:tcW w:w="1538" w:type="dxa"/>
            <w:vAlign w:val="center"/>
          </w:tcPr>
          <w:p w14:paraId="5A21A8FE" w14:textId="77777777" w:rsidR="00562631" w:rsidRPr="008A7C39" w:rsidRDefault="00562631" w:rsidP="008A7C39">
            <w:pPr>
              <w:spacing w:after="0" w:line="240" w:lineRule="auto"/>
              <w:rPr>
                <w:rFonts w:cs="Calibri"/>
                <w:sz w:val="20"/>
                <w:szCs w:val="20"/>
              </w:rPr>
            </w:pPr>
          </w:p>
        </w:tc>
        <w:tc>
          <w:tcPr>
            <w:tcW w:w="2200" w:type="dxa"/>
            <w:vAlign w:val="bottom"/>
          </w:tcPr>
          <w:p w14:paraId="585CF82E" w14:textId="77777777" w:rsidR="00562631" w:rsidRPr="008A7C39" w:rsidRDefault="00562631" w:rsidP="008A7C39">
            <w:pPr>
              <w:spacing w:after="0" w:line="240" w:lineRule="auto"/>
              <w:rPr>
                <w:rFonts w:cs="Calibri"/>
                <w:sz w:val="20"/>
                <w:szCs w:val="20"/>
              </w:rPr>
            </w:pPr>
            <w:r w:rsidRPr="008A7C39">
              <w:rPr>
                <w:rFonts w:cs="Calibri"/>
                <w:sz w:val="20"/>
                <w:szCs w:val="20"/>
              </w:rPr>
              <w:t>A. Grant</w:t>
            </w:r>
          </w:p>
        </w:tc>
        <w:tc>
          <w:tcPr>
            <w:tcW w:w="5868" w:type="dxa"/>
            <w:vAlign w:val="bottom"/>
          </w:tcPr>
          <w:p w14:paraId="01A9E9BC"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Engineering</w:t>
            </w:r>
          </w:p>
        </w:tc>
      </w:tr>
      <w:tr w:rsidR="00562631" w:rsidRPr="008A7C39" w14:paraId="6CE226A4" w14:textId="77777777" w:rsidTr="00D90166">
        <w:trPr>
          <w:trHeight w:val="113"/>
        </w:trPr>
        <w:tc>
          <w:tcPr>
            <w:tcW w:w="1538" w:type="dxa"/>
            <w:vAlign w:val="center"/>
          </w:tcPr>
          <w:p w14:paraId="2230FE98" w14:textId="77777777" w:rsidR="00562631" w:rsidRPr="008A7C39" w:rsidRDefault="00562631" w:rsidP="008A7C39">
            <w:pPr>
              <w:spacing w:after="0" w:line="240" w:lineRule="auto"/>
              <w:rPr>
                <w:rFonts w:cs="Calibri"/>
                <w:sz w:val="20"/>
                <w:szCs w:val="20"/>
              </w:rPr>
            </w:pPr>
          </w:p>
        </w:tc>
        <w:tc>
          <w:tcPr>
            <w:tcW w:w="2200" w:type="dxa"/>
            <w:vAlign w:val="bottom"/>
          </w:tcPr>
          <w:p w14:paraId="4CA3D3E0" w14:textId="77777777" w:rsidR="00562631" w:rsidRPr="008A7C39" w:rsidRDefault="00562631" w:rsidP="008A7C39">
            <w:pPr>
              <w:spacing w:after="0" w:line="240" w:lineRule="auto"/>
              <w:rPr>
                <w:rFonts w:cs="Calibri"/>
                <w:sz w:val="20"/>
                <w:szCs w:val="20"/>
              </w:rPr>
            </w:pPr>
            <w:r w:rsidRPr="008A7C39">
              <w:rPr>
                <w:rFonts w:cs="Calibri"/>
                <w:sz w:val="20"/>
                <w:szCs w:val="20"/>
              </w:rPr>
              <w:t>V. Habgood</w:t>
            </w:r>
          </w:p>
        </w:tc>
        <w:tc>
          <w:tcPr>
            <w:tcW w:w="5868" w:type="dxa"/>
            <w:vAlign w:val="bottom"/>
          </w:tcPr>
          <w:p w14:paraId="44041D3B"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Health &amp; Social Care</w:t>
            </w:r>
          </w:p>
        </w:tc>
      </w:tr>
      <w:tr w:rsidR="00562631" w:rsidRPr="008A7C39" w14:paraId="3D9BA12B" w14:textId="77777777" w:rsidTr="00D90166">
        <w:trPr>
          <w:trHeight w:val="113"/>
        </w:trPr>
        <w:tc>
          <w:tcPr>
            <w:tcW w:w="1538" w:type="dxa"/>
            <w:vAlign w:val="center"/>
          </w:tcPr>
          <w:p w14:paraId="3AF142FC" w14:textId="77777777" w:rsidR="00562631" w:rsidRPr="008A7C39" w:rsidRDefault="00562631" w:rsidP="008A7C39">
            <w:pPr>
              <w:spacing w:after="0" w:line="240" w:lineRule="auto"/>
              <w:rPr>
                <w:rFonts w:cs="Calibri"/>
                <w:sz w:val="20"/>
                <w:szCs w:val="20"/>
              </w:rPr>
            </w:pPr>
          </w:p>
        </w:tc>
        <w:tc>
          <w:tcPr>
            <w:tcW w:w="2200" w:type="dxa"/>
            <w:vAlign w:val="bottom"/>
          </w:tcPr>
          <w:p w14:paraId="54A39C7B" w14:textId="77777777" w:rsidR="00562631" w:rsidRPr="008A7C39" w:rsidRDefault="00562631" w:rsidP="008A7C39">
            <w:pPr>
              <w:spacing w:after="0" w:line="240" w:lineRule="auto"/>
              <w:rPr>
                <w:rFonts w:cs="Calibri"/>
                <w:sz w:val="20"/>
                <w:szCs w:val="20"/>
              </w:rPr>
            </w:pPr>
            <w:r w:rsidRPr="008A7C39">
              <w:rPr>
                <w:rFonts w:cs="Calibri"/>
                <w:sz w:val="20"/>
                <w:szCs w:val="20"/>
              </w:rPr>
              <w:t>C. Ierotheou</w:t>
            </w:r>
          </w:p>
        </w:tc>
        <w:tc>
          <w:tcPr>
            <w:tcW w:w="5868" w:type="dxa"/>
            <w:vAlign w:val="bottom"/>
          </w:tcPr>
          <w:p w14:paraId="23B6F9D8"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Computing &amp; Mathematical Sciences</w:t>
            </w:r>
          </w:p>
        </w:tc>
      </w:tr>
      <w:tr w:rsidR="00562631" w:rsidRPr="008A7C39" w14:paraId="16BF4B6B" w14:textId="77777777" w:rsidTr="00D90166">
        <w:trPr>
          <w:trHeight w:val="113"/>
        </w:trPr>
        <w:tc>
          <w:tcPr>
            <w:tcW w:w="1538" w:type="dxa"/>
            <w:vAlign w:val="center"/>
          </w:tcPr>
          <w:p w14:paraId="1682D653" w14:textId="77777777" w:rsidR="00562631" w:rsidRPr="008A7C39" w:rsidRDefault="00562631" w:rsidP="008A7C39">
            <w:pPr>
              <w:spacing w:after="0" w:line="240" w:lineRule="auto"/>
              <w:rPr>
                <w:rFonts w:cs="Calibri"/>
                <w:sz w:val="20"/>
                <w:szCs w:val="20"/>
              </w:rPr>
            </w:pPr>
          </w:p>
        </w:tc>
        <w:tc>
          <w:tcPr>
            <w:tcW w:w="2200" w:type="dxa"/>
            <w:vAlign w:val="bottom"/>
          </w:tcPr>
          <w:p w14:paraId="3464F09D" w14:textId="77777777" w:rsidR="00562631" w:rsidRPr="008A7C39" w:rsidRDefault="00562631" w:rsidP="008A7C39">
            <w:pPr>
              <w:spacing w:after="0" w:line="240" w:lineRule="auto"/>
              <w:rPr>
                <w:rFonts w:cs="Calibri"/>
                <w:sz w:val="20"/>
                <w:szCs w:val="20"/>
              </w:rPr>
            </w:pPr>
            <w:r w:rsidRPr="008A7C39">
              <w:rPr>
                <w:rFonts w:cs="Calibri"/>
                <w:sz w:val="20"/>
                <w:szCs w:val="20"/>
              </w:rPr>
              <w:t>S. Leggatt</w:t>
            </w:r>
          </w:p>
        </w:tc>
        <w:tc>
          <w:tcPr>
            <w:tcW w:w="5868" w:type="dxa"/>
            <w:vAlign w:val="bottom"/>
          </w:tcPr>
          <w:p w14:paraId="1F6F954C"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Education</w:t>
            </w:r>
          </w:p>
        </w:tc>
      </w:tr>
      <w:tr w:rsidR="00562631" w:rsidRPr="008A7C39" w14:paraId="6DDAFFDB" w14:textId="77777777" w:rsidTr="00D90166">
        <w:trPr>
          <w:trHeight w:val="113"/>
        </w:trPr>
        <w:tc>
          <w:tcPr>
            <w:tcW w:w="1538" w:type="dxa"/>
            <w:vAlign w:val="center"/>
          </w:tcPr>
          <w:p w14:paraId="43BD144C" w14:textId="77777777" w:rsidR="00562631" w:rsidRPr="008A7C39" w:rsidRDefault="00562631" w:rsidP="008A7C39">
            <w:pPr>
              <w:spacing w:after="0" w:line="240" w:lineRule="auto"/>
              <w:rPr>
                <w:rFonts w:cs="Calibri"/>
                <w:sz w:val="20"/>
                <w:szCs w:val="20"/>
              </w:rPr>
            </w:pPr>
          </w:p>
        </w:tc>
        <w:tc>
          <w:tcPr>
            <w:tcW w:w="2200" w:type="dxa"/>
            <w:vAlign w:val="bottom"/>
          </w:tcPr>
          <w:p w14:paraId="47C08BF0" w14:textId="6214B364" w:rsidR="00562631" w:rsidRPr="008A7C39" w:rsidRDefault="00562631" w:rsidP="008A7C39">
            <w:pPr>
              <w:spacing w:after="0" w:line="240" w:lineRule="auto"/>
              <w:rPr>
                <w:rFonts w:cs="Calibri"/>
                <w:sz w:val="20"/>
                <w:szCs w:val="20"/>
              </w:rPr>
            </w:pPr>
            <w:r w:rsidRPr="008A7C39">
              <w:rPr>
                <w:rFonts w:cs="Calibri"/>
                <w:sz w:val="20"/>
                <w:szCs w:val="20"/>
              </w:rPr>
              <w:t>A. Murphy</w:t>
            </w:r>
          </w:p>
        </w:tc>
        <w:tc>
          <w:tcPr>
            <w:tcW w:w="5868" w:type="dxa"/>
            <w:vAlign w:val="bottom"/>
          </w:tcPr>
          <w:p w14:paraId="40C55858" w14:textId="77777777" w:rsidR="00562631" w:rsidRPr="008A7C39" w:rsidRDefault="00562631" w:rsidP="008A7C39">
            <w:pPr>
              <w:spacing w:after="0" w:line="240" w:lineRule="auto"/>
              <w:rPr>
                <w:rFonts w:cs="Calibri"/>
                <w:sz w:val="20"/>
                <w:szCs w:val="20"/>
              </w:rPr>
            </w:pPr>
            <w:r w:rsidRPr="008A7C39">
              <w:rPr>
                <w:rFonts w:cs="Calibri"/>
                <w:sz w:val="20"/>
                <w:szCs w:val="20"/>
              </w:rPr>
              <w:t>Head of Learning Services, ILS</w:t>
            </w:r>
          </w:p>
        </w:tc>
      </w:tr>
      <w:tr w:rsidR="00562631" w:rsidRPr="008A7C39" w14:paraId="4AE53240" w14:textId="77777777" w:rsidTr="00D90166">
        <w:trPr>
          <w:trHeight w:val="113"/>
        </w:trPr>
        <w:tc>
          <w:tcPr>
            <w:tcW w:w="1538" w:type="dxa"/>
            <w:vAlign w:val="center"/>
          </w:tcPr>
          <w:p w14:paraId="0596773D" w14:textId="77777777" w:rsidR="00562631" w:rsidRPr="008A7C39" w:rsidRDefault="00562631" w:rsidP="008A7C39">
            <w:pPr>
              <w:spacing w:after="0" w:line="240" w:lineRule="auto"/>
              <w:rPr>
                <w:rFonts w:cs="Calibri"/>
                <w:sz w:val="20"/>
                <w:szCs w:val="20"/>
              </w:rPr>
            </w:pPr>
          </w:p>
        </w:tc>
        <w:tc>
          <w:tcPr>
            <w:tcW w:w="2200" w:type="dxa"/>
            <w:vAlign w:val="bottom"/>
          </w:tcPr>
          <w:p w14:paraId="78690A3E" w14:textId="77777777" w:rsidR="00562631" w:rsidRPr="008A7C39" w:rsidRDefault="00562631" w:rsidP="008A7C39">
            <w:pPr>
              <w:spacing w:after="0" w:line="240" w:lineRule="auto"/>
              <w:rPr>
                <w:rFonts w:cs="Calibri"/>
                <w:sz w:val="20"/>
                <w:szCs w:val="20"/>
              </w:rPr>
            </w:pPr>
            <w:r w:rsidRPr="008A7C39">
              <w:rPr>
                <w:rFonts w:cs="Calibri"/>
                <w:sz w:val="20"/>
                <w:szCs w:val="20"/>
              </w:rPr>
              <w:t>Z. Pettit</w:t>
            </w:r>
          </w:p>
        </w:tc>
        <w:tc>
          <w:tcPr>
            <w:tcW w:w="5868" w:type="dxa"/>
            <w:vAlign w:val="bottom"/>
          </w:tcPr>
          <w:p w14:paraId="70BAD75E" w14:textId="77777777" w:rsidR="00562631" w:rsidRPr="008A7C39" w:rsidRDefault="00562631" w:rsidP="008A7C39">
            <w:pPr>
              <w:spacing w:after="0" w:line="240" w:lineRule="auto"/>
              <w:rPr>
                <w:rFonts w:cs="Calibri"/>
                <w:sz w:val="20"/>
                <w:szCs w:val="20"/>
              </w:rPr>
            </w:pPr>
            <w:r w:rsidRPr="008A7C39">
              <w:rPr>
                <w:rFonts w:cs="Calibri"/>
                <w:sz w:val="20"/>
                <w:szCs w:val="20"/>
              </w:rPr>
              <w:t>DLQ, School of Humanities &amp; Social Sciences</w:t>
            </w:r>
          </w:p>
        </w:tc>
      </w:tr>
      <w:tr w:rsidR="00562631" w:rsidRPr="008A7C39" w14:paraId="176337CF" w14:textId="77777777" w:rsidTr="00D90166">
        <w:trPr>
          <w:trHeight w:val="113"/>
        </w:trPr>
        <w:tc>
          <w:tcPr>
            <w:tcW w:w="1538" w:type="dxa"/>
            <w:vAlign w:val="center"/>
          </w:tcPr>
          <w:p w14:paraId="55C599E4" w14:textId="77777777" w:rsidR="00562631" w:rsidRPr="008A7C39" w:rsidRDefault="00562631" w:rsidP="008A7C39">
            <w:pPr>
              <w:spacing w:after="0" w:line="240" w:lineRule="auto"/>
              <w:rPr>
                <w:rFonts w:cs="Calibri"/>
                <w:sz w:val="20"/>
                <w:szCs w:val="20"/>
              </w:rPr>
            </w:pPr>
          </w:p>
        </w:tc>
        <w:tc>
          <w:tcPr>
            <w:tcW w:w="2200" w:type="dxa"/>
            <w:vAlign w:val="bottom"/>
          </w:tcPr>
          <w:p w14:paraId="18AD9519" w14:textId="77777777" w:rsidR="00562631" w:rsidRPr="008A7C39" w:rsidRDefault="00562631" w:rsidP="008A7C39">
            <w:pPr>
              <w:spacing w:after="0" w:line="240" w:lineRule="auto"/>
              <w:rPr>
                <w:rFonts w:cs="Calibri"/>
                <w:sz w:val="20"/>
                <w:szCs w:val="20"/>
              </w:rPr>
            </w:pPr>
            <w:r w:rsidRPr="008A7C39">
              <w:rPr>
                <w:rFonts w:cs="Calibri"/>
                <w:sz w:val="20"/>
                <w:szCs w:val="20"/>
              </w:rPr>
              <w:t>D. Sheppard</w:t>
            </w:r>
          </w:p>
        </w:tc>
        <w:tc>
          <w:tcPr>
            <w:tcW w:w="5868" w:type="dxa"/>
            <w:vAlign w:val="bottom"/>
          </w:tcPr>
          <w:p w14:paraId="563DAEAE" w14:textId="77777777" w:rsidR="00562631" w:rsidRPr="008A7C39" w:rsidRDefault="00562631" w:rsidP="001E31E9">
            <w:pPr>
              <w:spacing w:after="0" w:line="240" w:lineRule="auto"/>
              <w:rPr>
                <w:rFonts w:cs="Calibri"/>
                <w:sz w:val="20"/>
                <w:szCs w:val="20"/>
              </w:rPr>
            </w:pPr>
            <w:r w:rsidRPr="008A7C39">
              <w:rPr>
                <w:rFonts w:cs="Calibri"/>
                <w:sz w:val="20"/>
                <w:szCs w:val="20"/>
              </w:rPr>
              <w:t>SQAO, School of Business</w:t>
            </w:r>
          </w:p>
        </w:tc>
      </w:tr>
      <w:tr w:rsidR="00562631" w:rsidRPr="008A7C39" w14:paraId="68006D99" w14:textId="77777777" w:rsidTr="00D90166">
        <w:tc>
          <w:tcPr>
            <w:tcW w:w="1538" w:type="dxa"/>
            <w:vAlign w:val="center"/>
          </w:tcPr>
          <w:p w14:paraId="5460B792" w14:textId="77777777" w:rsidR="00562631" w:rsidRDefault="00562631" w:rsidP="008A7C39">
            <w:pPr>
              <w:spacing w:after="0" w:line="240" w:lineRule="auto"/>
              <w:rPr>
                <w:rFonts w:cs="Calibri"/>
                <w:sz w:val="20"/>
                <w:szCs w:val="20"/>
              </w:rPr>
            </w:pPr>
          </w:p>
          <w:p w14:paraId="1D6F3ECC" w14:textId="77777777" w:rsidR="00562631" w:rsidRPr="008A7C39" w:rsidRDefault="00562631" w:rsidP="008A7C39">
            <w:pPr>
              <w:spacing w:after="0" w:line="240" w:lineRule="auto"/>
              <w:rPr>
                <w:rFonts w:cs="Calibri"/>
                <w:sz w:val="20"/>
                <w:szCs w:val="20"/>
              </w:rPr>
            </w:pPr>
            <w:r w:rsidRPr="008A7C39">
              <w:rPr>
                <w:rFonts w:cs="Calibri"/>
                <w:sz w:val="20"/>
                <w:szCs w:val="20"/>
              </w:rPr>
              <w:t xml:space="preserve">In attendance </w:t>
            </w:r>
          </w:p>
          <w:p w14:paraId="4FC8DB05" w14:textId="77777777" w:rsidR="00562631" w:rsidRPr="008A7C39" w:rsidRDefault="00562631" w:rsidP="008A7C39">
            <w:pPr>
              <w:spacing w:after="0" w:line="240" w:lineRule="auto"/>
              <w:rPr>
                <w:rFonts w:cs="Calibri"/>
                <w:sz w:val="20"/>
                <w:szCs w:val="20"/>
              </w:rPr>
            </w:pPr>
          </w:p>
        </w:tc>
        <w:tc>
          <w:tcPr>
            <w:tcW w:w="2200" w:type="dxa"/>
            <w:vAlign w:val="bottom"/>
          </w:tcPr>
          <w:p w14:paraId="67873085" w14:textId="77777777" w:rsidR="00562631" w:rsidRPr="008A7C39" w:rsidRDefault="00562631" w:rsidP="008A7C39">
            <w:pPr>
              <w:spacing w:after="0" w:line="240" w:lineRule="auto"/>
              <w:rPr>
                <w:rFonts w:cs="Calibri"/>
                <w:sz w:val="20"/>
                <w:szCs w:val="20"/>
              </w:rPr>
            </w:pPr>
            <w:r w:rsidRPr="008A7C39">
              <w:rPr>
                <w:rFonts w:cs="Calibri"/>
                <w:sz w:val="20"/>
                <w:szCs w:val="20"/>
              </w:rPr>
              <w:t>N. Garsten</w:t>
            </w:r>
          </w:p>
          <w:p w14:paraId="485D5920" w14:textId="77777777" w:rsidR="00562631" w:rsidRPr="008A7C39" w:rsidRDefault="00562631" w:rsidP="008A7C39">
            <w:pPr>
              <w:spacing w:after="0" w:line="240" w:lineRule="auto"/>
              <w:rPr>
                <w:rFonts w:cs="Calibri"/>
                <w:sz w:val="20"/>
                <w:szCs w:val="20"/>
              </w:rPr>
            </w:pPr>
            <w:r w:rsidRPr="008A7C39">
              <w:rPr>
                <w:rFonts w:cs="Calibri"/>
                <w:sz w:val="20"/>
                <w:szCs w:val="20"/>
              </w:rPr>
              <w:t>R. Mayor</w:t>
            </w:r>
          </w:p>
        </w:tc>
        <w:tc>
          <w:tcPr>
            <w:tcW w:w="5868" w:type="dxa"/>
            <w:vAlign w:val="bottom"/>
          </w:tcPr>
          <w:p w14:paraId="4030EF4D" w14:textId="77777777" w:rsidR="00562631" w:rsidRPr="008A7C39" w:rsidRDefault="00562631" w:rsidP="008A7C39">
            <w:pPr>
              <w:spacing w:after="0" w:line="240" w:lineRule="auto"/>
              <w:rPr>
                <w:rFonts w:cs="Calibri"/>
                <w:sz w:val="20"/>
                <w:szCs w:val="20"/>
              </w:rPr>
            </w:pPr>
            <w:r w:rsidRPr="008A7C39">
              <w:rPr>
                <w:rFonts w:cs="Calibri"/>
                <w:sz w:val="20"/>
                <w:szCs w:val="20"/>
              </w:rPr>
              <w:t>Business School</w:t>
            </w:r>
          </w:p>
          <w:p w14:paraId="30592C2C" w14:textId="77777777" w:rsidR="00562631" w:rsidRPr="008A7C39" w:rsidRDefault="00562631" w:rsidP="001E31E9">
            <w:pPr>
              <w:spacing w:after="0" w:line="240" w:lineRule="auto"/>
              <w:rPr>
                <w:rFonts w:cs="Calibri"/>
                <w:sz w:val="20"/>
                <w:szCs w:val="20"/>
              </w:rPr>
            </w:pPr>
            <w:r>
              <w:rPr>
                <w:rFonts w:cs="Calibri"/>
                <w:sz w:val="20"/>
                <w:szCs w:val="20"/>
              </w:rPr>
              <w:t>Faculty Operating Officer, Business Faculty</w:t>
            </w:r>
          </w:p>
        </w:tc>
      </w:tr>
      <w:tr w:rsidR="00562631" w:rsidRPr="008A7C39" w14:paraId="322CA068" w14:textId="77777777" w:rsidTr="00D90166">
        <w:tc>
          <w:tcPr>
            <w:tcW w:w="1538" w:type="dxa"/>
            <w:vAlign w:val="center"/>
          </w:tcPr>
          <w:p w14:paraId="737969B6" w14:textId="77777777" w:rsidR="00562631" w:rsidRDefault="00562631" w:rsidP="008A7C39">
            <w:pPr>
              <w:spacing w:after="0" w:line="240" w:lineRule="auto"/>
              <w:rPr>
                <w:rFonts w:cs="Calibri"/>
                <w:sz w:val="20"/>
                <w:szCs w:val="20"/>
              </w:rPr>
            </w:pPr>
          </w:p>
          <w:p w14:paraId="13D950DF" w14:textId="77777777" w:rsidR="00562631" w:rsidRPr="008A7C39" w:rsidRDefault="00562631" w:rsidP="008A7C39">
            <w:pPr>
              <w:spacing w:after="0" w:line="240" w:lineRule="auto"/>
              <w:rPr>
                <w:rFonts w:cs="Calibri"/>
                <w:sz w:val="20"/>
                <w:szCs w:val="20"/>
              </w:rPr>
            </w:pPr>
            <w:r w:rsidRPr="008A7C39">
              <w:rPr>
                <w:rFonts w:cs="Calibri"/>
                <w:sz w:val="20"/>
                <w:szCs w:val="20"/>
              </w:rPr>
              <w:t>Apologies</w:t>
            </w:r>
          </w:p>
        </w:tc>
        <w:tc>
          <w:tcPr>
            <w:tcW w:w="2200" w:type="dxa"/>
            <w:vAlign w:val="bottom"/>
          </w:tcPr>
          <w:p w14:paraId="13004844" w14:textId="77777777" w:rsidR="00562631" w:rsidRPr="008A7C39" w:rsidRDefault="00562631" w:rsidP="008A7C39">
            <w:pPr>
              <w:spacing w:after="0" w:line="240" w:lineRule="auto"/>
              <w:rPr>
                <w:rFonts w:cs="Calibri"/>
                <w:sz w:val="20"/>
                <w:szCs w:val="20"/>
              </w:rPr>
            </w:pPr>
            <w:r w:rsidRPr="008A7C39">
              <w:rPr>
                <w:rFonts w:cs="Calibri"/>
                <w:sz w:val="20"/>
                <w:szCs w:val="20"/>
              </w:rPr>
              <w:t>D. Hayes</w:t>
            </w:r>
          </w:p>
        </w:tc>
        <w:tc>
          <w:tcPr>
            <w:tcW w:w="5868" w:type="dxa"/>
            <w:vAlign w:val="bottom"/>
          </w:tcPr>
          <w:p w14:paraId="0CE11699" w14:textId="77777777" w:rsidR="00562631" w:rsidRPr="008A7C39" w:rsidRDefault="00562631" w:rsidP="008A7C39">
            <w:pPr>
              <w:spacing w:after="0" w:line="240" w:lineRule="auto"/>
              <w:rPr>
                <w:rFonts w:cs="Calibri"/>
                <w:sz w:val="20"/>
                <w:szCs w:val="20"/>
              </w:rPr>
            </w:pPr>
            <w:r w:rsidRPr="008A7C39">
              <w:rPr>
                <w:rFonts w:cs="Calibri"/>
                <w:sz w:val="20"/>
                <w:szCs w:val="20"/>
              </w:rPr>
              <w:t>Head of Partnership Division</w:t>
            </w:r>
          </w:p>
        </w:tc>
      </w:tr>
      <w:tr w:rsidR="00562631" w:rsidRPr="008A7C39" w14:paraId="53733775" w14:textId="77777777" w:rsidTr="00D90166">
        <w:tc>
          <w:tcPr>
            <w:tcW w:w="1538" w:type="dxa"/>
            <w:vAlign w:val="center"/>
          </w:tcPr>
          <w:p w14:paraId="751291CA" w14:textId="77777777" w:rsidR="00562631" w:rsidRPr="008A7C39" w:rsidRDefault="00562631" w:rsidP="008A7C39">
            <w:pPr>
              <w:spacing w:after="0" w:line="240" w:lineRule="auto"/>
              <w:rPr>
                <w:rFonts w:cs="Calibri"/>
                <w:sz w:val="20"/>
                <w:szCs w:val="20"/>
              </w:rPr>
            </w:pPr>
          </w:p>
        </w:tc>
        <w:tc>
          <w:tcPr>
            <w:tcW w:w="2200" w:type="dxa"/>
            <w:vAlign w:val="bottom"/>
          </w:tcPr>
          <w:p w14:paraId="646FF4AE" w14:textId="77777777" w:rsidR="00562631" w:rsidRPr="008A7C39" w:rsidRDefault="00562631" w:rsidP="008A7C39">
            <w:pPr>
              <w:spacing w:after="0" w:line="240" w:lineRule="auto"/>
              <w:rPr>
                <w:rFonts w:cs="Calibri"/>
                <w:sz w:val="20"/>
                <w:szCs w:val="20"/>
              </w:rPr>
            </w:pPr>
            <w:r w:rsidRPr="008A7C39">
              <w:rPr>
                <w:rFonts w:cs="Calibri"/>
                <w:sz w:val="20"/>
                <w:szCs w:val="20"/>
              </w:rPr>
              <w:t>E. Kehoe</w:t>
            </w:r>
          </w:p>
        </w:tc>
        <w:tc>
          <w:tcPr>
            <w:tcW w:w="5868" w:type="dxa"/>
            <w:vAlign w:val="bottom"/>
          </w:tcPr>
          <w:p w14:paraId="360AB29E" w14:textId="4F32F644" w:rsidR="00562631" w:rsidRPr="008A7C39" w:rsidRDefault="00562631" w:rsidP="0089447B">
            <w:pPr>
              <w:spacing w:after="0" w:line="240" w:lineRule="auto"/>
              <w:rPr>
                <w:rFonts w:cs="Calibri"/>
                <w:sz w:val="20"/>
                <w:szCs w:val="20"/>
              </w:rPr>
            </w:pPr>
            <w:r w:rsidRPr="008A7C39">
              <w:rPr>
                <w:rFonts w:cs="Calibri"/>
                <w:sz w:val="20"/>
                <w:szCs w:val="20"/>
              </w:rPr>
              <w:t xml:space="preserve">Deputy </w:t>
            </w:r>
            <w:r w:rsidR="0089447B">
              <w:rPr>
                <w:rFonts w:cs="Calibri"/>
                <w:sz w:val="20"/>
                <w:szCs w:val="20"/>
              </w:rPr>
              <w:t>Director</w:t>
            </w:r>
            <w:r w:rsidR="0089447B" w:rsidRPr="008A7C39">
              <w:rPr>
                <w:rFonts w:cs="Calibri"/>
                <w:sz w:val="20"/>
                <w:szCs w:val="20"/>
              </w:rPr>
              <w:t xml:space="preserve"> </w:t>
            </w:r>
            <w:r w:rsidRPr="008A7C39">
              <w:rPr>
                <w:rFonts w:cs="Calibri"/>
                <w:sz w:val="20"/>
                <w:szCs w:val="20"/>
              </w:rPr>
              <w:t>of Office of Student Affairs</w:t>
            </w:r>
          </w:p>
        </w:tc>
      </w:tr>
      <w:tr w:rsidR="00562631" w:rsidRPr="008A7C39" w14:paraId="3E74E020" w14:textId="77777777" w:rsidTr="00D90166">
        <w:tc>
          <w:tcPr>
            <w:tcW w:w="1538" w:type="dxa"/>
            <w:vAlign w:val="center"/>
          </w:tcPr>
          <w:p w14:paraId="0623581A" w14:textId="77777777" w:rsidR="00562631" w:rsidRPr="008A7C39" w:rsidRDefault="00562631" w:rsidP="008A7C39">
            <w:pPr>
              <w:spacing w:after="0" w:line="240" w:lineRule="auto"/>
              <w:rPr>
                <w:rFonts w:cs="Calibri"/>
                <w:sz w:val="20"/>
                <w:szCs w:val="20"/>
              </w:rPr>
            </w:pPr>
          </w:p>
        </w:tc>
        <w:tc>
          <w:tcPr>
            <w:tcW w:w="2200" w:type="dxa"/>
            <w:vAlign w:val="bottom"/>
          </w:tcPr>
          <w:p w14:paraId="14F793B2" w14:textId="77777777" w:rsidR="00562631" w:rsidRPr="008A7C39" w:rsidRDefault="00562631" w:rsidP="008A7C39">
            <w:pPr>
              <w:spacing w:after="0" w:line="240" w:lineRule="auto"/>
              <w:rPr>
                <w:rFonts w:cs="Calibri"/>
                <w:sz w:val="20"/>
                <w:szCs w:val="20"/>
              </w:rPr>
            </w:pPr>
            <w:r w:rsidRPr="008A7C39">
              <w:rPr>
                <w:rFonts w:cs="Calibri"/>
                <w:sz w:val="20"/>
                <w:szCs w:val="20"/>
              </w:rPr>
              <w:t>S. Walker</w:t>
            </w:r>
          </w:p>
        </w:tc>
        <w:tc>
          <w:tcPr>
            <w:tcW w:w="5868" w:type="dxa"/>
            <w:vAlign w:val="bottom"/>
          </w:tcPr>
          <w:p w14:paraId="78E9DA9E" w14:textId="77777777" w:rsidR="00562631" w:rsidRPr="008A7C39" w:rsidRDefault="00562631" w:rsidP="008A7C39">
            <w:pPr>
              <w:spacing w:after="0" w:line="240" w:lineRule="auto"/>
              <w:rPr>
                <w:rFonts w:cs="Calibri"/>
                <w:sz w:val="20"/>
                <w:szCs w:val="20"/>
              </w:rPr>
            </w:pPr>
            <w:r w:rsidRPr="008A7C39">
              <w:rPr>
                <w:rFonts w:cs="Calibri"/>
                <w:sz w:val="20"/>
                <w:szCs w:val="20"/>
              </w:rPr>
              <w:t>Head of Educational Development Unit</w:t>
            </w:r>
          </w:p>
        </w:tc>
      </w:tr>
    </w:tbl>
    <w:p w14:paraId="24C707DD" w14:textId="77777777" w:rsidR="00562631" w:rsidRPr="008A7C39" w:rsidRDefault="00562631" w:rsidP="008A7C39">
      <w:pPr>
        <w:spacing w:after="0" w:line="240" w:lineRule="auto"/>
        <w:rPr>
          <w:rFonts w:cs="Calibri"/>
          <w:sz w:val="20"/>
          <w:szCs w:val="20"/>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1"/>
        <w:gridCol w:w="7147"/>
        <w:gridCol w:w="1050"/>
      </w:tblGrid>
      <w:tr w:rsidR="00562631" w:rsidRPr="008A7C39" w14:paraId="207DA8AA" w14:textId="77777777" w:rsidTr="00D90166">
        <w:tc>
          <w:tcPr>
            <w:tcW w:w="1541" w:type="dxa"/>
            <w:tcBorders>
              <w:top w:val="nil"/>
              <w:left w:val="nil"/>
              <w:bottom w:val="nil"/>
              <w:right w:val="nil"/>
            </w:tcBorders>
          </w:tcPr>
          <w:p w14:paraId="028573C5" w14:textId="77777777" w:rsidR="00562631" w:rsidRPr="008A7C39" w:rsidRDefault="00562631" w:rsidP="008A7C39">
            <w:pPr>
              <w:spacing w:after="0" w:line="240" w:lineRule="auto"/>
              <w:jc w:val="both"/>
              <w:rPr>
                <w:rFonts w:cs="Calibri"/>
                <w:sz w:val="20"/>
                <w:szCs w:val="20"/>
              </w:rPr>
            </w:pPr>
            <w:r w:rsidRPr="008A7C39">
              <w:rPr>
                <w:rFonts w:cs="Calibri"/>
                <w:sz w:val="20"/>
                <w:szCs w:val="20"/>
              </w:rPr>
              <w:t>LQC/12/6.1</w:t>
            </w:r>
          </w:p>
        </w:tc>
        <w:tc>
          <w:tcPr>
            <w:tcW w:w="7147" w:type="dxa"/>
            <w:tcBorders>
              <w:top w:val="nil"/>
              <w:left w:val="nil"/>
              <w:bottom w:val="nil"/>
              <w:right w:val="nil"/>
            </w:tcBorders>
          </w:tcPr>
          <w:p w14:paraId="54B6EECF" w14:textId="77777777" w:rsidR="00562631" w:rsidRPr="008A7C39" w:rsidRDefault="00562631" w:rsidP="008A7C39">
            <w:pPr>
              <w:spacing w:after="0" w:line="240" w:lineRule="auto"/>
              <w:rPr>
                <w:rFonts w:cs="Calibri"/>
                <w:b/>
                <w:sz w:val="20"/>
                <w:szCs w:val="20"/>
              </w:rPr>
            </w:pPr>
            <w:r w:rsidRPr="008A7C39">
              <w:rPr>
                <w:rFonts w:cs="Calibri"/>
                <w:b/>
                <w:sz w:val="20"/>
                <w:szCs w:val="20"/>
              </w:rPr>
              <w:t>Items from Chair</w:t>
            </w:r>
          </w:p>
        </w:tc>
        <w:tc>
          <w:tcPr>
            <w:tcW w:w="1050" w:type="dxa"/>
            <w:tcBorders>
              <w:top w:val="nil"/>
              <w:left w:val="nil"/>
              <w:bottom w:val="nil"/>
              <w:right w:val="nil"/>
            </w:tcBorders>
          </w:tcPr>
          <w:p w14:paraId="08F4556B" w14:textId="77777777" w:rsidR="00562631" w:rsidRPr="008A7C39" w:rsidRDefault="00562631" w:rsidP="008A7C39">
            <w:pPr>
              <w:spacing w:after="0" w:line="240" w:lineRule="auto"/>
              <w:rPr>
                <w:rFonts w:cs="Calibri"/>
                <w:sz w:val="20"/>
                <w:szCs w:val="20"/>
              </w:rPr>
            </w:pPr>
          </w:p>
        </w:tc>
      </w:tr>
      <w:tr w:rsidR="00562631" w:rsidRPr="008A7C39" w14:paraId="7B8B8C18" w14:textId="77777777" w:rsidTr="00D90166">
        <w:tc>
          <w:tcPr>
            <w:tcW w:w="1541" w:type="dxa"/>
            <w:tcBorders>
              <w:top w:val="nil"/>
              <w:left w:val="nil"/>
              <w:bottom w:val="nil"/>
              <w:right w:val="nil"/>
            </w:tcBorders>
          </w:tcPr>
          <w:p w14:paraId="0FBC3D7B" w14:textId="77777777" w:rsidR="00562631" w:rsidRPr="008A7C39" w:rsidRDefault="00562631" w:rsidP="008A7C39">
            <w:pPr>
              <w:spacing w:after="0" w:line="240" w:lineRule="auto"/>
              <w:jc w:val="right"/>
              <w:rPr>
                <w:rFonts w:cs="Calibri"/>
                <w:sz w:val="20"/>
                <w:szCs w:val="20"/>
              </w:rPr>
            </w:pPr>
          </w:p>
        </w:tc>
        <w:tc>
          <w:tcPr>
            <w:tcW w:w="7147" w:type="dxa"/>
            <w:tcBorders>
              <w:top w:val="nil"/>
              <w:left w:val="nil"/>
              <w:bottom w:val="nil"/>
              <w:right w:val="nil"/>
            </w:tcBorders>
          </w:tcPr>
          <w:p w14:paraId="438F423E" w14:textId="711E80F7" w:rsidR="00562631" w:rsidRPr="008A7C39" w:rsidRDefault="00562631" w:rsidP="008A7C39">
            <w:pPr>
              <w:pStyle w:val="ListBullet"/>
              <w:numPr>
                <w:ilvl w:val="0"/>
                <w:numId w:val="0"/>
              </w:numPr>
              <w:spacing w:after="0" w:line="240" w:lineRule="auto"/>
              <w:rPr>
                <w:sz w:val="20"/>
                <w:szCs w:val="20"/>
              </w:rPr>
            </w:pPr>
            <w:r>
              <w:rPr>
                <w:sz w:val="20"/>
                <w:szCs w:val="20"/>
              </w:rPr>
              <w:t xml:space="preserve">The </w:t>
            </w:r>
            <w:r w:rsidRPr="008A7C39">
              <w:rPr>
                <w:sz w:val="20"/>
                <w:szCs w:val="20"/>
              </w:rPr>
              <w:t xml:space="preserve">Chair noted that the University </w:t>
            </w:r>
            <w:r>
              <w:rPr>
                <w:sz w:val="20"/>
                <w:szCs w:val="20"/>
              </w:rPr>
              <w:t>p</w:t>
            </w:r>
            <w:r w:rsidRPr="008A7C39">
              <w:rPr>
                <w:sz w:val="20"/>
                <w:szCs w:val="20"/>
              </w:rPr>
              <w:t xml:space="preserve">olicy </w:t>
            </w:r>
            <w:r>
              <w:rPr>
                <w:sz w:val="20"/>
                <w:szCs w:val="20"/>
              </w:rPr>
              <w:t>for</w:t>
            </w:r>
            <w:r w:rsidRPr="008A7C39">
              <w:rPr>
                <w:sz w:val="20"/>
                <w:szCs w:val="20"/>
              </w:rPr>
              <w:t xml:space="preserve"> </w:t>
            </w:r>
            <w:r>
              <w:rPr>
                <w:sz w:val="20"/>
                <w:szCs w:val="20"/>
              </w:rPr>
              <w:t>p</w:t>
            </w:r>
            <w:r w:rsidRPr="008A7C39">
              <w:rPr>
                <w:sz w:val="20"/>
                <w:szCs w:val="20"/>
              </w:rPr>
              <w:t xml:space="preserve">ersonal </w:t>
            </w:r>
            <w:r>
              <w:rPr>
                <w:sz w:val="20"/>
                <w:szCs w:val="20"/>
              </w:rPr>
              <w:t>t</w:t>
            </w:r>
            <w:r w:rsidRPr="008A7C39">
              <w:rPr>
                <w:sz w:val="20"/>
                <w:szCs w:val="20"/>
              </w:rPr>
              <w:t xml:space="preserve">utoring has been endorsed by Academic Council subject to minor amendments. </w:t>
            </w:r>
            <w:r>
              <w:rPr>
                <w:sz w:val="20"/>
                <w:szCs w:val="20"/>
              </w:rPr>
              <w:t xml:space="preserve"> It was noted that </w:t>
            </w:r>
            <w:r w:rsidRPr="008A7C39">
              <w:rPr>
                <w:sz w:val="20"/>
                <w:szCs w:val="20"/>
              </w:rPr>
              <w:t xml:space="preserve">School implementation plans are expected to be completed in May-June 2013 and presented at </w:t>
            </w:r>
            <w:r w:rsidR="00C31822">
              <w:rPr>
                <w:sz w:val="20"/>
                <w:szCs w:val="20"/>
              </w:rPr>
              <w:t xml:space="preserve">either </w:t>
            </w:r>
            <w:r w:rsidRPr="008A7C39">
              <w:rPr>
                <w:sz w:val="20"/>
                <w:szCs w:val="20"/>
              </w:rPr>
              <w:t xml:space="preserve">the first meeting of the Academic </w:t>
            </w:r>
            <w:r w:rsidR="008334A4">
              <w:rPr>
                <w:sz w:val="20"/>
                <w:szCs w:val="20"/>
              </w:rPr>
              <w:t xml:space="preserve">Quality and </w:t>
            </w:r>
            <w:r w:rsidRPr="008A7C39">
              <w:rPr>
                <w:sz w:val="20"/>
                <w:szCs w:val="20"/>
              </w:rPr>
              <w:t>Standards Committee in September 2013</w:t>
            </w:r>
            <w:r w:rsidR="00C31822">
              <w:rPr>
                <w:sz w:val="20"/>
                <w:szCs w:val="20"/>
              </w:rPr>
              <w:t xml:space="preserve"> or an extra meeting of the Learning and Quality Meeting before the end of the academic year</w:t>
            </w:r>
            <w:r w:rsidRPr="008A7C39">
              <w:rPr>
                <w:sz w:val="20"/>
                <w:szCs w:val="20"/>
              </w:rPr>
              <w:t>.</w:t>
            </w:r>
          </w:p>
          <w:p w14:paraId="69ED24F4" w14:textId="77777777" w:rsidR="00562631" w:rsidRPr="008A7C39" w:rsidRDefault="00562631" w:rsidP="008A7C39">
            <w:pPr>
              <w:pStyle w:val="ListBullet"/>
              <w:numPr>
                <w:ilvl w:val="0"/>
                <w:numId w:val="0"/>
              </w:numPr>
              <w:spacing w:after="0" w:line="240" w:lineRule="auto"/>
              <w:rPr>
                <w:sz w:val="20"/>
                <w:szCs w:val="20"/>
              </w:rPr>
            </w:pPr>
          </w:p>
          <w:p w14:paraId="49AF9C13" w14:textId="3E43195E" w:rsidR="00562631" w:rsidRDefault="00562631" w:rsidP="008A7C39">
            <w:pPr>
              <w:pStyle w:val="ListBullet"/>
              <w:numPr>
                <w:ilvl w:val="0"/>
                <w:numId w:val="0"/>
              </w:numPr>
              <w:spacing w:after="0" w:line="240" w:lineRule="auto"/>
              <w:rPr>
                <w:sz w:val="20"/>
                <w:szCs w:val="20"/>
              </w:rPr>
            </w:pPr>
            <w:r w:rsidRPr="008A7C39">
              <w:rPr>
                <w:sz w:val="20"/>
                <w:szCs w:val="20"/>
              </w:rPr>
              <w:t xml:space="preserve">Members </w:t>
            </w:r>
            <w:r>
              <w:rPr>
                <w:sz w:val="20"/>
                <w:szCs w:val="20"/>
              </w:rPr>
              <w:t xml:space="preserve">also </w:t>
            </w:r>
            <w:r w:rsidRPr="008A7C39">
              <w:rPr>
                <w:sz w:val="20"/>
                <w:szCs w:val="20"/>
              </w:rPr>
              <w:t xml:space="preserve">noted that links to </w:t>
            </w:r>
            <w:r>
              <w:rPr>
                <w:sz w:val="20"/>
                <w:szCs w:val="20"/>
              </w:rPr>
              <w:t xml:space="preserve">at least one key University policy </w:t>
            </w:r>
            <w:r w:rsidRPr="008A7C39">
              <w:rPr>
                <w:sz w:val="20"/>
                <w:szCs w:val="20"/>
              </w:rPr>
              <w:t>need to be live on the portal</w:t>
            </w:r>
            <w:r w:rsidR="00C31822">
              <w:rPr>
                <w:sz w:val="20"/>
                <w:szCs w:val="20"/>
              </w:rPr>
              <w:t xml:space="preserve"> and the </w:t>
            </w:r>
            <w:r w:rsidR="008334A4">
              <w:rPr>
                <w:sz w:val="20"/>
                <w:szCs w:val="20"/>
              </w:rPr>
              <w:t>U</w:t>
            </w:r>
            <w:r w:rsidR="00C31822">
              <w:rPr>
                <w:sz w:val="20"/>
                <w:szCs w:val="20"/>
              </w:rPr>
              <w:t>niversity website</w:t>
            </w:r>
            <w:r w:rsidRPr="008A7C39">
              <w:rPr>
                <w:sz w:val="20"/>
                <w:szCs w:val="20"/>
              </w:rPr>
              <w:t>.  The University’s Learning and Teaching Strategy was cited as an example of a non-functioning link.</w:t>
            </w:r>
          </w:p>
          <w:p w14:paraId="71037345" w14:textId="77777777" w:rsidR="00562631" w:rsidRPr="008A7C39" w:rsidRDefault="00562631" w:rsidP="008A7C39">
            <w:pPr>
              <w:pStyle w:val="ListBullet"/>
              <w:numPr>
                <w:ilvl w:val="0"/>
                <w:numId w:val="0"/>
              </w:numPr>
              <w:spacing w:after="0" w:line="240" w:lineRule="auto"/>
              <w:rPr>
                <w:sz w:val="20"/>
                <w:szCs w:val="20"/>
              </w:rPr>
            </w:pPr>
          </w:p>
        </w:tc>
        <w:tc>
          <w:tcPr>
            <w:tcW w:w="1050" w:type="dxa"/>
            <w:tcBorders>
              <w:top w:val="nil"/>
              <w:left w:val="nil"/>
              <w:bottom w:val="nil"/>
              <w:right w:val="nil"/>
            </w:tcBorders>
          </w:tcPr>
          <w:p w14:paraId="2C6A0D43" w14:textId="77777777" w:rsidR="00562631" w:rsidRPr="00D90166" w:rsidRDefault="00562631" w:rsidP="008A7C39">
            <w:pPr>
              <w:spacing w:after="0" w:line="240" w:lineRule="auto"/>
              <w:rPr>
                <w:rFonts w:cs="Calibri"/>
                <w:sz w:val="16"/>
                <w:szCs w:val="16"/>
              </w:rPr>
            </w:pPr>
          </w:p>
        </w:tc>
      </w:tr>
      <w:tr w:rsidR="00562631" w:rsidRPr="008A7C39" w14:paraId="6BD74D42" w14:textId="77777777" w:rsidTr="00D90166">
        <w:tc>
          <w:tcPr>
            <w:tcW w:w="1541" w:type="dxa"/>
            <w:tcBorders>
              <w:top w:val="nil"/>
              <w:left w:val="nil"/>
              <w:bottom w:val="nil"/>
              <w:right w:val="nil"/>
            </w:tcBorders>
          </w:tcPr>
          <w:p w14:paraId="338A5CDF" w14:textId="77777777" w:rsidR="00562631" w:rsidRPr="00D90166" w:rsidRDefault="00562631" w:rsidP="008A7C39">
            <w:pPr>
              <w:spacing w:after="0" w:line="240" w:lineRule="auto"/>
              <w:jc w:val="right"/>
              <w:rPr>
                <w:rFonts w:cs="Calibri"/>
                <w:b/>
                <w:color w:val="FF0000"/>
                <w:sz w:val="20"/>
                <w:szCs w:val="20"/>
              </w:rPr>
            </w:pPr>
            <w:r w:rsidRPr="00D90166">
              <w:rPr>
                <w:rFonts w:cs="Calibri"/>
                <w:b/>
                <w:color w:val="FF0000"/>
                <w:sz w:val="20"/>
                <w:szCs w:val="20"/>
              </w:rPr>
              <w:t>Action</w:t>
            </w:r>
          </w:p>
        </w:tc>
        <w:tc>
          <w:tcPr>
            <w:tcW w:w="7147" w:type="dxa"/>
            <w:tcBorders>
              <w:top w:val="nil"/>
              <w:left w:val="nil"/>
              <w:bottom w:val="nil"/>
              <w:right w:val="nil"/>
            </w:tcBorders>
          </w:tcPr>
          <w:p w14:paraId="5E199D11" w14:textId="77777777" w:rsidR="00562631" w:rsidRPr="00D90166" w:rsidRDefault="00C31822" w:rsidP="00C31822">
            <w:pPr>
              <w:pStyle w:val="ListBullet"/>
              <w:numPr>
                <w:ilvl w:val="0"/>
                <w:numId w:val="0"/>
              </w:numPr>
              <w:spacing w:after="0" w:line="240" w:lineRule="auto"/>
              <w:rPr>
                <w:b/>
                <w:color w:val="FF0000"/>
                <w:sz w:val="20"/>
                <w:szCs w:val="20"/>
              </w:rPr>
            </w:pPr>
            <w:r>
              <w:rPr>
                <w:b/>
                <w:color w:val="FF0000"/>
                <w:sz w:val="20"/>
                <w:szCs w:val="20"/>
              </w:rPr>
              <w:t xml:space="preserve">Remove links to old strategies and activate </w:t>
            </w:r>
            <w:r w:rsidR="00562631" w:rsidRPr="00D90166">
              <w:rPr>
                <w:b/>
                <w:color w:val="FF0000"/>
                <w:sz w:val="20"/>
                <w:szCs w:val="20"/>
              </w:rPr>
              <w:t xml:space="preserve">live portal </w:t>
            </w:r>
            <w:r>
              <w:rPr>
                <w:b/>
                <w:color w:val="FF0000"/>
                <w:sz w:val="20"/>
                <w:szCs w:val="20"/>
              </w:rPr>
              <w:t xml:space="preserve">and web </w:t>
            </w:r>
            <w:r w:rsidR="00562631" w:rsidRPr="00D90166">
              <w:rPr>
                <w:b/>
                <w:color w:val="FF0000"/>
                <w:sz w:val="20"/>
                <w:szCs w:val="20"/>
              </w:rPr>
              <w:t>link to University Learning and Teaching Strategy</w:t>
            </w:r>
            <w:r>
              <w:rPr>
                <w:b/>
                <w:color w:val="FF0000"/>
                <w:sz w:val="20"/>
                <w:szCs w:val="20"/>
              </w:rPr>
              <w:t xml:space="preserve"> and the Personal Tutoring Policy</w:t>
            </w:r>
          </w:p>
        </w:tc>
        <w:tc>
          <w:tcPr>
            <w:tcW w:w="1050" w:type="dxa"/>
            <w:tcBorders>
              <w:top w:val="nil"/>
              <w:left w:val="nil"/>
              <w:bottom w:val="nil"/>
              <w:right w:val="nil"/>
            </w:tcBorders>
          </w:tcPr>
          <w:p w14:paraId="17AB8F03"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EDU</w:t>
            </w:r>
          </w:p>
          <w:p w14:paraId="2B9A26E8" w14:textId="77777777" w:rsidR="00C31822" w:rsidRDefault="00C31822" w:rsidP="00C31822">
            <w:pPr>
              <w:spacing w:after="0" w:line="240" w:lineRule="auto"/>
              <w:rPr>
                <w:rFonts w:cs="Calibri"/>
                <w:b/>
                <w:color w:val="FF0000"/>
                <w:sz w:val="16"/>
                <w:szCs w:val="16"/>
              </w:rPr>
            </w:pPr>
            <w:r>
              <w:rPr>
                <w:rFonts w:cs="Calibri"/>
                <w:b/>
                <w:color w:val="FF0000"/>
                <w:sz w:val="16"/>
                <w:szCs w:val="16"/>
              </w:rPr>
              <w:t>Website/</w:t>
            </w:r>
          </w:p>
          <w:p w14:paraId="53D34A54" w14:textId="77777777" w:rsidR="00562631" w:rsidRPr="00D90166" w:rsidRDefault="00C31822" w:rsidP="00C31822">
            <w:pPr>
              <w:spacing w:after="0" w:line="240" w:lineRule="auto"/>
              <w:rPr>
                <w:rFonts w:cs="Calibri"/>
                <w:b/>
                <w:color w:val="FF0000"/>
                <w:sz w:val="16"/>
                <w:szCs w:val="16"/>
              </w:rPr>
            </w:pPr>
            <w:r>
              <w:rPr>
                <w:rFonts w:cs="Calibri"/>
                <w:b/>
                <w:color w:val="FF0000"/>
                <w:sz w:val="16"/>
                <w:szCs w:val="16"/>
              </w:rPr>
              <w:t>Portal</w:t>
            </w:r>
            <w:r w:rsidR="00562631" w:rsidRPr="00D90166">
              <w:rPr>
                <w:rFonts w:cs="Calibri"/>
                <w:b/>
                <w:color w:val="FF0000"/>
                <w:sz w:val="16"/>
                <w:szCs w:val="16"/>
              </w:rPr>
              <w:t xml:space="preserve"> Manager</w:t>
            </w:r>
          </w:p>
        </w:tc>
      </w:tr>
      <w:tr w:rsidR="00562631" w:rsidRPr="008A7C39" w14:paraId="3476E218" w14:textId="77777777" w:rsidTr="00D90166">
        <w:tc>
          <w:tcPr>
            <w:tcW w:w="1541" w:type="dxa"/>
            <w:tcBorders>
              <w:top w:val="nil"/>
              <w:left w:val="nil"/>
              <w:bottom w:val="nil"/>
              <w:right w:val="nil"/>
            </w:tcBorders>
          </w:tcPr>
          <w:p w14:paraId="3DBBC786" w14:textId="77777777" w:rsidR="00562631" w:rsidRPr="008A7C39" w:rsidRDefault="00562631" w:rsidP="008A7C39">
            <w:pPr>
              <w:spacing w:after="0" w:line="240" w:lineRule="auto"/>
              <w:rPr>
                <w:rFonts w:cs="Calibri"/>
                <w:sz w:val="20"/>
                <w:szCs w:val="20"/>
              </w:rPr>
            </w:pPr>
            <w:r w:rsidRPr="008A7C39">
              <w:rPr>
                <w:rFonts w:cs="Calibri"/>
                <w:sz w:val="20"/>
                <w:szCs w:val="20"/>
              </w:rPr>
              <w:t>LQC/12/6.2</w:t>
            </w:r>
          </w:p>
        </w:tc>
        <w:tc>
          <w:tcPr>
            <w:tcW w:w="7147" w:type="dxa"/>
            <w:tcBorders>
              <w:top w:val="nil"/>
              <w:left w:val="nil"/>
              <w:bottom w:val="nil"/>
              <w:right w:val="nil"/>
            </w:tcBorders>
          </w:tcPr>
          <w:p w14:paraId="67E244E8" w14:textId="77777777" w:rsidR="00562631" w:rsidRPr="008A7C39" w:rsidRDefault="00562631" w:rsidP="008A7C39">
            <w:pPr>
              <w:spacing w:after="0" w:line="240" w:lineRule="auto"/>
              <w:rPr>
                <w:rFonts w:cs="Calibri"/>
                <w:b/>
                <w:sz w:val="20"/>
                <w:szCs w:val="20"/>
              </w:rPr>
            </w:pPr>
            <w:r w:rsidRPr="008A7C39">
              <w:rPr>
                <w:rFonts w:cs="Calibri"/>
                <w:b/>
                <w:sz w:val="20"/>
                <w:szCs w:val="20"/>
              </w:rPr>
              <w:t>Minutes of the Previous Meeting</w:t>
            </w:r>
          </w:p>
          <w:p w14:paraId="6E7A6154" w14:textId="77777777" w:rsidR="00562631" w:rsidRPr="008A7C39" w:rsidRDefault="00562631" w:rsidP="008A7C39">
            <w:pPr>
              <w:spacing w:after="0" w:line="240" w:lineRule="auto"/>
              <w:rPr>
                <w:rFonts w:cs="Calibri"/>
                <w:b/>
                <w:sz w:val="20"/>
                <w:szCs w:val="20"/>
              </w:rPr>
            </w:pPr>
          </w:p>
        </w:tc>
        <w:tc>
          <w:tcPr>
            <w:tcW w:w="1050" w:type="dxa"/>
            <w:tcBorders>
              <w:top w:val="nil"/>
              <w:left w:val="nil"/>
              <w:bottom w:val="nil"/>
              <w:right w:val="nil"/>
            </w:tcBorders>
          </w:tcPr>
          <w:p w14:paraId="67F4C6AE" w14:textId="77777777" w:rsidR="00562631" w:rsidRPr="00D90166" w:rsidRDefault="00562631" w:rsidP="008A7C39">
            <w:pPr>
              <w:spacing w:after="0" w:line="240" w:lineRule="auto"/>
              <w:rPr>
                <w:rFonts w:cs="Calibri"/>
                <w:sz w:val="16"/>
                <w:szCs w:val="16"/>
              </w:rPr>
            </w:pPr>
          </w:p>
        </w:tc>
      </w:tr>
      <w:tr w:rsidR="00562631" w:rsidRPr="008A7C39" w14:paraId="7DAA9CFC" w14:textId="77777777" w:rsidTr="00D90166">
        <w:tc>
          <w:tcPr>
            <w:tcW w:w="1541" w:type="dxa"/>
            <w:tcBorders>
              <w:top w:val="nil"/>
              <w:left w:val="nil"/>
              <w:bottom w:val="nil"/>
              <w:right w:val="nil"/>
            </w:tcBorders>
          </w:tcPr>
          <w:p w14:paraId="4FCC873D" w14:textId="77777777" w:rsidR="00562631" w:rsidRPr="008A7C39" w:rsidRDefault="00562631" w:rsidP="008A7C39">
            <w:pPr>
              <w:spacing w:after="0" w:line="240" w:lineRule="auto"/>
              <w:rPr>
                <w:rFonts w:cs="Calibri"/>
                <w:sz w:val="20"/>
                <w:szCs w:val="20"/>
              </w:rPr>
            </w:pPr>
          </w:p>
        </w:tc>
        <w:tc>
          <w:tcPr>
            <w:tcW w:w="7147" w:type="dxa"/>
            <w:tcBorders>
              <w:top w:val="nil"/>
              <w:left w:val="nil"/>
              <w:bottom w:val="nil"/>
              <w:right w:val="nil"/>
            </w:tcBorders>
          </w:tcPr>
          <w:p w14:paraId="746D04CD" w14:textId="77777777" w:rsidR="00562631" w:rsidRPr="008A7C39" w:rsidRDefault="00562631" w:rsidP="008A7C39">
            <w:pPr>
              <w:spacing w:after="0" w:line="240" w:lineRule="auto"/>
              <w:rPr>
                <w:rFonts w:cs="Calibri"/>
                <w:sz w:val="20"/>
                <w:szCs w:val="20"/>
              </w:rPr>
            </w:pPr>
            <w:r w:rsidRPr="008A7C39">
              <w:rPr>
                <w:rFonts w:cs="Calibri"/>
                <w:sz w:val="20"/>
                <w:szCs w:val="20"/>
              </w:rPr>
              <w:t>The minutes of the meeting of 13</w:t>
            </w:r>
            <w:r w:rsidRPr="008A7C39">
              <w:rPr>
                <w:rFonts w:cs="Calibri"/>
                <w:sz w:val="20"/>
                <w:szCs w:val="20"/>
                <w:vertAlign w:val="superscript"/>
              </w:rPr>
              <w:t>th</w:t>
            </w:r>
            <w:r w:rsidRPr="008A7C39">
              <w:rPr>
                <w:rFonts w:cs="Calibri"/>
                <w:sz w:val="20"/>
                <w:szCs w:val="20"/>
              </w:rPr>
              <w:t xml:space="preserve"> February were agreed as a correct record subject to minor amendments in paragraphs 5.1 (“informal” and not “formal”) and 5.7 (“sector average” not “University average”</w:t>
            </w:r>
            <w:r>
              <w:rPr>
                <w:rFonts w:cs="Calibri"/>
                <w:sz w:val="20"/>
                <w:szCs w:val="20"/>
              </w:rPr>
              <w:t>)</w:t>
            </w:r>
            <w:r w:rsidRPr="008A7C39">
              <w:rPr>
                <w:rFonts w:cs="Calibri"/>
                <w:sz w:val="20"/>
                <w:szCs w:val="20"/>
              </w:rPr>
              <w:t>.</w:t>
            </w:r>
          </w:p>
          <w:p w14:paraId="155E1DEB"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56AE7425" w14:textId="77777777" w:rsidR="00562631" w:rsidRPr="00D90166" w:rsidRDefault="00562631" w:rsidP="008A7C39">
            <w:pPr>
              <w:spacing w:after="0" w:line="240" w:lineRule="auto"/>
              <w:rPr>
                <w:rFonts w:cs="Calibri"/>
                <w:sz w:val="16"/>
                <w:szCs w:val="16"/>
              </w:rPr>
            </w:pPr>
          </w:p>
        </w:tc>
      </w:tr>
      <w:tr w:rsidR="00562631" w:rsidRPr="008A7C39" w14:paraId="6C58F955" w14:textId="77777777" w:rsidTr="00D90166">
        <w:trPr>
          <w:trHeight w:val="422"/>
        </w:trPr>
        <w:tc>
          <w:tcPr>
            <w:tcW w:w="1541" w:type="dxa"/>
            <w:tcBorders>
              <w:top w:val="nil"/>
              <w:left w:val="nil"/>
              <w:bottom w:val="nil"/>
              <w:right w:val="nil"/>
            </w:tcBorders>
          </w:tcPr>
          <w:p w14:paraId="15555ED1" w14:textId="77777777" w:rsidR="00562631" w:rsidRPr="008A7C39" w:rsidRDefault="00562631" w:rsidP="008A7C39">
            <w:pPr>
              <w:spacing w:after="0" w:line="240" w:lineRule="auto"/>
              <w:rPr>
                <w:rFonts w:cs="Calibri"/>
                <w:sz w:val="20"/>
                <w:szCs w:val="20"/>
              </w:rPr>
            </w:pPr>
            <w:r w:rsidRPr="008A7C39">
              <w:rPr>
                <w:rFonts w:cs="Calibri"/>
                <w:sz w:val="20"/>
                <w:szCs w:val="20"/>
              </w:rPr>
              <w:t>LQC/12/6.3</w:t>
            </w:r>
          </w:p>
        </w:tc>
        <w:tc>
          <w:tcPr>
            <w:tcW w:w="7147" w:type="dxa"/>
            <w:tcBorders>
              <w:top w:val="nil"/>
              <w:left w:val="nil"/>
              <w:bottom w:val="nil"/>
              <w:right w:val="nil"/>
            </w:tcBorders>
          </w:tcPr>
          <w:p w14:paraId="072347BA" w14:textId="77777777" w:rsidR="00562631" w:rsidRPr="008A7C39" w:rsidRDefault="00562631" w:rsidP="008A7C39">
            <w:pPr>
              <w:spacing w:after="0" w:line="240" w:lineRule="auto"/>
              <w:rPr>
                <w:rFonts w:cs="Calibri"/>
                <w:b/>
                <w:sz w:val="20"/>
                <w:szCs w:val="20"/>
              </w:rPr>
            </w:pPr>
            <w:r w:rsidRPr="008A7C39">
              <w:rPr>
                <w:rFonts w:cs="Calibri"/>
                <w:b/>
                <w:sz w:val="20"/>
                <w:szCs w:val="20"/>
              </w:rPr>
              <w:t>Matters arising from the Minutes</w:t>
            </w:r>
          </w:p>
          <w:p w14:paraId="6F836F34" w14:textId="77777777" w:rsidR="00562631" w:rsidRPr="008A7C39" w:rsidRDefault="00562631" w:rsidP="008A7C39">
            <w:pPr>
              <w:spacing w:after="0" w:line="240" w:lineRule="auto"/>
              <w:rPr>
                <w:rFonts w:cs="Calibri"/>
                <w:b/>
                <w:sz w:val="20"/>
                <w:szCs w:val="20"/>
              </w:rPr>
            </w:pPr>
          </w:p>
        </w:tc>
        <w:tc>
          <w:tcPr>
            <w:tcW w:w="1050" w:type="dxa"/>
            <w:tcBorders>
              <w:top w:val="nil"/>
              <w:left w:val="nil"/>
              <w:bottom w:val="nil"/>
              <w:right w:val="nil"/>
            </w:tcBorders>
          </w:tcPr>
          <w:p w14:paraId="204E066B" w14:textId="77777777" w:rsidR="00562631" w:rsidRPr="00D90166" w:rsidRDefault="00562631" w:rsidP="008A7C39">
            <w:pPr>
              <w:spacing w:after="0" w:line="240" w:lineRule="auto"/>
              <w:rPr>
                <w:rFonts w:cs="Calibri"/>
                <w:sz w:val="16"/>
                <w:szCs w:val="16"/>
              </w:rPr>
            </w:pPr>
          </w:p>
        </w:tc>
      </w:tr>
      <w:tr w:rsidR="00562631" w:rsidRPr="008A7C39" w14:paraId="6FC12B17" w14:textId="77777777" w:rsidTr="00D90166">
        <w:tc>
          <w:tcPr>
            <w:tcW w:w="1541" w:type="dxa"/>
            <w:tcBorders>
              <w:top w:val="nil"/>
              <w:left w:val="nil"/>
              <w:bottom w:val="nil"/>
              <w:right w:val="nil"/>
            </w:tcBorders>
          </w:tcPr>
          <w:p w14:paraId="2C621024" w14:textId="77777777" w:rsidR="00562631" w:rsidRPr="008A7C39" w:rsidRDefault="00562631" w:rsidP="008A7C39">
            <w:pPr>
              <w:spacing w:after="0" w:line="240" w:lineRule="auto"/>
              <w:jc w:val="right"/>
              <w:rPr>
                <w:rFonts w:cs="Calibri"/>
                <w:sz w:val="20"/>
                <w:szCs w:val="20"/>
              </w:rPr>
            </w:pPr>
            <w:r w:rsidRPr="008A7C39">
              <w:rPr>
                <w:rFonts w:cs="Calibri"/>
                <w:sz w:val="20"/>
                <w:szCs w:val="20"/>
              </w:rPr>
              <w:t>12/5.4 refers</w:t>
            </w:r>
          </w:p>
        </w:tc>
        <w:tc>
          <w:tcPr>
            <w:tcW w:w="7147" w:type="dxa"/>
            <w:tcBorders>
              <w:top w:val="nil"/>
              <w:left w:val="nil"/>
              <w:bottom w:val="nil"/>
              <w:right w:val="nil"/>
            </w:tcBorders>
          </w:tcPr>
          <w:p w14:paraId="4911FC09" w14:textId="77777777" w:rsidR="00562631" w:rsidRPr="00A45D15" w:rsidRDefault="00562631" w:rsidP="001E31E9">
            <w:pPr>
              <w:spacing w:after="0" w:line="240" w:lineRule="auto"/>
              <w:rPr>
                <w:rFonts w:cs="Calibri"/>
                <w:sz w:val="20"/>
                <w:szCs w:val="20"/>
                <w:u w:val="single"/>
              </w:rPr>
            </w:pPr>
            <w:r w:rsidRPr="00A45D15">
              <w:rPr>
                <w:rFonts w:cs="Calibri"/>
                <w:sz w:val="20"/>
                <w:szCs w:val="20"/>
                <w:u w:val="single"/>
              </w:rPr>
              <w:t>The Higher Education Achievement Report</w:t>
            </w:r>
          </w:p>
          <w:p w14:paraId="51FEBFA2" w14:textId="77777777" w:rsidR="00562631" w:rsidRPr="008A7C39" w:rsidRDefault="00562631" w:rsidP="001E31E9">
            <w:pPr>
              <w:spacing w:after="0" w:line="240" w:lineRule="auto"/>
              <w:rPr>
                <w:rFonts w:cs="Calibri"/>
                <w:sz w:val="20"/>
                <w:szCs w:val="20"/>
              </w:rPr>
            </w:pPr>
          </w:p>
        </w:tc>
        <w:tc>
          <w:tcPr>
            <w:tcW w:w="1050" w:type="dxa"/>
            <w:tcBorders>
              <w:top w:val="nil"/>
              <w:left w:val="nil"/>
              <w:bottom w:val="nil"/>
              <w:right w:val="nil"/>
            </w:tcBorders>
          </w:tcPr>
          <w:p w14:paraId="350A85F0" w14:textId="77777777" w:rsidR="00562631" w:rsidRPr="00D90166" w:rsidRDefault="00562631" w:rsidP="008A7C39">
            <w:pPr>
              <w:spacing w:after="0" w:line="240" w:lineRule="auto"/>
              <w:rPr>
                <w:rFonts w:cs="Calibri"/>
                <w:sz w:val="16"/>
                <w:szCs w:val="16"/>
              </w:rPr>
            </w:pPr>
          </w:p>
        </w:tc>
      </w:tr>
      <w:tr w:rsidR="00562631" w:rsidRPr="008A7C39" w14:paraId="4B89895E" w14:textId="77777777" w:rsidTr="00D90166">
        <w:tc>
          <w:tcPr>
            <w:tcW w:w="1541" w:type="dxa"/>
            <w:tcBorders>
              <w:top w:val="nil"/>
              <w:left w:val="nil"/>
              <w:bottom w:val="nil"/>
              <w:right w:val="nil"/>
            </w:tcBorders>
          </w:tcPr>
          <w:p w14:paraId="609F0891" w14:textId="77777777" w:rsidR="00562631" w:rsidRPr="008A7C39" w:rsidRDefault="00562631" w:rsidP="008A7C39">
            <w:pPr>
              <w:spacing w:after="0" w:line="240" w:lineRule="auto"/>
              <w:jc w:val="right"/>
              <w:rPr>
                <w:rFonts w:cs="Calibri"/>
                <w:sz w:val="20"/>
                <w:szCs w:val="20"/>
              </w:rPr>
            </w:pPr>
          </w:p>
        </w:tc>
        <w:tc>
          <w:tcPr>
            <w:tcW w:w="7147" w:type="dxa"/>
            <w:tcBorders>
              <w:top w:val="nil"/>
              <w:left w:val="nil"/>
              <w:bottom w:val="nil"/>
              <w:right w:val="nil"/>
            </w:tcBorders>
          </w:tcPr>
          <w:p w14:paraId="50187C37" w14:textId="2F31006B" w:rsidR="00562631" w:rsidRPr="008A7C39" w:rsidRDefault="00562631" w:rsidP="008A7C39">
            <w:pPr>
              <w:spacing w:after="0" w:line="240" w:lineRule="auto"/>
              <w:rPr>
                <w:rFonts w:cs="Calibri"/>
                <w:sz w:val="20"/>
                <w:szCs w:val="20"/>
              </w:rPr>
            </w:pPr>
            <w:r w:rsidRPr="008A7C39">
              <w:rPr>
                <w:rFonts w:cs="Calibri"/>
                <w:sz w:val="20"/>
                <w:szCs w:val="20"/>
              </w:rPr>
              <w:t xml:space="preserve">LQC remained concerned that, in the continued absence of the Deputy </w:t>
            </w:r>
            <w:r w:rsidR="0089447B">
              <w:rPr>
                <w:rFonts w:cs="Calibri"/>
                <w:sz w:val="20"/>
                <w:szCs w:val="20"/>
              </w:rPr>
              <w:t>Director</w:t>
            </w:r>
            <w:r w:rsidR="0089447B" w:rsidRPr="008A7C39">
              <w:rPr>
                <w:rFonts w:cs="Calibri"/>
                <w:sz w:val="20"/>
                <w:szCs w:val="20"/>
              </w:rPr>
              <w:t xml:space="preserve"> </w:t>
            </w:r>
            <w:r w:rsidRPr="008A7C39">
              <w:rPr>
                <w:rFonts w:cs="Calibri"/>
                <w:sz w:val="20"/>
                <w:szCs w:val="20"/>
              </w:rPr>
              <w:t xml:space="preserve">of OSA </w:t>
            </w:r>
            <w:r>
              <w:rPr>
                <w:rFonts w:cs="Calibri"/>
                <w:sz w:val="20"/>
                <w:szCs w:val="20"/>
              </w:rPr>
              <w:t xml:space="preserve">who is </w:t>
            </w:r>
            <w:r w:rsidRPr="008A7C39">
              <w:rPr>
                <w:rFonts w:cs="Calibri"/>
                <w:sz w:val="20"/>
                <w:szCs w:val="20"/>
              </w:rPr>
              <w:t xml:space="preserve">responsible for the HEAR, the actions requested of OSA by the Committee have potentially stalled.  LQC recognised that systems development is </w:t>
            </w:r>
            <w:r w:rsidRPr="008A7C39">
              <w:rPr>
                <w:rFonts w:cs="Calibri"/>
                <w:sz w:val="20"/>
                <w:szCs w:val="20"/>
              </w:rPr>
              <w:lastRenderedPageBreak/>
              <w:t>ready to deliver the HEAR but reiterated its request that a formal and full report on the HEAR and the mechanisms designed to facilitate</w:t>
            </w:r>
            <w:r>
              <w:rPr>
                <w:rFonts w:cs="Calibri"/>
                <w:sz w:val="20"/>
                <w:szCs w:val="20"/>
              </w:rPr>
              <w:t xml:space="preserve">, manage and develop </w:t>
            </w:r>
            <w:r w:rsidR="00C31822">
              <w:rPr>
                <w:rFonts w:cs="Calibri"/>
                <w:sz w:val="20"/>
                <w:szCs w:val="20"/>
              </w:rPr>
              <w:t>HEAR</w:t>
            </w:r>
            <w:r w:rsidRPr="008A7C39">
              <w:rPr>
                <w:rFonts w:cs="Calibri"/>
                <w:sz w:val="20"/>
                <w:szCs w:val="20"/>
              </w:rPr>
              <w:t xml:space="preserve"> are formally presented to the committee.  (LQC 12/5.4 refers)</w:t>
            </w:r>
          </w:p>
          <w:p w14:paraId="56622624"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0E5E1CF5" w14:textId="77777777" w:rsidR="00562631" w:rsidRPr="00D90166" w:rsidRDefault="00562631" w:rsidP="008A7C39">
            <w:pPr>
              <w:spacing w:after="0" w:line="240" w:lineRule="auto"/>
              <w:rPr>
                <w:rFonts w:cs="Calibri"/>
                <w:sz w:val="16"/>
                <w:szCs w:val="16"/>
              </w:rPr>
            </w:pPr>
          </w:p>
        </w:tc>
      </w:tr>
      <w:tr w:rsidR="00562631" w:rsidRPr="008A7C39" w14:paraId="377DB008" w14:textId="77777777" w:rsidTr="00D90166">
        <w:tc>
          <w:tcPr>
            <w:tcW w:w="1541" w:type="dxa"/>
            <w:tcBorders>
              <w:top w:val="nil"/>
              <w:left w:val="nil"/>
              <w:bottom w:val="nil"/>
              <w:right w:val="nil"/>
            </w:tcBorders>
          </w:tcPr>
          <w:p w14:paraId="7667B4FC" w14:textId="77777777" w:rsidR="00562631" w:rsidRPr="008A7C39" w:rsidRDefault="00562631" w:rsidP="008A7C39">
            <w:pPr>
              <w:spacing w:after="0" w:line="240" w:lineRule="auto"/>
              <w:jc w:val="center"/>
              <w:rPr>
                <w:rFonts w:cs="Calibri"/>
                <w:b/>
                <w:color w:val="FF0000"/>
                <w:sz w:val="20"/>
                <w:szCs w:val="20"/>
              </w:rPr>
            </w:pPr>
            <w:r w:rsidRPr="008A7C39">
              <w:rPr>
                <w:rFonts w:cs="Calibri"/>
                <w:b/>
                <w:color w:val="FF0000"/>
                <w:sz w:val="20"/>
                <w:szCs w:val="20"/>
              </w:rPr>
              <w:lastRenderedPageBreak/>
              <w:t>Action</w:t>
            </w:r>
          </w:p>
        </w:tc>
        <w:tc>
          <w:tcPr>
            <w:tcW w:w="7147" w:type="dxa"/>
            <w:tcBorders>
              <w:top w:val="nil"/>
              <w:left w:val="nil"/>
              <w:bottom w:val="nil"/>
              <w:right w:val="nil"/>
            </w:tcBorders>
          </w:tcPr>
          <w:p w14:paraId="03971F96"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OSA to address requests for full report and development of protocols for continued HEAR development</w:t>
            </w:r>
            <w:r w:rsidRPr="008A7C39">
              <w:rPr>
                <w:rStyle w:val="FootnoteReference"/>
                <w:b/>
                <w:color w:val="FF0000"/>
                <w:sz w:val="20"/>
                <w:szCs w:val="20"/>
              </w:rPr>
              <w:footnoteReference w:id="1"/>
            </w:r>
          </w:p>
          <w:p w14:paraId="57A370AB" w14:textId="77777777" w:rsidR="00562631" w:rsidRPr="008A7C39" w:rsidRDefault="00562631" w:rsidP="008A7C39">
            <w:pPr>
              <w:spacing w:after="0" w:line="240" w:lineRule="auto"/>
              <w:rPr>
                <w:rFonts w:cs="Calibri"/>
                <w:b/>
                <w:color w:val="FF0000"/>
                <w:sz w:val="20"/>
                <w:szCs w:val="20"/>
              </w:rPr>
            </w:pPr>
          </w:p>
        </w:tc>
        <w:tc>
          <w:tcPr>
            <w:tcW w:w="1050" w:type="dxa"/>
            <w:tcBorders>
              <w:top w:val="nil"/>
              <w:left w:val="nil"/>
              <w:bottom w:val="nil"/>
              <w:right w:val="nil"/>
            </w:tcBorders>
          </w:tcPr>
          <w:p w14:paraId="34262C49"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OSA</w:t>
            </w:r>
          </w:p>
        </w:tc>
      </w:tr>
      <w:tr w:rsidR="00562631" w:rsidRPr="008A7C39" w14:paraId="703CAFF2" w14:textId="77777777" w:rsidTr="00D90166">
        <w:tc>
          <w:tcPr>
            <w:tcW w:w="1541" w:type="dxa"/>
            <w:tcBorders>
              <w:top w:val="nil"/>
              <w:left w:val="nil"/>
              <w:bottom w:val="nil"/>
              <w:right w:val="nil"/>
            </w:tcBorders>
          </w:tcPr>
          <w:p w14:paraId="6BD6EFA1" w14:textId="77777777" w:rsidR="00562631" w:rsidRPr="008A7C39" w:rsidRDefault="00562631" w:rsidP="008A7C39">
            <w:pPr>
              <w:spacing w:after="0" w:line="240" w:lineRule="auto"/>
              <w:jc w:val="right"/>
              <w:rPr>
                <w:rFonts w:cs="Calibri"/>
                <w:sz w:val="20"/>
                <w:szCs w:val="20"/>
              </w:rPr>
            </w:pPr>
            <w:r w:rsidRPr="008A7C39">
              <w:rPr>
                <w:rFonts w:cs="Calibri"/>
                <w:sz w:val="20"/>
                <w:szCs w:val="20"/>
              </w:rPr>
              <w:t>12/5.5 refers</w:t>
            </w:r>
          </w:p>
        </w:tc>
        <w:tc>
          <w:tcPr>
            <w:tcW w:w="7147" w:type="dxa"/>
            <w:tcBorders>
              <w:top w:val="nil"/>
              <w:left w:val="nil"/>
              <w:bottom w:val="nil"/>
              <w:right w:val="nil"/>
            </w:tcBorders>
          </w:tcPr>
          <w:p w14:paraId="2FB3F3B1" w14:textId="77777777" w:rsidR="00562631" w:rsidRPr="008A7C39" w:rsidRDefault="00562631" w:rsidP="008A7C39">
            <w:pPr>
              <w:spacing w:after="0" w:line="240" w:lineRule="auto"/>
              <w:rPr>
                <w:rFonts w:cs="Calibri"/>
                <w:sz w:val="20"/>
                <w:szCs w:val="20"/>
              </w:rPr>
            </w:pPr>
            <w:r w:rsidRPr="00A45D15">
              <w:rPr>
                <w:rFonts w:cs="Calibri"/>
                <w:sz w:val="20"/>
                <w:szCs w:val="20"/>
                <w:u w:val="single"/>
              </w:rPr>
              <w:t>University Review schedule</w:t>
            </w:r>
            <w:r w:rsidRPr="008A7C39">
              <w:rPr>
                <w:rFonts w:cs="Calibri"/>
                <w:sz w:val="20"/>
                <w:szCs w:val="20"/>
              </w:rPr>
              <w:t xml:space="preserve"> – </w:t>
            </w:r>
            <w:r>
              <w:rPr>
                <w:rFonts w:cs="Calibri"/>
                <w:sz w:val="20"/>
                <w:szCs w:val="20"/>
              </w:rPr>
              <w:t>a</w:t>
            </w:r>
            <w:r w:rsidRPr="008A7C39">
              <w:rPr>
                <w:rFonts w:cs="Calibri"/>
                <w:sz w:val="20"/>
                <w:szCs w:val="20"/>
              </w:rPr>
              <w:t>genda item</w:t>
            </w:r>
          </w:p>
          <w:p w14:paraId="25989F0D"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6B1A6FB7" w14:textId="77777777" w:rsidR="00562631" w:rsidRPr="00D90166" w:rsidRDefault="00562631" w:rsidP="008A7C39">
            <w:pPr>
              <w:spacing w:after="0" w:line="240" w:lineRule="auto"/>
              <w:rPr>
                <w:rFonts w:cs="Calibri"/>
                <w:sz w:val="16"/>
                <w:szCs w:val="16"/>
              </w:rPr>
            </w:pPr>
          </w:p>
        </w:tc>
      </w:tr>
      <w:tr w:rsidR="00562631" w:rsidRPr="008A7C39" w14:paraId="405A333C" w14:textId="77777777" w:rsidTr="00D90166">
        <w:tc>
          <w:tcPr>
            <w:tcW w:w="1541" w:type="dxa"/>
            <w:tcBorders>
              <w:top w:val="nil"/>
              <w:left w:val="nil"/>
              <w:bottom w:val="nil"/>
              <w:right w:val="nil"/>
            </w:tcBorders>
          </w:tcPr>
          <w:p w14:paraId="6336C97A" w14:textId="77777777" w:rsidR="00562631" w:rsidRPr="008A7C39" w:rsidRDefault="00562631" w:rsidP="008A7C39">
            <w:pPr>
              <w:spacing w:after="0" w:line="240" w:lineRule="auto"/>
              <w:jc w:val="right"/>
              <w:rPr>
                <w:rFonts w:cs="Calibri"/>
                <w:sz w:val="20"/>
                <w:szCs w:val="20"/>
              </w:rPr>
            </w:pPr>
            <w:r w:rsidRPr="008A7C39">
              <w:rPr>
                <w:rFonts w:cs="Calibri"/>
                <w:sz w:val="20"/>
                <w:szCs w:val="20"/>
              </w:rPr>
              <w:t>12/5.6 refers</w:t>
            </w:r>
          </w:p>
        </w:tc>
        <w:tc>
          <w:tcPr>
            <w:tcW w:w="7147" w:type="dxa"/>
            <w:tcBorders>
              <w:top w:val="nil"/>
              <w:left w:val="nil"/>
              <w:bottom w:val="nil"/>
              <w:right w:val="nil"/>
            </w:tcBorders>
          </w:tcPr>
          <w:p w14:paraId="47DC432F" w14:textId="77777777" w:rsidR="00562631" w:rsidRPr="008A7C39" w:rsidRDefault="00562631" w:rsidP="008A7C39">
            <w:pPr>
              <w:spacing w:after="0" w:line="240" w:lineRule="auto"/>
              <w:rPr>
                <w:rFonts w:cs="Calibri"/>
                <w:sz w:val="20"/>
                <w:szCs w:val="20"/>
              </w:rPr>
            </w:pPr>
            <w:r w:rsidRPr="00A45D15">
              <w:rPr>
                <w:rFonts w:cs="Calibri"/>
                <w:sz w:val="20"/>
                <w:szCs w:val="20"/>
                <w:u w:val="single"/>
              </w:rPr>
              <w:t>Student representation on approval and review panels</w:t>
            </w:r>
            <w:r w:rsidRPr="008A7C39">
              <w:rPr>
                <w:rFonts w:cs="Calibri"/>
                <w:sz w:val="20"/>
                <w:szCs w:val="20"/>
              </w:rPr>
              <w:t xml:space="preserve"> – agenda item</w:t>
            </w:r>
          </w:p>
          <w:p w14:paraId="680A3132"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6A0E442C" w14:textId="77777777" w:rsidR="00562631" w:rsidRPr="00D90166" w:rsidRDefault="00562631" w:rsidP="008A7C39">
            <w:pPr>
              <w:spacing w:after="0" w:line="240" w:lineRule="auto"/>
              <w:rPr>
                <w:rFonts w:cs="Calibri"/>
                <w:sz w:val="16"/>
                <w:szCs w:val="16"/>
              </w:rPr>
            </w:pPr>
          </w:p>
        </w:tc>
      </w:tr>
      <w:tr w:rsidR="00562631" w:rsidRPr="008A7C39" w14:paraId="0C82B59A" w14:textId="77777777" w:rsidTr="00D90166">
        <w:tc>
          <w:tcPr>
            <w:tcW w:w="1541" w:type="dxa"/>
            <w:tcBorders>
              <w:top w:val="nil"/>
              <w:left w:val="nil"/>
              <w:bottom w:val="nil"/>
              <w:right w:val="nil"/>
            </w:tcBorders>
          </w:tcPr>
          <w:p w14:paraId="5F6C6A2C" w14:textId="77777777" w:rsidR="00562631" w:rsidRPr="008A7C39" w:rsidRDefault="00562631" w:rsidP="008A7C39">
            <w:pPr>
              <w:spacing w:after="0" w:line="240" w:lineRule="auto"/>
              <w:jc w:val="right"/>
              <w:rPr>
                <w:rFonts w:cs="Calibri"/>
                <w:sz w:val="20"/>
                <w:szCs w:val="20"/>
              </w:rPr>
            </w:pPr>
            <w:r w:rsidRPr="008A7C39">
              <w:rPr>
                <w:rFonts w:cs="Calibri"/>
                <w:sz w:val="20"/>
                <w:szCs w:val="20"/>
              </w:rPr>
              <w:t>12/5.7 refers</w:t>
            </w:r>
          </w:p>
        </w:tc>
        <w:tc>
          <w:tcPr>
            <w:tcW w:w="7147" w:type="dxa"/>
            <w:tcBorders>
              <w:top w:val="nil"/>
              <w:left w:val="nil"/>
              <w:bottom w:val="nil"/>
              <w:right w:val="nil"/>
            </w:tcBorders>
          </w:tcPr>
          <w:p w14:paraId="5D3210F8" w14:textId="77777777" w:rsidR="00562631" w:rsidRPr="00A45D15" w:rsidRDefault="00562631" w:rsidP="008A7C39">
            <w:pPr>
              <w:spacing w:after="0" w:line="240" w:lineRule="auto"/>
              <w:rPr>
                <w:rFonts w:cs="Calibri"/>
                <w:sz w:val="20"/>
                <w:szCs w:val="20"/>
                <w:u w:val="single"/>
              </w:rPr>
            </w:pPr>
            <w:r w:rsidRPr="00A45D15">
              <w:rPr>
                <w:rFonts w:cs="Calibri"/>
                <w:sz w:val="20"/>
                <w:szCs w:val="20"/>
                <w:u w:val="single"/>
              </w:rPr>
              <w:t>Key Information Sets and programme review</w:t>
            </w:r>
          </w:p>
          <w:p w14:paraId="64C1E504"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7D7BAC02" w14:textId="77777777" w:rsidR="00562631" w:rsidRPr="00D90166" w:rsidRDefault="00562631" w:rsidP="008A7C39">
            <w:pPr>
              <w:spacing w:after="0" w:line="240" w:lineRule="auto"/>
              <w:rPr>
                <w:rFonts w:cs="Calibri"/>
                <w:sz w:val="16"/>
                <w:szCs w:val="16"/>
              </w:rPr>
            </w:pPr>
          </w:p>
        </w:tc>
      </w:tr>
      <w:tr w:rsidR="00562631" w:rsidRPr="008A7C39" w14:paraId="0D542ADA" w14:textId="77777777" w:rsidTr="00D90166">
        <w:tc>
          <w:tcPr>
            <w:tcW w:w="1541" w:type="dxa"/>
            <w:tcBorders>
              <w:top w:val="nil"/>
              <w:left w:val="nil"/>
              <w:bottom w:val="nil"/>
              <w:right w:val="nil"/>
            </w:tcBorders>
          </w:tcPr>
          <w:p w14:paraId="0D7D8594" w14:textId="77777777" w:rsidR="00562631" w:rsidRPr="008A7C39" w:rsidRDefault="00562631" w:rsidP="008A7C39">
            <w:pPr>
              <w:spacing w:after="0" w:line="240" w:lineRule="auto"/>
              <w:jc w:val="right"/>
              <w:rPr>
                <w:rFonts w:cs="Calibri"/>
                <w:sz w:val="20"/>
                <w:szCs w:val="20"/>
              </w:rPr>
            </w:pPr>
          </w:p>
        </w:tc>
        <w:tc>
          <w:tcPr>
            <w:tcW w:w="7147" w:type="dxa"/>
            <w:tcBorders>
              <w:top w:val="nil"/>
              <w:left w:val="nil"/>
              <w:bottom w:val="nil"/>
              <w:right w:val="nil"/>
            </w:tcBorders>
          </w:tcPr>
          <w:p w14:paraId="237A2DD3" w14:textId="77777777" w:rsidR="00562631" w:rsidRPr="008A7C39" w:rsidRDefault="00562631" w:rsidP="008A7C39">
            <w:pPr>
              <w:spacing w:after="0" w:line="240" w:lineRule="auto"/>
              <w:rPr>
                <w:rFonts w:cs="Calibri"/>
                <w:sz w:val="20"/>
                <w:szCs w:val="20"/>
              </w:rPr>
            </w:pPr>
            <w:r w:rsidRPr="008A7C39">
              <w:rPr>
                <w:rFonts w:cs="Calibri"/>
                <w:sz w:val="20"/>
                <w:szCs w:val="20"/>
              </w:rPr>
              <w:t>LQC noted that PAS has placed the KIS data on the PAS website.  Inclusion of KIS data as part of review data sets will be incorporated into proposed revisions to the QAH for consideration by May LQC</w:t>
            </w:r>
            <w:r>
              <w:rPr>
                <w:rFonts w:cs="Calibri"/>
                <w:sz w:val="20"/>
                <w:szCs w:val="20"/>
              </w:rPr>
              <w:t>.</w:t>
            </w:r>
          </w:p>
          <w:p w14:paraId="213CADD4"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2FE55E01" w14:textId="77777777" w:rsidR="00562631" w:rsidRPr="00D90166" w:rsidRDefault="00562631" w:rsidP="008A7C39">
            <w:pPr>
              <w:spacing w:after="0" w:line="240" w:lineRule="auto"/>
              <w:rPr>
                <w:rFonts w:cs="Calibri"/>
                <w:sz w:val="16"/>
                <w:szCs w:val="16"/>
              </w:rPr>
            </w:pPr>
          </w:p>
        </w:tc>
      </w:tr>
      <w:tr w:rsidR="00562631" w:rsidRPr="008A7C39" w14:paraId="22B4213D" w14:textId="77777777" w:rsidTr="00D90166">
        <w:tc>
          <w:tcPr>
            <w:tcW w:w="1541" w:type="dxa"/>
            <w:tcBorders>
              <w:top w:val="nil"/>
              <w:left w:val="nil"/>
              <w:bottom w:val="nil"/>
              <w:right w:val="nil"/>
            </w:tcBorders>
          </w:tcPr>
          <w:p w14:paraId="70FCA28B" w14:textId="77777777" w:rsidR="00562631" w:rsidRPr="008A7C39" w:rsidRDefault="00562631" w:rsidP="008A7C39">
            <w:pPr>
              <w:spacing w:after="0" w:line="240" w:lineRule="auto"/>
              <w:jc w:val="right"/>
              <w:rPr>
                <w:rFonts w:cs="Calibri"/>
                <w:sz w:val="20"/>
                <w:szCs w:val="20"/>
              </w:rPr>
            </w:pPr>
            <w:r w:rsidRPr="008A7C39">
              <w:rPr>
                <w:rFonts w:cs="Calibri"/>
                <w:sz w:val="20"/>
                <w:szCs w:val="20"/>
              </w:rPr>
              <w:t>12/5.8 refers</w:t>
            </w:r>
          </w:p>
        </w:tc>
        <w:tc>
          <w:tcPr>
            <w:tcW w:w="7147" w:type="dxa"/>
            <w:tcBorders>
              <w:top w:val="nil"/>
              <w:left w:val="nil"/>
              <w:bottom w:val="nil"/>
              <w:right w:val="nil"/>
            </w:tcBorders>
          </w:tcPr>
          <w:p w14:paraId="26F494ED" w14:textId="77777777" w:rsidR="00562631" w:rsidRPr="00A45D15" w:rsidRDefault="00562631" w:rsidP="008A7C39">
            <w:pPr>
              <w:spacing w:after="0" w:line="240" w:lineRule="auto"/>
              <w:rPr>
                <w:rFonts w:cs="Calibri"/>
                <w:sz w:val="20"/>
                <w:szCs w:val="20"/>
                <w:u w:val="single"/>
              </w:rPr>
            </w:pPr>
            <w:r w:rsidRPr="00A45D15">
              <w:rPr>
                <w:rFonts w:cs="Calibri"/>
                <w:sz w:val="20"/>
                <w:szCs w:val="20"/>
                <w:u w:val="single"/>
              </w:rPr>
              <w:t>QAA Consultation on Institutional Review</w:t>
            </w:r>
          </w:p>
          <w:p w14:paraId="10020744"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38DD73E6" w14:textId="77777777" w:rsidR="00562631" w:rsidRPr="008A7C39" w:rsidRDefault="00562631" w:rsidP="008A7C39">
            <w:pPr>
              <w:spacing w:after="0" w:line="240" w:lineRule="auto"/>
              <w:rPr>
                <w:rFonts w:cs="Calibri"/>
                <w:sz w:val="20"/>
                <w:szCs w:val="20"/>
              </w:rPr>
            </w:pPr>
          </w:p>
        </w:tc>
      </w:tr>
      <w:tr w:rsidR="00562631" w:rsidRPr="008A7C39" w14:paraId="470FF75C" w14:textId="77777777" w:rsidTr="00D90166">
        <w:tc>
          <w:tcPr>
            <w:tcW w:w="1541" w:type="dxa"/>
            <w:tcBorders>
              <w:top w:val="nil"/>
              <w:left w:val="nil"/>
              <w:bottom w:val="nil"/>
              <w:right w:val="nil"/>
            </w:tcBorders>
          </w:tcPr>
          <w:p w14:paraId="736BDD1A" w14:textId="77777777" w:rsidR="00562631" w:rsidRPr="008A7C39" w:rsidRDefault="00562631" w:rsidP="008A7C39">
            <w:pPr>
              <w:spacing w:after="0" w:line="240" w:lineRule="auto"/>
              <w:jc w:val="right"/>
              <w:rPr>
                <w:rFonts w:cs="Calibri"/>
                <w:sz w:val="20"/>
                <w:szCs w:val="20"/>
              </w:rPr>
            </w:pPr>
          </w:p>
        </w:tc>
        <w:tc>
          <w:tcPr>
            <w:tcW w:w="7147" w:type="dxa"/>
            <w:tcBorders>
              <w:top w:val="nil"/>
              <w:left w:val="nil"/>
              <w:bottom w:val="nil"/>
              <w:right w:val="nil"/>
            </w:tcBorders>
          </w:tcPr>
          <w:p w14:paraId="0C0E1447" w14:textId="77777777" w:rsidR="00562631" w:rsidRPr="008A7C39" w:rsidRDefault="00562631" w:rsidP="008A7C39">
            <w:pPr>
              <w:spacing w:after="0" w:line="240" w:lineRule="auto"/>
              <w:rPr>
                <w:rFonts w:cs="Calibri"/>
                <w:sz w:val="20"/>
                <w:szCs w:val="20"/>
              </w:rPr>
            </w:pPr>
            <w:r w:rsidRPr="008A7C39">
              <w:rPr>
                <w:rFonts w:cs="Calibri"/>
                <w:sz w:val="20"/>
                <w:szCs w:val="20"/>
              </w:rPr>
              <w:t xml:space="preserve">This action </w:t>
            </w:r>
            <w:r w:rsidR="008334A4">
              <w:rPr>
                <w:rFonts w:cs="Calibri"/>
                <w:sz w:val="20"/>
                <w:szCs w:val="20"/>
              </w:rPr>
              <w:t xml:space="preserve">is </w:t>
            </w:r>
            <w:r w:rsidRPr="008A7C39">
              <w:rPr>
                <w:rFonts w:cs="Calibri"/>
                <w:sz w:val="20"/>
                <w:szCs w:val="20"/>
              </w:rPr>
              <w:t xml:space="preserve">ongoing in view of </w:t>
            </w:r>
            <w:r>
              <w:rPr>
                <w:rFonts w:cs="Calibri"/>
                <w:sz w:val="20"/>
                <w:szCs w:val="20"/>
              </w:rPr>
              <w:t>22</w:t>
            </w:r>
            <w:r w:rsidRPr="00A45D15">
              <w:rPr>
                <w:rFonts w:cs="Calibri"/>
                <w:sz w:val="20"/>
                <w:szCs w:val="20"/>
                <w:vertAlign w:val="superscript"/>
              </w:rPr>
              <w:t>nd</w:t>
            </w:r>
            <w:r>
              <w:rPr>
                <w:rFonts w:cs="Calibri"/>
                <w:sz w:val="20"/>
                <w:szCs w:val="20"/>
              </w:rPr>
              <w:t xml:space="preserve"> </w:t>
            </w:r>
            <w:r w:rsidRPr="008A7C39">
              <w:rPr>
                <w:rFonts w:cs="Calibri"/>
                <w:sz w:val="20"/>
                <w:szCs w:val="20"/>
              </w:rPr>
              <w:t>April deadline and the final response will be circulated prior to the May meeting of LQC.</w:t>
            </w:r>
          </w:p>
          <w:p w14:paraId="132C9594"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30730191" w14:textId="77777777" w:rsidR="00562631" w:rsidRPr="008A7C39" w:rsidRDefault="00562631" w:rsidP="008A7C39">
            <w:pPr>
              <w:spacing w:after="0" w:line="240" w:lineRule="auto"/>
              <w:rPr>
                <w:rFonts w:cs="Calibri"/>
                <w:sz w:val="20"/>
                <w:szCs w:val="20"/>
              </w:rPr>
            </w:pPr>
          </w:p>
        </w:tc>
      </w:tr>
      <w:tr w:rsidR="00562631" w:rsidRPr="008A7C39" w14:paraId="175BDEFD" w14:textId="77777777" w:rsidTr="00D90166">
        <w:tc>
          <w:tcPr>
            <w:tcW w:w="1541" w:type="dxa"/>
            <w:tcBorders>
              <w:top w:val="nil"/>
              <w:left w:val="nil"/>
              <w:bottom w:val="nil"/>
              <w:right w:val="nil"/>
            </w:tcBorders>
          </w:tcPr>
          <w:p w14:paraId="4A915C8A" w14:textId="77777777" w:rsidR="00562631" w:rsidRPr="008A7C39" w:rsidRDefault="00562631" w:rsidP="008A7C39">
            <w:pPr>
              <w:spacing w:after="0" w:line="240" w:lineRule="auto"/>
              <w:rPr>
                <w:rFonts w:cs="Calibri"/>
                <w:sz w:val="20"/>
                <w:szCs w:val="20"/>
              </w:rPr>
            </w:pPr>
            <w:r w:rsidRPr="008A7C39">
              <w:rPr>
                <w:rFonts w:cs="Calibri"/>
                <w:sz w:val="20"/>
                <w:szCs w:val="20"/>
              </w:rPr>
              <w:t>LQC/12/6.4</w:t>
            </w:r>
          </w:p>
        </w:tc>
        <w:tc>
          <w:tcPr>
            <w:tcW w:w="7147" w:type="dxa"/>
            <w:tcBorders>
              <w:top w:val="nil"/>
              <w:left w:val="nil"/>
              <w:bottom w:val="nil"/>
              <w:right w:val="nil"/>
            </w:tcBorders>
          </w:tcPr>
          <w:p w14:paraId="4597E4FC" w14:textId="77777777" w:rsidR="00562631" w:rsidRPr="008A7C39" w:rsidRDefault="00562631" w:rsidP="008A7C39">
            <w:pPr>
              <w:spacing w:after="0" w:line="240" w:lineRule="auto"/>
              <w:rPr>
                <w:rFonts w:cs="Calibri"/>
                <w:b/>
                <w:sz w:val="20"/>
                <w:szCs w:val="20"/>
              </w:rPr>
            </w:pPr>
            <w:r w:rsidRPr="008A7C39">
              <w:rPr>
                <w:rFonts w:cs="Calibri"/>
                <w:b/>
                <w:sz w:val="20"/>
                <w:szCs w:val="20"/>
              </w:rPr>
              <w:t>The Student Employability Passport</w:t>
            </w:r>
          </w:p>
          <w:p w14:paraId="6F3882FE" w14:textId="77777777" w:rsidR="00562631" w:rsidRPr="008A7C39" w:rsidRDefault="00562631" w:rsidP="008A7C39">
            <w:pPr>
              <w:spacing w:after="0" w:line="240" w:lineRule="auto"/>
              <w:rPr>
                <w:rFonts w:cs="Calibri"/>
                <w:b/>
                <w:sz w:val="20"/>
                <w:szCs w:val="20"/>
              </w:rPr>
            </w:pPr>
          </w:p>
        </w:tc>
        <w:tc>
          <w:tcPr>
            <w:tcW w:w="1050" w:type="dxa"/>
            <w:tcBorders>
              <w:top w:val="nil"/>
              <w:left w:val="nil"/>
              <w:bottom w:val="nil"/>
              <w:right w:val="nil"/>
            </w:tcBorders>
          </w:tcPr>
          <w:p w14:paraId="6606363E" w14:textId="77777777" w:rsidR="00562631" w:rsidRPr="008A7C39" w:rsidRDefault="00562631" w:rsidP="008A7C39">
            <w:pPr>
              <w:spacing w:after="0" w:line="240" w:lineRule="auto"/>
              <w:rPr>
                <w:rFonts w:cs="Calibri"/>
                <w:sz w:val="20"/>
                <w:szCs w:val="20"/>
              </w:rPr>
            </w:pPr>
          </w:p>
        </w:tc>
      </w:tr>
      <w:tr w:rsidR="00562631" w:rsidRPr="008A7C39" w14:paraId="178D18B8" w14:textId="77777777" w:rsidTr="00D90166">
        <w:tc>
          <w:tcPr>
            <w:tcW w:w="1541" w:type="dxa"/>
            <w:tcBorders>
              <w:top w:val="nil"/>
              <w:left w:val="nil"/>
              <w:bottom w:val="nil"/>
              <w:right w:val="nil"/>
            </w:tcBorders>
          </w:tcPr>
          <w:p w14:paraId="3A864A0E" w14:textId="77777777" w:rsidR="00562631" w:rsidRPr="008A7C39" w:rsidRDefault="00562631" w:rsidP="008A7C39">
            <w:pPr>
              <w:spacing w:after="0" w:line="240" w:lineRule="auto"/>
              <w:rPr>
                <w:rFonts w:cs="Calibri"/>
                <w:sz w:val="20"/>
                <w:szCs w:val="20"/>
              </w:rPr>
            </w:pPr>
          </w:p>
        </w:tc>
        <w:tc>
          <w:tcPr>
            <w:tcW w:w="7147" w:type="dxa"/>
            <w:tcBorders>
              <w:top w:val="nil"/>
              <w:left w:val="nil"/>
              <w:bottom w:val="nil"/>
              <w:right w:val="nil"/>
            </w:tcBorders>
          </w:tcPr>
          <w:p w14:paraId="4CD3D320" w14:textId="77777777" w:rsidR="00562631" w:rsidRPr="008A7C39" w:rsidRDefault="00562631" w:rsidP="008A7C39">
            <w:pPr>
              <w:spacing w:after="0" w:line="240" w:lineRule="auto"/>
              <w:rPr>
                <w:rFonts w:cs="Calibri"/>
                <w:sz w:val="20"/>
                <w:szCs w:val="20"/>
              </w:rPr>
            </w:pPr>
            <w:r w:rsidRPr="008A7C39">
              <w:rPr>
                <w:rFonts w:cs="Calibri"/>
                <w:sz w:val="20"/>
                <w:szCs w:val="20"/>
              </w:rPr>
              <w:t>At the request of the committee</w:t>
            </w:r>
            <w:r w:rsidR="00C31822">
              <w:rPr>
                <w:rFonts w:cs="Calibri"/>
                <w:sz w:val="20"/>
                <w:szCs w:val="20"/>
              </w:rPr>
              <w:t>,</w:t>
            </w:r>
            <w:r w:rsidRPr="008A7C39">
              <w:rPr>
                <w:rFonts w:cs="Calibri"/>
                <w:sz w:val="20"/>
                <w:szCs w:val="20"/>
              </w:rPr>
              <w:t xml:space="preserve"> Business </w:t>
            </w:r>
            <w:r>
              <w:rPr>
                <w:rFonts w:cs="Calibri"/>
                <w:sz w:val="20"/>
                <w:szCs w:val="20"/>
              </w:rPr>
              <w:t>Faculty</w:t>
            </w:r>
            <w:r w:rsidRPr="008A7C39">
              <w:rPr>
                <w:rFonts w:cs="Calibri"/>
                <w:sz w:val="20"/>
                <w:szCs w:val="20"/>
              </w:rPr>
              <w:t xml:space="preserve"> representatives made a presentation which covered the </w:t>
            </w:r>
            <w:r w:rsidR="00C31822">
              <w:rPr>
                <w:rFonts w:cs="Calibri"/>
                <w:sz w:val="20"/>
                <w:szCs w:val="20"/>
              </w:rPr>
              <w:t xml:space="preserve">Student Employability Passport that had been developed by the Business </w:t>
            </w:r>
            <w:r w:rsidRPr="008A7C39">
              <w:rPr>
                <w:rFonts w:cs="Calibri"/>
                <w:sz w:val="20"/>
                <w:szCs w:val="20"/>
              </w:rPr>
              <w:t xml:space="preserve">School.  </w:t>
            </w:r>
            <w:r>
              <w:rPr>
                <w:rFonts w:cs="Calibri"/>
                <w:sz w:val="20"/>
                <w:szCs w:val="20"/>
              </w:rPr>
              <w:t>The Faculty project</w:t>
            </w:r>
            <w:r w:rsidRPr="008A7C39">
              <w:rPr>
                <w:rFonts w:cs="Calibri"/>
                <w:sz w:val="20"/>
                <w:szCs w:val="20"/>
              </w:rPr>
              <w:t xml:space="preserve"> has now been running for 9 months</w:t>
            </w:r>
            <w:r>
              <w:rPr>
                <w:rFonts w:cs="Calibri"/>
                <w:sz w:val="20"/>
                <w:szCs w:val="20"/>
              </w:rPr>
              <w:t xml:space="preserve"> and</w:t>
            </w:r>
            <w:r w:rsidRPr="008A7C39">
              <w:rPr>
                <w:rFonts w:cs="Calibri"/>
                <w:sz w:val="20"/>
                <w:szCs w:val="20"/>
              </w:rPr>
              <w:t xml:space="preserve"> focuses on development of “soft” skills and is aiming to be integrated with other University initiatives, such as Greenwich Graduate Attributes.  The </w:t>
            </w:r>
            <w:r>
              <w:rPr>
                <w:rFonts w:cs="Calibri"/>
                <w:sz w:val="20"/>
                <w:szCs w:val="20"/>
              </w:rPr>
              <w:t>Faculty</w:t>
            </w:r>
            <w:r w:rsidRPr="008A7C39">
              <w:rPr>
                <w:rFonts w:cs="Calibri"/>
                <w:sz w:val="20"/>
                <w:szCs w:val="20"/>
              </w:rPr>
              <w:t xml:space="preserve"> has established an employability office to manage </w:t>
            </w:r>
            <w:r>
              <w:rPr>
                <w:rFonts w:cs="Calibri"/>
                <w:sz w:val="20"/>
                <w:szCs w:val="20"/>
              </w:rPr>
              <w:t>its</w:t>
            </w:r>
            <w:r w:rsidRPr="008A7C39">
              <w:rPr>
                <w:rFonts w:cs="Calibri"/>
                <w:sz w:val="20"/>
                <w:szCs w:val="20"/>
              </w:rPr>
              <w:t xml:space="preserve"> administration and development.</w:t>
            </w:r>
            <w:r>
              <w:rPr>
                <w:rFonts w:cs="Calibri"/>
                <w:sz w:val="20"/>
                <w:szCs w:val="20"/>
              </w:rPr>
              <w:t xml:space="preserve">  T</w:t>
            </w:r>
            <w:r w:rsidRPr="008A7C39">
              <w:rPr>
                <w:rFonts w:cs="Calibri"/>
                <w:sz w:val="20"/>
                <w:szCs w:val="20"/>
              </w:rPr>
              <w:t xml:space="preserve">he scheme is based on a points system, points being accrued for a wide range of verifiable activities and with students needing to obtain 200 across 3 years.  The School has devised key progression points within this time frame with the aim of achieving learning through activity.  Examples include volunteering, work within the University, prizes, mentoring, ambassadorship and other non-academic related activities.  </w:t>
            </w:r>
          </w:p>
          <w:p w14:paraId="75575CDF" w14:textId="77777777" w:rsidR="00562631" w:rsidRPr="008A7C39" w:rsidRDefault="00562631" w:rsidP="008A7C39">
            <w:pPr>
              <w:spacing w:after="0" w:line="240" w:lineRule="auto"/>
              <w:rPr>
                <w:rFonts w:cs="Calibri"/>
                <w:sz w:val="20"/>
                <w:szCs w:val="20"/>
              </w:rPr>
            </w:pPr>
          </w:p>
          <w:p w14:paraId="3392C695" w14:textId="59D13CBE" w:rsidR="00562631" w:rsidRPr="008A7C39" w:rsidRDefault="00562631" w:rsidP="008A7C39">
            <w:pPr>
              <w:spacing w:after="0" w:line="240" w:lineRule="auto"/>
              <w:rPr>
                <w:rFonts w:cs="Calibri"/>
                <w:sz w:val="20"/>
                <w:szCs w:val="20"/>
              </w:rPr>
            </w:pPr>
            <w:r w:rsidRPr="008A7C39">
              <w:rPr>
                <w:rFonts w:cs="Calibri"/>
                <w:sz w:val="20"/>
                <w:szCs w:val="20"/>
              </w:rPr>
              <w:t xml:space="preserve">LQC noted that this development will enable the </w:t>
            </w:r>
            <w:r w:rsidR="0089447B">
              <w:rPr>
                <w:rFonts w:cs="Calibri"/>
                <w:sz w:val="20"/>
                <w:szCs w:val="20"/>
              </w:rPr>
              <w:t>Faculty</w:t>
            </w:r>
            <w:r w:rsidR="0089447B" w:rsidRPr="008A7C39">
              <w:rPr>
                <w:rFonts w:cs="Calibri"/>
                <w:sz w:val="20"/>
                <w:szCs w:val="20"/>
              </w:rPr>
              <w:t xml:space="preserve"> </w:t>
            </w:r>
            <w:r w:rsidRPr="008A7C39">
              <w:rPr>
                <w:rFonts w:cs="Calibri"/>
                <w:sz w:val="20"/>
                <w:szCs w:val="20"/>
              </w:rPr>
              <w:t>to supply a good dataset for its students to the HEAR, once the HEAR is established, in addition to a physical “passport” that indicates the activities i</w:t>
            </w:r>
            <w:r>
              <w:rPr>
                <w:rFonts w:cs="Calibri"/>
                <w:sz w:val="20"/>
                <w:szCs w:val="20"/>
              </w:rPr>
              <w:t xml:space="preserve">n which the student has engaged.  The format of the “passport” was agreed through student consultation exercises. </w:t>
            </w:r>
          </w:p>
          <w:p w14:paraId="40FF2E33" w14:textId="53514E68" w:rsidR="00562631" w:rsidRPr="008A7C39" w:rsidRDefault="0089447B" w:rsidP="008A7C39">
            <w:pPr>
              <w:spacing w:after="0" w:line="240" w:lineRule="auto"/>
              <w:rPr>
                <w:rFonts w:cs="Calibri"/>
                <w:sz w:val="20"/>
                <w:szCs w:val="20"/>
              </w:rPr>
            </w:pPr>
            <w:r>
              <w:rPr>
                <w:rFonts w:cs="Calibri"/>
                <w:sz w:val="20"/>
                <w:szCs w:val="20"/>
              </w:rPr>
              <w:t>Faculty</w:t>
            </w:r>
            <w:r w:rsidR="00562631" w:rsidRPr="008A7C39">
              <w:rPr>
                <w:rFonts w:cs="Calibri"/>
                <w:sz w:val="20"/>
                <w:szCs w:val="20"/>
              </w:rPr>
              <w:t xml:space="preserve"> noted that resource implications indicate that a minimum of two key staff are needed initially:  one to devise, nurture and manage the project and at least one senior “champion” within the Faculty or School structure as well as administrative support.  The </w:t>
            </w:r>
            <w:r>
              <w:rPr>
                <w:rFonts w:cs="Calibri"/>
                <w:sz w:val="20"/>
                <w:szCs w:val="20"/>
              </w:rPr>
              <w:t>Faculty</w:t>
            </w:r>
            <w:r w:rsidRPr="008A7C39">
              <w:rPr>
                <w:rFonts w:cs="Calibri"/>
                <w:sz w:val="20"/>
                <w:szCs w:val="20"/>
              </w:rPr>
              <w:t xml:space="preserve"> </w:t>
            </w:r>
            <w:r w:rsidR="00562631" w:rsidRPr="008A7C39">
              <w:rPr>
                <w:rFonts w:cs="Calibri"/>
                <w:sz w:val="20"/>
                <w:szCs w:val="20"/>
              </w:rPr>
              <w:t>was of the opinion that commitment of such resource is, longer term, invaluable to the employability of Greenwich students.</w:t>
            </w:r>
          </w:p>
          <w:p w14:paraId="189C448E" w14:textId="77777777" w:rsidR="00562631" w:rsidRPr="008A7C39" w:rsidRDefault="00562631" w:rsidP="008A7C39">
            <w:pPr>
              <w:spacing w:after="0" w:line="240" w:lineRule="auto"/>
              <w:rPr>
                <w:rFonts w:cs="Calibri"/>
                <w:sz w:val="20"/>
                <w:szCs w:val="20"/>
              </w:rPr>
            </w:pPr>
          </w:p>
          <w:p w14:paraId="3DFEAFE3" w14:textId="77777777" w:rsidR="00562631" w:rsidRPr="008A7C39" w:rsidRDefault="00562631" w:rsidP="008A7C39">
            <w:pPr>
              <w:spacing w:after="0" w:line="240" w:lineRule="auto"/>
              <w:rPr>
                <w:rFonts w:cs="Calibri"/>
                <w:sz w:val="20"/>
                <w:szCs w:val="20"/>
              </w:rPr>
            </w:pPr>
            <w:r w:rsidRPr="008A7C39">
              <w:rPr>
                <w:rFonts w:cs="Calibri"/>
                <w:sz w:val="20"/>
                <w:szCs w:val="20"/>
              </w:rPr>
              <w:t xml:space="preserve">The committee found the initiative stimulating and noted points for more general consideration:  </w:t>
            </w:r>
          </w:p>
          <w:p w14:paraId="6EAE690F" w14:textId="77777777" w:rsidR="00562631" w:rsidRPr="008A7C39" w:rsidRDefault="00562631" w:rsidP="008A7C39">
            <w:pPr>
              <w:spacing w:after="0" w:line="240" w:lineRule="auto"/>
              <w:rPr>
                <w:rFonts w:cs="Calibri"/>
                <w:sz w:val="20"/>
                <w:szCs w:val="20"/>
              </w:rPr>
            </w:pPr>
          </w:p>
          <w:p w14:paraId="34015D3C" w14:textId="77777777" w:rsidR="00562631" w:rsidRPr="008A7C39" w:rsidRDefault="00562631" w:rsidP="008A7C39">
            <w:pPr>
              <w:pStyle w:val="ListParagraph"/>
              <w:numPr>
                <w:ilvl w:val="0"/>
                <w:numId w:val="31"/>
              </w:numPr>
              <w:spacing w:after="0" w:line="240" w:lineRule="auto"/>
              <w:rPr>
                <w:rFonts w:cs="Calibri"/>
                <w:sz w:val="20"/>
                <w:szCs w:val="20"/>
              </w:rPr>
            </w:pPr>
            <w:r>
              <w:rPr>
                <w:rFonts w:cs="Calibri"/>
                <w:sz w:val="20"/>
                <w:szCs w:val="20"/>
              </w:rPr>
              <w:t>T</w:t>
            </w:r>
            <w:r w:rsidRPr="008A7C39">
              <w:rPr>
                <w:rFonts w:cs="Calibri"/>
                <w:sz w:val="20"/>
                <w:szCs w:val="20"/>
              </w:rPr>
              <w:t>hat the award of points within this system for “passive” activities such as attend</w:t>
            </w:r>
            <w:r w:rsidR="00C31822">
              <w:rPr>
                <w:rFonts w:cs="Calibri"/>
                <w:sz w:val="20"/>
                <w:szCs w:val="20"/>
              </w:rPr>
              <w:t>ing certain types of lecture or</w:t>
            </w:r>
            <w:r w:rsidRPr="008A7C39">
              <w:rPr>
                <w:rFonts w:cs="Calibri"/>
                <w:sz w:val="20"/>
                <w:szCs w:val="20"/>
              </w:rPr>
              <w:t xml:space="preserve"> event ought to be treated with caution; </w:t>
            </w:r>
          </w:p>
          <w:p w14:paraId="33629925" w14:textId="77777777" w:rsidR="00562631" w:rsidRPr="008A7C39" w:rsidRDefault="00562631" w:rsidP="008A7C39">
            <w:pPr>
              <w:spacing w:after="0" w:line="240" w:lineRule="auto"/>
              <w:rPr>
                <w:rFonts w:cs="Calibri"/>
                <w:sz w:val="20"/>
                <w:szCs w:val="20"/>
              </w:rPr>
            </w:pPr>
          </w:p>
          <w:p w14:paraId="6899EBD1" w14:textId="77777777" w:rsidR="00562631" w:rsidRPr="008A7C39" w:rsidRDefault="00562631" w:rsidP="008A7C39">
            <w:pPr>
              <w:pStyle w:val="ListParagraph"/>
              <w:numPr>
                <w:ilvl w:val="0"/>
                <w:numId w:val="31"/>
              </w:numPr>
              <w:spacing w:after="0" w:line="240" w:lineRule="auto"/>
              <w:rPr>
                <w:rFonts w:cs="Calibri"/>
                <w:sz w:val="20"/>
                <w:szCs w:val="20"/>
              </w:rPr>
            </w:pPr>
            <w:r w:rsidRPr="008A7C39">
              <w:rPr>
                <w:rFonts w:cs="Calibri"/>
                <w:sz w:val="20"/>
                <w:szCs w:val="20"/>
              </w:rPr>
              <w:lastRenderedPageBreak/>
              <w:t>That the recording system appears very onerous administratively and streamlining potential ought to be investigated.</w:t>
            </w:r>
          </w:p>
          <w:p w14:paraId="73F8A6C9" w14:textId="77777777" w:rsidR="00562631" w:rsidRPr="008A7C39" w:rsidRDefault="00562631" w:rsidP="008A7C39">
            <w:pPr>
              <w:spacing w:after="0" w:line="240" w:lineRule="auto"/>
              <w:rPr>
                <w:rFonts w:cs="Calibri"/>
                <w:sz w:val="20"/>
                <w:szCs w:val="20"/>
              </w:rPr>
            </w:pPr>
          </w:p>
          <w:p w14:paraId="25236282" w14:textId="4F59A234" w:rsidR="00562631" w:rsidRPr="008A7C39" w:rsidRDefault="00562631" w:rsidP="008A7C39">
            <w:pPr>
              <w:spacing w:after="0" w:line="240" w:lineRule="auto"/>
              <w:rPr>
                <w:rFonts w:cs="Calibri"/>
                <w:sz w:val="20"/>
                <w:szCs w:val="20"/>
              </w:rPr>
            </w:pPr>
            <w:r w:rsidRPr="008A7C39">
              <w:rPr>
                <w:rFonts w:cs="Calibri"/>
                <w:sz w:val="20"/>
                <w:szCs w:val="20"/>
              </w:rPr>
              <w:t xml:space="preserve">The </w:t>
            </w:r>
            <w:r w:rsidR="0089447B">
              <w:rPr>
                <w:rFonts w:cs="Calibri"/>
                <w:sz w:val="20"/>
                <w:szCs w:val="20"/>
              </w:rPr>
              <w:t>Faculty</w:t>
            </w:r>
            <w:r w:rsidR="0089447B" w:rsidRPr="008A7C39">
              <w:rPr>
                <w:rFonts w:cs="Calibri"/>
                <w:sz w:val="20"/>
                <w:szCs w:val="20"/>
              </w:rPr>
              <w:t xml:space="preserve"> </w:t>
            </w:r>
            <w:r w:rsidRPr="008A7C39">
              <w:rPr>
                <w:rFonts w:cs="Calibri"/>
                <w:sz w:val="20"/>
                <w:szCs w:val="20"/>
              </w:rPr>
              <w:t>agreed that it may set up discussion sessions for other Schools should they wish to take this forward in a similar manner.</w:t>
            </w:r>
          </w:p>
          <w:p w14:paraId="5986E7DF" w14:textId="77777777" w:rsidR="00562631" w:rsidRPr="008A7C39" w:rsidRDefault="00562631" w:rsidP="008A7C39">
            <w:pPr>
              <w:spacing w:after="0" w:line="240" w:lineRule="auto"/>
              <w:rPr>
                <w:rFonts w:cs="Calibri"/>
                <w:sz w:val="20"/>
                <w:szCs w:val="20"/>
              </w:rPr>
            </w:pPr>
          </w:p>
        </w:tc>
        <w:tc>
          <w:tcPr>
            <w:tcW w:w="1050" w:type="dxa"/>
            <w:tcBorders>
              <w:top w:val="nil"/>
              <w:left w:val="nil"/>
              <w:bottom w:val="nil"/>
              <w:right w:val="nil"/>
            </w:tcBorders>
          </w:tcPr>
          <w:p w14:paraId="277A3D44" w14:textId="77777777" w:rsidR="00562631" w:rsidRPr="008A7C39" w:rsidRDefault="00562631" w:rsidP="008A7C39">
            <w:pPr>
              <w:spacing w:after="0" w:line="240" w:lineRule="auto"/>
              <w:rPr>
                <w:rFonts w:cs="Calibri"/>
                <w:sz w:val="20"/>
                <w:szCs w:val="20"/>
              </w:rPr>
            </w:pPr>
          </w:p>
        </w:tc>
      </w:tr>
      <w:tr w:rsidR="00562631" w:rsidRPr="008A7C39" w14:paraId="71673041" w14:textId="77777777" w:rsidTr="00D90166">
        <w:tc>
          <w:tcPr>
            <w:tcW w:w="1541" w:type="dxa"/>
            <w:tcBorders>
              <w:top w:val="nil"/>
              <w:left w:val="nil"/>
              <w:bottom w:val="nil"/>
              <w:right w:val="nil"/>
            </w:tcBorders>
          </w:tcPr>
          <w:p w14:paraId="1AFA1B78"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lastRenderedPageBreak/>
              <w:t>Action</w:t>
            </w:r>
          </w:p>
        </w:tc>
        <w:tc>
          <w:tcPr>
            <w:tcW w:w="7147" w:type="dxa"/>
            <w:tcBorders>
              <w:top w:val="nil"/>
              <w:left w:val="nil"/>
              <w:bottom w:val="nil"/>
              <w:right w:val="nil"/>
            </w:tcBorders>
          </w:tcPr>
          <w:p w14:paraId="07FC8F28"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 xml:space="preserve">Schools interested in attending discussion sessions of the </w:t>
            </w:r>
            <w:r>
              <w:rPr>
                <w:rFonts w:cs="Calibri"/>
                <w:b/>
                <w:color w:val="FF0000"/>
                <w:sz w:val="20"/>
                <w:szCs w:val="20"/>
              </w:rPr>
              <w:t xml:space="preserve">Business Faculty </w:t>
            </w:r>
            <w:r w:rsidRPr="008A7C39">
              <w:rPr>
                <w:rFonts w:cs="Calibri"/>
                <w:b/>
                <w:color w:val="FF0000"/>
                <w:sz w:val="20"/>
                <w:szCs w:val="20"/>
              </w:rPr>
              <w:t>Employability Passport initiative to contact the project Manager, Nicky Garsten, and indicate attendance numbers.</w:t>
            </w:r>
          </w:p>
          <w:p w14:paraId="7F0CACB9" w14:textId="77777777" w:rsidR="00562631" w:rsidRPr="008A7C39" w:rsidRDefault="00562631" w:rsidP="008A7C39">
            <w:pPr>
              <w:spacing w:after="0" w:line="240" w:lineRule="auto"/>
              <w:rPr>
                <w:rFonts w:cs="Calibri"/>
                <w:b/>
                <w:color w:val="FF0000"/>
                <w:sz w:val="20"/>
                <w:szCs w:val="20"/>
              </w:rPr>
            </w:pPr>
          </w:p>
        </w:tc>
        <w:tc>
          <w:tcPr>
            <w:tcW w:w="1050" w:type="dxa"/>
            <w:tcBorders>
              <w:top w:val="nil"/>
              <w:left w:val="nil"/>
              <w:bottom w:val="nil"/>
              <w:right w:val="nil"/>
            </w:tcBorders>
          </w:tcPr>
          <w:p w14:paraId="244B2214"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DLQ</w:t>
            </w:r>
          </w:p>
        </w:tc>
      </w:tr>
      <w:tr w:rsidR="00562631" w:rsidRPr="008A7C39" w14:paraId="7B9A2A8D"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1EB32966" w14:textId="77777777" w:rsidR="00562631" w:rsidRPr="008A7C39" w:rsidRDefault="00562631" w:rsidP="008A7C39">
            <w:pPr>
              <w:spacing w:after="0" w:line="240" w:lineRule="auto"/>
              <w:rPr>
                <w:rFonts w:cs="Calibri"/>
                <w:sz w:val="20"/>
                <w:szCs w:val="20"/>
              </w:rPr>
            </w:pPr>
            <w:r w:rsidRPr="008A7C39">
              <w:rPr>
                <w:rFonts w:cs="Calibri"/>
                <w:sz w:val="20"/>
                <w:szCs w:val="20"/>
              </w:rPr>
              <w:t>QC/12/6.5</w:t>
            </w:r>
          </w:p>
        </w:tc>
        <w:tc>
          <w:tcPr>
            <w:tcW w:w="7147" w:type="dxa"/>
          </w:tcPr>
          <w:p w14:paraId="5A47E43A" w14:textId="77777777" w:rsidR="00562631" w:rsidRDefault="00562631" w:rsidP="008A7C39">
            <w:pPr>
              <w:spacing w:after="0" w:line="240" w:lineRule="auto"/>
              <w:rPr>
                <w:rFonts w:cs="Calibri"/>
                <w:b/>
                <w:sz w:val="20"/>
                <w:szCs w:val="20"/>
              </w:rPr>
            </w:pPr>
            <w:r w:rsidRPr="008A7C39">
              <w:rPr>
                <w:rFonts w:cs="Calibri"/>
                <w:b/>
                <w:sz w:val="20"/>
                <w:szCs w:val="20"/>
              </w:rPr>
              <w:t>Student Representation on Approval and Review Panels</w:t>
            </w:r>
          </w:p>
          <w:p w14:paraId="130B6B6D" w14:textId="77777777" w:rsidR="00562631" w:rsidRPr="008A7C39" w:rsidRDefault="00562631" w:rsidP="008A7C39">
            <w:pPr>
              <w:spacing w:after="0" w:line="240" w:lineRule="auto"/>
              <w:rPr>
                <w:rFonts w:cs="Calibri"/>
                <w:b/>
                <w:sz w:val="20"/>
                <w:szCs w:val="20"/>
              </w:rPr>
            </w:pPr>
          </w:p>
        </w:tc>
        <w:tc>
          <w:tcPr>
            <w:tcW w:w="1050" w:type="dxa"/>
          </w:tcPr>
          <w:p w14:paraId="3824ECB8" w14:textId="77777777" w:rsidR="00562631" w:rsidRPr="00D90166" w:rsidRDefault="00562631" w:rsidP="008A7C39">
            <w:pPr>
              <w:spacing w:after="0" w:line="240" w:lineRule="auto"/>
              <w:rPr>
                <w:rFonts w:cs="Calibri"/>
                <w:sz w:val="16"/>
                <w:szCs w:val="16"/>
              </w:rPr>
            </w:pPr>
          </w:p>
        </w:tc>
      </w:tr>
      <w:tr w:rsidR="00562631" w:rsidRPr="008A7C39" w14:paraId="2C2EFBE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645F7003" w14:textId="77777777" w:rsidR="00562631" w:rsidRPr="008A7C39" w:rsidRDefault="00562631" w:rsidP="008A7C39">
            <w:pPr>
              <w:spacing w:after="0" w:line="240" w:lineRule="auto"/>
              <w:rPr>
                <w:rFonts w:cs="Calibri"/>
                <w:sz w:val="20"/>
                <w:szCs w:val="20"/>
              </w:rPr>
            </w:pPr>
          </w:p>
        </w:tc>
        <w:tc>
          <w:tcPr>
            <w:tcW w:w="7147" w:type="dxa"/>
          </w:tcPr>
          <w:p w14:paraId="3C59089E" w14:textId="77777777" w:rsidR="00562631" w:rsidRPr="008A7C39" w:rsidRDefault="00562631" w:rsidP="008A7C39">
            <w:pPr>
              <w:spacing w:after="0" w:line="240" w:lineRule="auto"/>
              <w:rPr>
                <w:rFonts w:cs="Calibri"/>
                <w:sz w:val="20"/>
                <w:szCs w:val="20"/>
              </w:rPr>
            </w:pPr>
            <w:r w:rsidRPr="008A7C39">
              <w:rPr>
                <w:rFonts w:cs="Calibri"/>
                <w:sz w:val="20"/>
                <w:szCs w:val="20"/>
              </w:rPr>
              <w:t xml:space="preserve">LQC received a second draft of a paper proposing to appoint student representatives onto approval and review panels on a pilot basis in 2013-14.  Whilst the paper had gone some way in addressing the issues raised by the first draft, LQC requested further changes and simplifications before a final version is presented to Academic Council.  LQC noted the additional cost of about £200 per event which would amount to some £6000 - £8000 </w:t>
            </w:r>
            <w:r>
              <w:rPr>
                <w:rFonts w:cs="Calibri"/>
                <w:sz w:val="20"/>
                <w:szCs w:val="20"/>
              </w:rPr>
              <w:t xml:space="preserve">per annum </w:t>
            </w:r>
            <w:r w:rsidRPr="008A7C39">
              <w:rPr>
                <w:rFonts w:cs="Calibri"/>
                <w:sz w:val="20"/>
                <w:szCs w:val="20"/>
              </w:rPr>
              <w:t>should the proposal be adopted in full.</w:t>
            </w:r>
          </w:p>
          <w:p w14:paraId="3EAC73F5" w14:textId="77777777" w:rsidR="00562631" w:rsidRPr="008A7C39" w:rsidRDefault="00562631" w:rsidP="008A7C39">
            <w:pPr>
              <w:spacing w:after="0" w:line="240" w:lineRule="auto"/>
              <w:rPr>
                <w:rFonts w:cs="Calibri"/>
                <w:sz w:val="20"/>
                <w:szCs w:val="20"/>
              </w:rPr>
            </w:pPr>
          </w:p>
        </w:tc>
        <w:tc>
          <w:tcPr>
            <w:tcW w:w="1050" w:type="dxa"/>
          </w:tcPr>
          <w:p w14:paraId="78E960AE" w14:textId="77777777" w:rsidR="00562631" w:rsidRPr="00D90166" w:rsidRDefault="00562631" w:rsidP="008A7C39">
            <w:pPr>
              <w:spacing w:after="0" w:line="240" w:lineRule="auto"/>
              <w:rPr>
                <w:rFonts w:cs="Calibri"/>
                <w:sz w:val="16"/>
                <w:szCs w:val="16"/>
              </w:rPr>
            </w:pPr>
          </w:p>
        </w:tc>
      </w:tr>
      <w:tr w:rsidR="00562631" w:rsidRPr="008A7C39" w14:paraId="10C4AE9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2181CC91"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Action</w:t>
            </w:r>
          </w:p>
        </w:tc>
        <w:tc>
          <w:tcPr>
            <w:tcW w:w="7147" w:type="dxa"/>
          </w:tcPr>
          <w:p w14:paraId="0B91AAC0"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Final draft of Student Representation paper to be drawn up and the paper to be agreed by the Chair prior to submission to Academic Council</w:t>
            </w:r>
          </w:p>
          <w:p w14:paraId="6E503395" w14:textId="77777777" w:rsidR="00562631" w:rsidRPr="008A7C39" w:rsidRDefault="00562631" w:rsidP="008A7C39">
            <w:pPr>
              <w:spacing w:after="0" w:line="240" w:lineRule="auto"/>
              <w:rPr>
                <w:rFonts w:cs="Calibri"/>
                <w:b/>
                <w:color w:val="FF0000"/>
                <w:sz w:val="20"/>
                <w:szCs w:val="20"/>
              </w:rPr>
            </w:pPr>
          </w:p>
        </w:tc>
        <w:tc>
          <w:tcPr>
            <w:tcW w:w="1050" w:type="dxa"/>
          </w:tcPr>
          <w:p w14:paraId="15D7BEF0"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LQU</w:t>
            </w:r>
          </w:p>
        </w:tc>
      </w:tr>
      <w:tr w:rsidR="00562631" w:rsidRPr="008A7C39" w14:paraId="278D090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6469BF0D" w14:textId="77777777" w:rsidR="00562631" w:rsidRPr="008A7C39" w:rsidRDefault="00562631" w:rsidP="008A7C39">
            <w:pPr>
              <w:spacing w:after="0" w:line="240" w:lineRule="auto"/>
              <w:rPr>
                <w:rFonts w:cs="Calibri"/>
                <w:sz w:val="20"/>
                <w:szCs w:val="20"/>
              </w:rPr>
            </w:pPr>
            <w:r w:rsidRPr="008A7C39">
              <w:rPr>
                <w:rFonts w:cs="Calibri"/>
                <w:sz w:val="20"/>
                <w:szCs w:val="20"/>
              </w:rPr>
              <w:br w:type="page"/>
              <w:t>LQC/12/6.6</w:t>
            </w:r>
          </w:p>
        </w:tc>
        <w:tc>
          <w:tcPr>
            <w:tcW w:w="7147" w:type="dxa"/>
          </w:tcPr>
          <w:p w14:paraId="47D32F69" w14:textId="77777777" w:rsidR="00562631" w:rsidRDefault="00562631" w:rsidP="008A7C39">
            <w:pPr>
              <w:spacing w:after="0" w:line="240" w:lineRule="auto"/>
              <w:rPr>
                <w:rFonts w:cs="Calibri"/>
                <w:b/>
                <w:sz w:val="20"/>
                <w:szCs w:val="20"/>
              </w:rPr>
            </w:pPr>
            <w:r w:rsidRPr="008A7C39">
              <w:rPr>
                <w:rFonts w:cs="Calibri"/>
                <w:b/>
                <w:sz w:val="20"/>
                <w:szCs w:val="20"/>
              </w:rPr>
              <w:t>Professional and Statutory Bodies</w:t>
            </w:r>
          </w:p>
          <w:p w14:paraId="0BCEB93F" w14:textId="77777777" w:rsidR="00562631" w:rsidRPr="008A7C39" w:rsidRDefault="00562631" w:rsidP="008A7C39">
            <w:pPr>
              <w:spacing w:after="0" w:line="240" w:lineRule="auto"/>
              <w:rPr>
                <w:rFonts w:cs="Calibri"/>
                <w:b/>
                <w:sz w:val="20"/>
                <w:szCs w:val="20"/>
              </w:rPr>
            </w:pPr>
          </w:p>
        </w:tc>
        <w:tc>
          <w:tcPr>
            <w:tcW w:w="1050" w:type="dxa"/>
          </w:tcPr>
          <w:p w14:paraId="14A56128" w14:textId="77777777" w:rsidR="00562631" w:rsidRPr="00D90166" w:rsidRDefault="00562631" w:rsidP="008A7C39">
            <w:pPr>
              <w:spacing w:after="0" w:line="240" w:lineRule="auto"/>
              <w:rPr>
                <w:rFonts w:cs="Calibri"/>
                <w:sz w:val="16"/>
                <w:szCs w:val="16"/>
              </w:rPr>
            </w:pPr>
          </w:p>
        </w:tc>
      </w:tr>
      <w:tr w:rsidR="00562631" w:rsidRPr="008A7C39" w14:paraId="12536265"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689F6485" w14:textId="77777777" w:rsidR="00562631" w:rsidRPr="008A7C39" w:rsidRDefault="00562631" w:rsidP="00A45D15">
            <w:pPr>
              <w:spacing w:after="0" w:line="240" w:lineRule="auto"/>
              <w:jc w:val="right"/>
              <w:rPr>
                <w:rFonts w:cs="Calibri"/>
                <w:sz w:val="20"/>
                <w:szCs w:val="20"/>
              </w:rPr>
            </w:pPr>
            <w:r w:rsidRPr="008A7C39">
              <w:rPr>
                <w:rFonts w:cs="Calibri"/>
                <w:sz w:val="20"/>
                <w:szCs w:val="20"/>
              </w:rPr>
              <w:t>(a)</w:t>
            </w:r>
          </w:p>
        </w:tc>
        <w:tc>
          <w:tcPr>
            <w:tcW w:w="7147" w:type="dxa"/>
          </w:tcPr>
          <w:p w14:paraId="45E03781" w14:textId="77777777" w:rsidR="00562631" w:rsidRDefault="00562631" w:rsidP="008A7C39">
            <w:pPr>
              <w:spacing w:after="0" w:line="240" w:lineRule="auto"/>
              <w:rPr>
                <w:rFonts w:cs="Calibri"/>
                <w:sz w:val="20"/>
                <w:szCs w:val="20"/>
              </w:rPr>
            </w:pPr>
            <w:r w:rsidRPr="008A7C39">
              <w:rPr>
                <w:rFonts w:cs="Calibri"/>
                <w:sz w:val="20"/>
                <w:szCs w:val="20"/>
              </w:rPr>
              <w:t>LQC received two reports from the Health Care Professions Council in relation to the successful annual visit for the BSc and the Foundation Degree in Paramedic Science.  Both reports recommended ongoing approval for the programmes</w:t>
            </w:r>
            <w:r w:rsidR="00A52A75">
              <w:rPr>
                <w:rFonts w:cs="Calibri"/>
                <w:sz w:val="20"/>
                <w:szCs w:val="20"/>
              </w:rPr>
              <w:t xml:space="preserve">. </w:t>
            </w:r>
          </w:p>
          <w:p w14:paraId="45BE2D00" w14:textId="77777777" w:rsidR="00562631" w:rsidRPr="008A7C39" w:rsidRDefault="00562631" w:rsidP="008A7C39">
            <w:pPr>
              <w:spacing w:after="0" w:line="240" w:lineRule="auto"/>
              <w:rPr>
                <w:rFonts w:cs="Calibri"/>
                <w:sz w:val="20"/>
                <w:szCs w:val="20"/>
              </w:rPr>
            </w:pPr>
          </w:p>
        </w:tc>
        <w:tc>
          <w:tcPr>
            <w:tcW w:w="1050" w:type="dxa"/>
          </w:tcPr>
          <w:p w14:paraId="2BD12A60" w14:textId="77777777" w:rsidR="00562631" w:rsidRPr="00D90166" w:rsidRDefault="00562631" w:rsidP="008A7C39">
            <w:pPr>
              <w:spacing w:after="0" w:line="240" w:lineRule="auto"/>
              <w:rPr>
                <w:rFonts w:cs="Calibri"/>
                <w:sz w:val="16"/>
                <w:szCs w:val="16"/>
              </w:rPr>
            </w:pPr>
          </w:p>
        </w:tc>
      </w:tr>
      <w:tr w:rsidR="00562631" w:rsidRPr="008A7C39" w14:paraId="5619DDC9"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23F2750A" w14:textId="77777777" w:rsidR="00562631" w:rsidRPr="008A7C39" w:rsidRDefault="00562631" w:rsidP="00A45D15">
            <w:pPr>
              <w:spacing w:after="0" w:line="240" w:lineRule="auto"/>
              <w:jc w:val="right"/>
              <w:rPr>
                <w:rFonts w:cs="Calibri"/>
                <w:sz w:val="20"/>
                <w:szCs w:val="20"/>
              </w:rPr>
            </w:pPr>
            <w:r w:rsidRPr="008A7C39">
              <w:rPr>
                <w:rFonts w:cs="Calibri"/>
                <w:sz w:val="20"/>
                <w:szCs w:val="20"/>
              </w:rPr>
              <w:t>(b)</w:t>
            </w:r>
          </w:p>
        </w:tc>
        <w:tc>
          <w:tcPr>
            <w:tcW w:w="7147" w:type="dxa"/>
          </w:tcPr>
          <w:p w14:paraId="2780CAE3" w14:textId="28B3CD9C" w:rsidR="00562631" w:rsidRDefault="00562631" w:rsidP="008A7C39">
            <w:pPr>
              <w:spacing w:after="0" w:line="240" w:lineRule="auto"/>
              <w:rPr>
                <w:rFonts w:cs="Calibri"/>
                <w:sz w:val="20"/>
                <w:szCs w:val="20"/>
              </w:rPr>
            </w:pPr>
            <w:r w:rsidRPr="008A7C39">
              <w:rPr>
                <w:rFonts w:cs="Calibri"/>
                <w:sz w:val="20"/>
                <w:szCs w:val="20"/>
              </w:rPr>
              <w:t>LQC received a draft annual report on the University’s and Partners</w:t>
            </w:r>
            <w:r w:rsidR="0089447B">
              <w:rPr>
                <w:rFonts w:cs="Calibri"/>
                <w:sz w:val="20"/>
                <w:szCs w:val="20"/>
              </w:rPr>
              <w:t>’</w:t>
            </w:r>
            <w:r w:rsidRPr="008A7C39">
              <w:rPr>
                <w:rFonts w:cs="Calibri"/>
                <w:sz w:val="20"/>
                <w:szCs w:val="20"/>
              </w:rPr>
              <w:t xml:space="preserve"> Higher National programmes which will be submitted to Edexcel.  Prior to its submission the Committee requested a number of changes and review of the progression data within the report.  A final draft will be agreed by the Chair in time for the Edexcel deadline of 31</w:t>
            </w:r>
            <w:r w:rsidRPr="008A7C39">
              <w:rPr>
                <w:rFonts w:cs="Calibri"/>
                <w:sz w:val="20"/>
                <w:szCs w:val="20"/>
                <w:vertAlign w:val="superscript"/>
              </w:rPr>
              <w:t>st</w:t>
            </w:r>
            <w:r w:rsidRPr="008A7C39">
              <w:rPr>
                <w:rFonts w:cs="Calibri"/>
                <w:sz w:val="20"/>
                <w:szCs w:val="20"/>
              </w:rPr>
              <w:t xml:space="preserve"> March 2013.</w:t>
            </w:r>
          </w:p>
          <w:p w14:paraId="12F44088" w14:textId="77777777" w:rsidR="00562631" w:rsidRPr="008A7C39" w:rsidRDefault="00562631" w:rsidP="008A7C39">
            <w:pPr>
              <w:spacing w:after="0" w:line="240" w:lineRule="auto"/>
              <w:rPr>
                <w:rFonts w:cs="Calibri"/>
                <w:sz w:val="20"/>
                <w:szCs w:val="20"/>
              </w:rPr>
            </w:pPr>
          </w:p>
        </w:tc>
        <w:tc>
          <w:tcPr>
            <w:tcW w:w="1050" w:type="dxa"/>
          </w:tcPr>
          <w:p w14:paraId="3F5C619F" w14:textId="77777777" w:rsidR="00562631" w:rsidRPr="00D90166" w:rsidRDefault="00562631" w:rsidP="008A7C39">
            <w:pPr>
              <w:spacing w:after="0" w:line="240" w:lineRule="auto"/>
              <w:rPr>
                <w:rFonts w:cs="Calibri"/>
                <w:sz w:val="16"/>
                <w:szCs w:val="16"/>
              </w:rPr>
            </w:pPr>
          </w:p>
        </w:tc>
      </w:tr>
      <w:tr w:rsidR="00562631" w:rsidRPr="008A7C39" w14:paraId="4E036C7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395E5DBC"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Action</w:t>
            </w:r>
          </w:p>
        </w:tc>
        <w:tc>
          <w:tcPr>
            <w:tcW w:w="7147" w:type="dxa"/>
          </w:tcPr>
          <w:p w14:paraId="743EB67B" w14:textId="77777777" w:rsidR="00562631" w:rsidRDefault="00562631" w:rsidP="008A7C39">
            <w:pPr>
              <w:spacing w:after="0" w:line="240" w:lineRule="auto"/>
              <w:rPr>
                <w:rFonts w:cs="Calibri"/>
                <w:b/>
                <w:color w:val="FF0000"/>
                <w:sz w:val="20"/>
                <w:szCs w:val="20"/>
              </w:rPr>
            </w:pPr>
            <w:r w:rsidRPr="008A7C39">
              <w:rPr>
                <w:rFonts w:cs="Calibri"/>
                <w:b/>
                <w:color w:val="FF0000"/>
                <w:sz w:val="20"/>
                <w:szCs w:val="20"/>
              </w:rPr>
              <w:t>Review Edexcel annual report and secure Chair’s agreed version prior to submission to Edexcel</w:t>
            </w:r>
          </w:p>
          <w:p w14:paraId="24EB8DF0" w14:textId="77777777" w:rsidR="00562631" w:rsidRPr="008A7C39" w:rsidRDefault="00562631" w:rsidP="008A7C39">
            <w:pPr>
              <w:spacing w:after="0" w:line="240" w:lineRule="auto"/>
              <w:rPr>
                <w:rFonts w:cs="Calibri"/>
                <w:b/>
                <w:color w:val="FF0000"/>
                <w:sz w:val="20"/>
                <w:szCs w:val="20"/>
              </w:rPr>
            </w:pPr>
          </w:p>
        </w:tc>
        <w:tc>
          <w:tcPr>
            <w:tcW w:w="1050" w:type="dxa"/>
          </w:tcPr>
          <w:p w14:paraId="7BB0F066"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LQU</w:t>
            </w:r>
          </w:p>
        </w:tc>
      </w:tr>
      <w:tr w:rsidR="00562631" w:rsidRPr="008A7C39" w14:paraId="50B9D1E3"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746420C3" w14:textId="77777777" w:rsidR="00562631" w:rsidRPr="008A7C39" w:rsidRDefault="00562631" w:rsidP="008A7C39">
            <w:pPr>
              <w:spacing w:after="0" w:line="240" w:lineRule="auto"/>
              <w:rPr>
                <w:rFonts w:cs="Calibri"/>
                <w:sz w:val="20"/>
                <w:szCs w:val="20"/>
              </w:rPr>
            </w:pPr>
            <w:r w:rsidRPr="008A7C39">
              <w:rPr>
                <w:rFonts w:cs="Calibri"/>
                <w:sz w:val="20"/>
                <w:szCs w:val="20"/>
              </w:rPr>
              <w:t>LQC/12/6.7</w:t>
            </w:r>
          </w:p>
        </w:tc>
        <w:tc>
          <w:tcPr>
            <w:tcW w:w="7147" w:type="dxa"/>
          </w:tcPr>
          <w:p w14:paraId="4049C064" w14:textId="77777777" w:rsidR="00562631" w:rsidRPr="00A45D15" w:rsidRDefault="00562631" w:rsidP="008A7C39">
            <w:pPr>
              <w:spacing w:after="0" w:line="240" w:lineRule="auto"/>
              <w:rPr>
                <w:rFonts w:cs="Calibri"/>
                <w:b/>
                <w:sz w:val="20"/>
                <w:szCs w:val="20"/>
              </w:rPr>
            </w:pPr>
            <w:r w:rsidRPr="00A45D15">
              <w:rPr>
                <w:rFonts w:cs="Calibri"/>
                <w:b/>
                <w:sz w:val="20"/>
                <w:szCs w:val="20"/>
              </w:rPr>
              <w:t>Minutes of University Committees</w:t>
            </w:r>
          </w:p>
          <w:p w14:paraId="6866975D" w14:textId="77777777" w:rsidR="00562631" w:rsidRPr="008A7C39" w:rsidRDefault="00562631" w:rsidP="008A7C39">
            <w:pPr>
              <w:spacing w:after="0" w:line="240" w:lineRule="auto"/>
              <w:rPr>
                <w:rFonts w:cs="Calibri"/>
                <w:sz w:val="20"/>
                <w:szCs w:val="20"/>
              </w:rPr>
            </w:pPr>
          </w:p>
        </w:tc>
        <w:tc>
          <w:tcPr>
            <w:tcW w:w="1050" w:type="dxa"/>
          </w:tcPr>
          <w:p w14:paraId="42C9BF39" w14:textId="77777777" w:rsidR="00562631" w:rsidRPr="00D90166" w:rsidRDefault="00562631" w:rsidP="008A7C39">
            <w:pPr>
              <w:spacing w:after="0" w:line="240" w:lineRule="auto"/>
              <w:rPr>
                <w:rFonts w:cs="Calibri"/>
                <w:sz w:val="16"/>
                <w:szCs w:val="16"/>
              </w:rPr>
            </w:pPr>
          </w:p>
        </w:tc>
      </w:tr>
      <w:tr w:rsidR="00562631" w:rsidRPr="008A7C39" w14:paraId="3C32527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03B5C5B0" w14:textId="77777777" w:rsidR="00562631" w:rsidRPr="008A7C39" w:rsidRDefault="00562631" w:rsidP="008A7C39">
            <w:pPr>
              <w:spacing w:after="0" w:line="240" w:lineRule="auto"/>
              <w:rPr>
                <w:rFonts w:cs="Calibri"/>
                <w:sz w:val="20"/>
                <w:szCs w:val="20"/>
              </w:rPr>
            </w:pPr>
            <w:r w:rsidRPr="008A7C39">
              <w:rPr>
                <w:rFonts w:cs="Calibri"/>
                <w:sz w:val="20"/>
                <w:szCs w:val="20"/>
              </w:rPr>
              <w:t>(a)</w:t>
            </w:r>
          </w:p>
        </w:tc>
        <w:tc>
          <w:tcPr>
            <w:tcW w:w="7147" w:type="dxa"/>
          </w:tcPr>
          <w:p w14:paraId="6F6DAAB4" w14:textId="3CB075BD" w:rsidR="00562631" w:rsidRPr="00586A11" w:rsidRDefault="00562631" w:rsidP="008A7C39">
            <w:pPr>
              <w:spacing w:after="0" w:line="240" w:lineRule="auto"/>
              <w:rPr>
                <w:rFonts w:cs="Calibri"/>
                <w:sz w:val="20"/>
                <w:szCs w:val="20"/>
                <w:u w:val="single"/>
              </w:rPr>
            </w:pPr>
            <w:r w:rsidRPr="00586A11">
              <w:rPr>
                <w:rFonts w:cs="Calibri"/>
                <w:sz w:val="20"/>
                <w:szCs w:val="20"/>
                <w:u w:val="single"/>
              </w:rPr>
              <w:t>Approval and Review Group (January 2013)</w:t>
            </w:r>
          </w:p>
          <w:p w14:paraId="5D3ABD51" w14:textId="77777777" w:rsidR="00562631" w:rsidRPr="008A7C39" w:rsidRDefault="00562631" w:rsidP="008A7C39">
            <w:pPr>
              <w:spacing w:after="0" w:line="240" w:lineRule="auto"/>
              <w:rPr>
                <w:rFonts w:cs="Calibri"/>
                <w:sz w:val="20"/>
                <w:szCs w:val="20"/>
              </w:rPr>
            </w:pPr>
          </w:p>
        </w:tc>
        <w:tc>
          <w:tcPr>
            <w:tcW w:w="1050" w:type="dxa"/>
          </w:tcPr>
          <w:p w14:paraId="317DA511" w14:textId="77777777" w:rsidR="00562631" w:rsidRPr="008A7C39" w:rsidRDefault="00562631" w:rsidP="008A7C39">
            <w:pPr>
              <w:spacing w:after="0" w:line="240" w:lineRule="auto"/>
              <w:rPr>
                <w:rFonts w:cs="Calibri"/>
                <w:sz w:val="20"/>
                <w:szCs w:val="20"/>
              </w:rPr>
            </w:pPr>
          </w:p>
        </w:tc>
      </w:tr>
      <w:tr w:rsidR="00562631" w:rsidRPr="008A7C39" w14:paraId="6C94E434"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7191AE03" w14:textId="77777777" w:rsidR="00562631" w:rsidRDefault="00562631" w:rsidP="008A7C39">
            <w:pPr>
              <w:spacing w:after="0" w:line="240" w:lineRule="auto"/>
              <w:rPr>
                <w:rFonts w:cs="Calibri"/>
                <w:sz w:val="20"/>
                <w:szCs w:val="20"/>
              </w:rPr>
            </w:pPr>
          </w:p>
          <w:p w14:paraId="7CCD97AE" w14:textId="77777777" w:rsidR="00562631" w:rsidRDefault="00562631" w:rsidP="008A7C39">
            <w:pPr>
              <w:spacing w:after="0" w:line="240" w:lineRule="auto"/>
              <w:rPr>
                <w:rFonts w:cs="Calibri"/>
                <w:sz w:val="20"/>
                <w:szCs w:val="20"/>
              </w:rPr>
            </w:pPr>
          </w:p>
          <w:p w14:paraId="7640F24E" w14:textId="77777777" w:rsidR="00562631" w:rsidRDefault="00562631" w:rsidP="008A7C39">
            <w:pPr>
              <w:spacing w:after="0" w:line="240" w:lineRule="auto"/>
              <w:rPr>
                <w:rFonts w:cs="Calibri"/>
                <w:sz w:val="20"/>
                <w:szCs w:val="20"/>
              </w:rPr>
            </w:pPr>
          </w:p>
          <w:p w14:paraId="349CA388" w14:textId="77777777" w:rsidR="00562631" w:rsidRDefault="00562631" w:rsidP="00EF2C89">
            <w:pPr>
              <w:spacing w:after="0" w:line="240" w:lineRule="auto"/>
              <w:jc w:val="right"/>
              <w:rPr>
                <w:rFonts w:cs="Calibri"/>
                <w:sz w:val="20"/>
                <w:szCs w:val="20"/>
              </w:rPr>
            </w:pPr>
            <w:r>
              <w:rPr>
                <w:rFonts w:cs="Calibri"/>
                <w:sz w:val="20"/>
                <w:szCs w:val="20"/>
              </w:rPr>
              <w:t>(</w:t>
            </w:r>
            <w:proofErr w:type="spellStart"/>
            <w:r>
              <w:rPr>
                <w:rFonts w:cs="Calibri"/>
                <w:sz w:val="20"/>
                <w:szCs w:val="20"/>
              </w:rPr>
              <w:t>i</w:t>
            </w:r>
            <w:proofErr w:type="spellEnd"/>
            <w:r>
              <w:rPr>
                <w:rFonts w:cs="Calibri"/>
                <w:sz w:val="20"/>
                <w:szCs w:val="20"/>
              </w:rPr>
              <w:t>)</w:t>
            </w:r>
          </w:p>
          <w:p w14:paraId="783A625B" w14:textId="77777777" w:rsidR="00562631" w:rsidRDefault="00562631" w:rsidP="008A7C39">
            <w:pPr>
              <w:spacing w:after="0" w:line="240" w:lineRule="auto"/>
              <w:rPr>
                <w:rFonts w:cs="Calibri"/>
                <w:sz w:val="20"/>
                <w:szCs w:val="20"/>
              </w:rPr>
            </w:pPr>
          </w:p>
          <w:p w14:paraId="72DC47F9" w14:textId="77777777" w:rsidR="00562631" w:rsidRDefault="00562631" w:rsidP="008A7C39">
            <w:pPr>
              <w:spacing w:after="0" w:line="240" w:lineRule="auto"/>
              <w:rPr>
                <w:rFonts w:cs="Calibri"/>
                <w:sz w:val="20"/>
                <w:szCs w:val="20"/>
              </w:rPr>
            </w:pPr>
          </w:p>
          <w:p w14:paraId="07C212AC" w14:textId="77777777" w:rsidR="00562631" w:rsidRDefault="00562631" w:rsidP="008A7C39">
            <w:pPr>
              <w:spacing w:after="0" w:line="240" w:lineRule="auto"/>
              <w:rPr>
                <w:rFonts w:cs="Calibri"/>
                <w:sz w:val="20"/>
                <w:szCs w:val="20"/>
              </w:rPr>
            </w:pPr>
          </w:p>
          <w:p w14:paraId="3B5303A9" w14:textId="77777777" w:rsidR="00562631" w:rsidRDefault="00562631" w:rsidP="008A7C39">
            <w:pPr>
              <w:spacing w:after="0" w:line="240" w:lineRule="auto"/>
              <w:rPr>
                <w:rFonts w:cs="Calibri"/>
                <w:sz w:val="20"/>
                <w:szCs w:val="20"/>
              </w:rPr>
            </w:pPr>
          </w:p>
          <w:p w14:paraId="7AC0468E" w14:textId="77777777" w:rsidR="00562631" w:rsidRDefault="00562631" w:rsidP="008A7C39">
            <w:pPr>
              <w:spacing w:after="0" w:line="240" w:lineRule="auto"/>
              <w:rPr>
                <w:rFonts w:cs="Calibri"/>
                <w:sz w:val="20"/>
                <w:szCs w:val="20"/>
              </w:rPr>
            </w:pPr>
          </w:p>
          <w:p w14:paraId="3D5F9F76" w14:textId="77777777" w:rsidR="00562631" w:rsidRDefault="00562631" w:rsidP="008A7C39">
            <w:pPr>
              <w:spacing w:after="0" w:line="240" w:lineRule="auto"/>
              <w:rPr>
                <w:rFonts w:cs="Calibri"/>
                <w:sz w:val="20"/>
                <w:szCs w:val="20"/>
              </w:rPr>
            </w:pPr>
          </w:p>
          <w:p w14:paraId="18753EAC" w14:textId="77777777" w:rsidR="00562631" w:rsidRDefault="00562631" w:rsidP="008A7C39">
            <w:pPr>
              <w:spacing w:after="0" w:line="240" w:lineRule="auto"/>
              <w:rPr>
                <w:rFonts w:cs="Calibri"/>
                <w:sz w:val="20"/>
                <w:szCs w:val="20"/>
              </w:rPr>
            </w:pPr>
          </w:p>
          <w:p w14:paraId="64F206ED" w14:textId="77777777" w:rsidR="00562631" w:rsidRDefault="00562631" w:rsidP="00EF2C89">
            <w:pPr>
              <w:spacing w:after="0" w:line="240" w:lineRule="auto"/>
              <w:jc w:val="right"/>
              <w:rPr>
                <w:rFonts w:cs="Calibri"/>
                <w:sz w:val="20"/>
                <w:szCs w:val="20"/>
              </w:rPr>
            </w:pPr>
            <w:r>
              <w:rPr>
                <w:rFonts w:cs="Calibri"/>
                <w:sz w:val="20"/>
                <w:szCs w:val="20"/>
              </w:rPr>
              <w:t>(ii)</w:t>
            </w:r>
          </w:p>
          <w:p w14:paraId="3400A603" w14:textId="77777777" w:rsidR="00562631" w:rsidRDefault="00562631" w:rsidP="00EF2C89">
            <w:pPr>
              <w:spacing w:after="0" w:line="240" w:lineRule="auto"/>
              <w:jc w:val="right"/>
              <w:rPr>
                <w:rFonts w:cs="Calibri"/>
                <w:sz w:val="20"/>
                <w:szCs w:val="20"/>
              </w:rPr>
            </w:pPr>
          </w:p>
          <w:p w14:paraId="17ED9ADB" w14:textId="77777777" w:rsidR="00562631" w:rsidRDefault="00562631" w:rsidP="00EF2C89">
            <w:pPr>
              <w:spacing w:after="0" w:line="240" w:lineRule="auto"/>
              <w:jc w:val="right"/>
              <w:rPr>
                <w:rFonts w:cs="Calibri"/>
                <w:sz w:val="20"/>
                <w:szCs w:val="20"/>
              </w:rPr>
            </w:pPr>
          </w:p>
          <w:p w14:paraId="115A8E44" w14:textId="77777777" w:rsidR="00562631" w:rsidRDefault="00562631" w:rsidP="00EF2C89">
            <w:pPr>
              <w:spacing w:after="0" w:line="240" w:lineRule="auto"/>
              <w:jc w:val="right"/>
              <w:rPr>
                <w:rFonts w:cs="Calibri"/>
                <w:sz w:val="20"/>
                <w:szCs w:val="20"/>
              </w:rPr>
            </w:pPr>
          </w:p>
          <w:p w14:paraId="5A107DD9" w14:textId="77777777" w:rsidR="00562631" w:rsidRDefault="00562631" w:rsidP="00EF2C89">
            <w:pPr>
              <w:spacing w:after="0" w:line="240" w:lineRule="auto"/>
              <w:jc w:val="right"/>
              <w:rPr>
                <w:rFonts w:cs="Calibri"/>
                <w:sz w:val="20"/>
                <w:szCs w:val="20"/>
              </w:rPr>
            </w:pPr>
          </w:p>
          <w:p w14:paraId="45B8E20C" w14:textId="77777777" w:rsidR="00562631" w:rsidRDefault="00562631" w:rsidP="00EF2C89">
            <w:pPr>
              <w:spacing w:after="0" w:line="240" w:lineRule="auto"/>
              <w:jc w:val="right"/>
              <w:rPr>
                <w:rFonts w:cs="Calibri"/>
                <w:sz w:val="20"/>
                <w:szCs w:val="20"/>
              </w:rPr>
            </w:pPr>
          </w:p>
          <w:p w14:paraId="60C4B5A2" w14:textId="77777777" w:rsidR="00562631" w:rsidRDefault="00562631" w:rsidP="00EF2C89">
            <w:pPr>
              <w:spacing w:after="0" w:line="240" w:lineRule="auto"/>
              <w:jc w:val="right"/>
              <w:rPr>
                <w:rFonts w:cs="Calibri"/>
                <w:sz w:val="20"/>
                <w:szCs w:val="20"/>
              </w:rPr>
            </w:pPr>
          </w:p>
          <w:p w14:paraId="7578E86E" w14:textId="77777777" w:rsidR="00562631" w:rsidRDefault="00562631" w:rsidP="00EF2C89">
            <w:pPr>
              <w:spacing w:after="0" w:line="240" w:lineRule="auto"/>
              <w:jc w:val="right"/>
              <w:rPr>
                <w:rFonts w:cs="Calibri"/>
                <w:sz w:val="20"/>
                <w:szCs w:val="20"/>
              </w:rPr>
            </w:pPr>
          </w:p>
          <w:p w14:paraId="3A79C955" w14:textId="77777777" w:rsidR="00562631" w:rsidRDefault="00562631" w:rsidP="00EF2C89">
            <w:pPr>
              <w:spacing w:after="0" w:line="240" w:lineRule="auto"/>
              <w:jc w:val="right"/>
              <w:rPr>
                <w:rFonts w:cs="Calibri"/>
                <w:sz w:val="20"/>
                <w:szCs w:val="20"/>
              </w:rPr>
            </w:pPr>
          </w:p>
          <w:p w14:paraId="6D2DA801" w14:textId="77777777" w:rsidR="00562631" w:rsidRDefault="00562631" w:rsidP="00EF2C89">
            <w:pPr>
              <w:spacing w:after="0" w:line="240" w:lineRule="auto"/>
              <w:jc w:val="right"/>
              <w:rPr>
                <w:rFonts w:cs="Calibri"/>
                <w:sz w:val="20"/>
                <w:szCs w:val="20"/>
              </w:rPr>
            </w:pPr>
            <w:r>
              <w:rPr>
                <w:rFonts w:cs="Calibri"/>
                <w:sz w:val="20"/>
                <w:szCs w:val="20"/>
              </w:rPr>
              <w:t>(iii)</w:t>
            </w:r>
          </w:p>
          <w:p w14:paraId="0B931E4F" w14:textId="77777777" w:rsidR="00562631" w:rsidRDefault="00562631" w:rsidP="00EF2C89">
            <w:pPr>
              <w:spacing w:after="0" w:line="240" w:lineRule="auto"/>
              <w:jc w:val="right"/>
              <w:rPr>
                <w:rFonts w:cs="Calibri"/>
                <w:sz w:val="20"/>
                <w:szCs w:val="20"/>
              </w:rPr>
            </w:pPr>
          </w:p>
          <w:p w14:paraId="25FE7E90" w14:textId="77777777" w:rsidR="00562631" w:rsidRDefault="00562631" w:rsidP="00EF2C89">
            <w:pPr>
              <w:spacing w:after="0" w:line="240" w:lineRule="auto"/>
              <w:jc w:val="right"/>
              <w:rPr>
                <w:rFonts w:cs="Calibri"/>
                <w:sz w:val="20"/>
                <w:szCs w:val="20"/>
              </w:rPr>
            </w:pPr>
          </w:p>
          <w:p w14:paraId="2F4A2731" w14:textId="77777777" w:rsidR="00562631" w:rsidRDefault="00562631" w:rsidP="00EF2C89">
            <w:pPr>
              <w:spacing w:after="0" w:line="240" w:lineRule="auto"/>
              <w:jc w:val="right"/>
              <w:rPr>
                <w:rFonts w:cs="Calibri"/>
                <w:sz w:val="20"/>
                <w:szCs w:val="20"/>
              </w:rPr>
            </w:pPr>
          </w:p>
          <w:p w14:paraId="4ACE4436" w14:textId="77777777" w:rsidR="00562631" w:rsidRDefault="00562631" w:rsidP="00EF2C89">
            <w:pPr>
              <w:spacing w:after="0" w:line="240" w:lineRule="auto"/>
              <w:jc w:val="right"/>
              <w:rPr>
                <w:rFonts w:cs="Calibri"/>
                <w:sz w:val="20"/>
                <w:szCs w:val="20"/>
              </w:rPr>
            </w:pPr>
          </w:p>
          <w:p w14:paraId="661BBB68" w14:textId="77777777" w:rsidR="00562631" w:rsidRDefault="00562631" w:rsidP="00EF2C89">
            <w:pPr>
              <w:spacing w:after="0" w:line="240" w:lineRule="auto"/>
              <w:jc w:val="right"/>
              <w:rPr>
                <w:rFonts w:cs="Calibri"/>
                <w:sz w:val="20"/>
                <w:szCs w:val="20"/>
              </w:rPr>
            </w:pPr>
          </w:p>
          <w:p w14:paraId="50F18548" w14:textId="77777777" w:rsidR="00562631" w:rsidRDefault="00562631" w:rsidP="00EF2C89">
            <w:pPr>
              <w:spacing w:after="0" w:line="240" w:lineRule="auto"/>
              <w:jc w:val="right"/>
              <w:rPr>
                <w:rFonts w:cs="Calibri"/>
                <w:sz w:val="20"/>
                <w:szCs w:val="20"/>
              </w:rPr>
            </w:pPr>
          </w:p>
          <w:p w14:paraId="5C9308B3" w14:textId="77777777" w:rsidR="00562631" w:rsidRDefault="00562631" w:rsidP="00EF2C89">
            <w:pPr>
              <w:spacing w:after="0" w:line="240" w:lineRule="auto"/>
              <w:jc w:val="right"/>
              <w:rPr>
                <w:rFonts w:cs="Calibri"/>
                <w:sz w:val="20"/>
                <w:szCs w:val="20"/>
              </w:rPr>
            </w:pPr>
          </w:p>
          <w:p w14:paraId="0FC1AA4D" w14:textId="77777777" w:rsidR="00562631" w:rsidRDefault="00562631" w:rsidP="00EF2C89">
            <w:pPr>
              <w:spacing w:after="0" w:line="240" w:lineRule="auto"/>
              <w:jc w:val="right"/>
              <w:rPr>
                <w:rFonts w:cs="Calibri"/>
                <w:sz w:val="20"/>
                <w:szCs w:val="20"/>
              </w:rPr>
            </w:pPr>
            <w:r>
              <w:rPr>
                <w:rFonts w:cs="Calibri"/>
                <w:sz w:val="20"/>
                <w:szCs w:val="20"/>
              </w:rPr>
              <w:t>(iv)</w:t>
            </w:r>
          </w:p>
          <w:p w14:paraId="13AEF556" w14:textId="77777777" w:rsidR="00562631" w:rsidRDefault="00562631" w:rsidP="00EF2C89">
            <w:pPr>
              <w:spacing w:after="0" w:line="240" w:lineRule="auto"/>
              <w:jc w:val="right"/>
              <w:rPr>
                <w:rFonts w:cs="Calibri"/>
                <w:sz w:val="20"/>
                <w:szCs w:val="20"/>
              </w:rPr>
            </w:pPr>
          </w:p>
          <w:p w14:paraId="3A06A1E9" w14:textId="77777777" w:rsidR="00562631" w:rsidRDefault="00562631" w:rsidP="00EF2C89">
            <w:pPr>
              <w:spacing w:after="0" w:line="240" w:lineRule="auto"/>
              <w:jc w:val="right"/>
              <w:rPr>
                <w:rFonts w:cs="Calibri"/>
                <w:sz w:val="20"/>
                <w:szCs w:val="20"/>
              </w:rPr>
            </w:pPr>
            <w:r>
              <w:rPr>
                <w:rFonts w:cs="Calibri"/>
                <w:sz w:val="20"/>
                <w:szCs w:val="20"/>
              </w:rPr>
              <w:t>(v)</w:t>
            </w:r>
          </w:p>
          <w:p w14:paraId="2B7E2DEE" w14:textId="77777777" w:rsidR="00562631" w:rsidRDefault="00562631" w:rsidP="00EF2C89">
            <w:pPr>
              <w:spacing w:after="0" w:line="240" w:lineRule="auto"/>
              <w:jc w:val="right"/>
              <w:rPr>
                <w:rFonts w:cs="Calibri"/>
                <w:sz w:val="20"/>
                <w:szCs w:val="20"/>
              </w:rPr>
            </w:pPr>
          </w:p>
          <w:p w14:paraId="22B4C57A" w14:textId="77777777" w:rsidR="00562631" w:rsidRDefault="00562631" w:rsidP="00EF2C89">
            <w:pPr>
              <w:spacing w:after="0" w:line="240" w:lineRule="auto"/>
              <w:jc w:val="right"/>
              <w:rPr>
                <w:rFonts w:cs="Calibri"/>
                <w:sz w:val="20"/>
                <w:szCs w:val="20"/>
              </w:rPr>
            </w:pPr>
          </w:p>
          <w:p w14:paraId="0C088DC6" w14:textId="77777777" w:rsidR="00562631" w:rsidRDefault="00562631" w:rsidP="00EF2C89">
            <w:pPr>
              <w:spacing w:after="0" w:line="240" w:lineRule="auto"/>
              <w:jc w:val="right"/>
              <w:rPr>
                <w:rFonts w:cs="Calibri"/>
                <w:sz w:val="20"/>
                <w:szCs w:val="20"/>
              </w:rPr>
            </w:pPr>
          </w:p>
          <w:p w14:paraId="3F339E1A" w14:textId="77777777" w:rsidR="00562631" w:rsidRPr="008A7C39" w:rsidRDefault="00562631" w:rsidP="00EF2C89">
            <w:pPr>
              <w:spacing w:after="0" w:line="240" w:lineRule="auto"/>
              <w:jc w:val="right"/>
              <w:rPr>
                <w:rFonts w:cs="Calibri"/>
                <w:sz w:val="20"/>
                <w:szCs w:val="20"/>
              </w:rPr>
            </w:pPr>
            <w:r>
              <w:rPr>
                <w:rFonts w:cs="Calibri"/>
                <w:sz w:val="20"/>
                <w:szCs w:val="20"/>
              </w:rPr>
              <w:t>(vi)</w:t>
            </w:r>
          </w:p>
        </w:tc>
        <w:tc>
          <w:tcPr>
            <w:tcW w:w="7147" w:type="dxa"/>
          </w:tcPr>
          <w:p w14:paraId="3A4515A0" w14:textId="77777777" w:rsidR="00562631" w:rsidRPr="008A7C39" w:rsidRDefault="00562631" w:rsidP="008A7C39">
            <w:pPr>
              <w:spacing w:after="0" w:line="240" w:lineRule="auto"/>
              <w:rPr>
                <w:rFonts w:cs="Calibri"/>
                <w:sz w:val="20"/>
                <w:szCs w:val="20"/>
              </w:rPr>
            </w:pPr>
            <w:r w:rsidRPr="008A7C39">
              <w:rPr>
                <w:rFonts w:cs="Calibri"/>
                <w:sz w:val="20"/>
                <w:szCs w:val="20"/>
              </w:rPr>
              <w:lastRenderedPageBreak/>
              <w:t>The committee noted the ARG minutes of January 2013 and discussed several specific issues identified by the Group:</w:t>
            </w:r>
          </w:p>
          <w:p w14:paraId="075B6E39" w14:textId="77777777" w:rsidR="00562631" w:rsidRPr="008A7C39" w:rsidRDefault="00562631" w:rsidP="008A7C39">
            <w:pPr>
              <w:spacing w:after="0" w:line="240" w:lineRule="auto"/>
              <w:rPr>
                <w:rFonts w:cs="Calibri"/>
                <w:sz w:val="20"/>
                <w:szCs w:val="20"/>
              </w:rPr>
            </w:pPr>
          </w:p>
          <w:p w14:paraId="59A0450A" w14:textId="77777777" w:rsidR="00562631" w:rsidRPr="008A7C39" w:rsidRDefault="00562631" w:rsidP="008A7C39">
            <w:pPr>
              <w:spacing w:after="0" w:line="240" w:lineRule="auto"/>
              <w:rPr>
                <w:rFonts w:cs="Calibri"/>
                <w:sz w:val="20"/>
                <w:szCs w:val="20"/>
              </w:rPr>
            </w:pPr>
            <w:r w:rsidRPr="008A7C39">
              <w:rPr>
                <w:rFonts w:cs="Calibri"/>
                <w:sz w:val="20"/>
                <w:szCs w:val="20"/>
              </w:rPr>
              <w:t xml:space="preserve">LQC agreed that reconstituting a formal approval or review panel in the event of a breakdown of electronic communications must take place where loss of sound or sound </w:t>
            </w:r>
            <w:r w:rsidRPr="003A56B9">
              <w:rPr>
                <w:rFonts w:cs="Calibri"/>
                <w:i/>
                <w:sz w:val="20"/>
                <w:szCs w:val="20"/>
              </w:rPr>
              <w:t>and</w:t>
            </w:r>
            <w:r w:rsidRPr="008A7C39">
              <w:rPr>
                <w:rFonts w:cs="Calibri"/>
                <w:sz w:val="20"/>
                <w:szCs w:val="20"/>
              </w:rPr>
              <w:t xml:space="preserve"> vision has occurred.  Visual loss </w:t>
            </w:r>
            <w:r>
              <w:rPr>
                <w:rFonts w:cs="Calibri"/>
                <w:sz w:val="20"/>
                <w:szCs w:val="20"/>
              </w:rPr>
              <w:t xml:space="preserve">may </w:t>
            </w:r>
            <w:r w:rsidRPr="008A7C39">
              <w:rPr>
                <w:rFonts w:cs="Calibri"/>
                <w:sz w:val="20"/>
                <w:szCs w:val="20"/>
              </w:rPr>
              <w:t xml:space="preserve">permit continuation provided sound is available. The QAH will address this issue with guidance provided in the 2013-14 Handbook.  </w:t>
            </w:r>
            <w:r>
              <w:rPr>
                <w:rFonts w:cs="Calibri"/>
                <w:sz w:val="20"/>
                <w:szCs w:val="20"/>
              </w:rPr>
              <w:t>A</w:t>
            </w:r>
            <w:r w:rsidRPr="008A7C39">
              <w:rPr>
                <w:rFonts w:cs="Calibri"/>
                <w:sz w:val="20"/>
                <w:szCs w:val="20"/>
              </w:rPr>
              <w:t xml:space="preserve"> minimum </w:t>
            </w:r>
            <w:r>
              <w:rPr>
                <w:rFonts w:cs="Calibri"/>
                <w:sz w:val="20"/>
                <w:szCs w:val="20"/>
              </w:rPr>
              <w:t xml:space="preserve">technical </w:t>
            </w:r>
            <w:r w:rsidRPr="008A7C39">
              <w:rPr>
                <w:rFonts w:cs="Calibri"/>
                <w:sz w:val="20"/>
                <w:szCs w:val="20"/>
              </w:rPr>
              <w:t xml:space="preserve">specification </w:t>
            </w:r>
            <w:r>
              <w:rPr>
                <w:rFonts w:cs="Calibri"/>
                <w:sz w:val="20"/>
                <w:szCs w:val="20"/>
              </w:rPr>
              <w:t>should</w:t>
            </w:r>
            <w:r w:rsidRPr="008A7C39">
              <w:rPr>
                <w:rFonts w:cs="Calibri"/>
                <w:sz w:val="20"/>
                <w:szCs w:val="20"/>
              </w:rPr>
              <w:t xml:space="preserve"> be provided and if overseas partners cannot meet this specification then a panel may be obliged to conduct the event face to face.</w:t>
            </w:r>
          </w:p>
          <w:p w14:paraId="748583A5" w14:textId="77777777" w:rsidR="00562631" w:rsidRPr="008A7C39" w:rsidRDefault="00562631" w:rsidP="008A7C39">
            <w:pPr>
              <w:spacing w:after="0" w:line="240" w:lineRule="auto"/>
              <w:rPr>
                <w:rFonts w:cs="Calibri"/>
                <w:sz w:val="20"/>
                <w:szCs w:val="20"/>
              </w:rPr>
            </w:pPr>
          </w:p>
          <w:p w14:paraId="41184A2D" w14:textId="77777777" w:rsidR="00562631" w:rsidRPr="008A7C39" w:rsidRDefault="00562631" w:rsidP="008A7C39">
            <w:pPr>
              <w:spacing w:after="0" w:line="240" w:lineRule="auto"/>
              <w:rPr>
                <w:rFonts w:cs="Calibri"/>
                <w:sz w:val="20"/>
                <w:szCs w:val="20"/>
              </w:rPr>
            </w:pPr>
            <w:r w:rsidRPr="008A7C39">
              <w:rPr>
                <w:rFonts w:cs="Calibri"/>
                <w:sz w:val="20"/>
                <w:szCs w:val="20"/>
              </w:rPr>
              <w:t>LQC noted the need for greater consistency of approach to drafting conditions and requirements, acknowledging th</w:t>
            </w:r>
            <w:r>
              <w:rPr>
                <w:rFonts w:cs="Calibri"/>
                <w:sz w:val="20"/>
                <w:szCs w:val="20"/>
              </w:rPr>
              <w:t>e</w:t>
            </w:r>
            <w:r w:rsidRPr="008A7C39">
              <w:rPr>
                <w:rFonts w:cs="Calibri"/>
                <w:sz w:val="20"/>
                <w:szCs w:val="20"/>
              </w:rPr>
              <w:t xml:space="preserve"> ARG </w:t>
            </w:r>
            <w:r>
              <w:rPr>
                <w:rFonts w:cs="Calibri"/>
                <w:sz w:val="20"/>
                <w:szCs w:val="20"/>
              </w:rPr>
              <w:t>view that some</w:t>
            </w:r>
            <w:r w:rsidRPr="008A7C39">
              <w:rPr>
                <w:rFonts w:cs="Calibri"/>
                <w:sz w:val="20"/>
                <w:szCs w:val="20"/>
              </w:rPr>
              <w:t xml:space="preserve"> of the latter might have been expressed as conditions.  LQC acknowledged that further guidance and training </w:t>
            </w:r>
            <w:r w:rsidR="00A52A75">
              <w:rPr>
                <w:rFonts w:cs="Calibri"/>
                <w:sz w:val="20"/>
                <w:szCs w:val="20"/>
              </w:rPr>
              <w:t xml:space="preserve">as to the differentiation between conditions and requirements could be provided, but also </w:t>
            </w:r>
            <w:r w:rsidR="00A52A75">
              <w:rPr>
                <w:rFonts w:cs="Calibri"/>
                <w:sz w:val="20"/>
                <w:szCs w:val="20"/>
              </w:rPr>
              <w:lastRenderedPageBreak/>
              <w:t>acknowledged that panel discretion must remain</w:t>
            </w:r>
            <w:r w:rsidRPr="008A7C39">
              <w:rPr>
                <w:rFonts w:cs="Calibri"/>
                <w:sz w:val="20"/>
                <w:szCs w:val="20"/>
              </w:rPr>
              <w:t xml:space="preserve">.  </w:t>
            </w:r>
            <w:r w:rsidR="00A52A75">
              <w:rPr>
                <w:rFonts w:cs="Calibri"/>
                <w:sz w:val="20"/>
                <w:szCs w:val="20"/>
              </w:rPr>
              <w:t>Reports would also be enhanced by ensuring that</w:t>
            </w:r>
            <w:r w:rsidRPr="008A7C39">
              <w:rPr>
                <w:rFonts w:cs="Calibri"/>
                <w:sz w:val="20"/>
                <w:szCs w:val="20"/>
              </w:rPr>
              <w:t xml:space="preserve"> the rationale for panel decisions relating</w:t>
            </w:r>
            <w:r>
              <w:rPr>
                <w:rFonts w:cs="Calibri"/>
                <w:sz w:val="20"/>
                <w:szCs w:val="20"/>
              </w:rPr>
              <w:t xml:space="preserve"> to conditions and requirements placed upon development teams</w:t>
            </w:r>
            <w:r w:rsidR="00A52A75">
              <w:rPr>
                <w:rFonts w:cs="Calibri"/>
                <w:sz w:val="20"/>
                <w:szCs w:val="20"/>
              </w:rPr>
              <w:t xml:space="preserve"> are clearly presented within the report</w:t>
            </w:r>
            <w:r>
              <w:rPr>
                <w:rFonts w:cs="Calibri"/>
                <w:sz w:val="20"/>
                <w:szCs w:val="20"/>
              </w:rPr>
              <w:t>.</w:t>
            </w:r>
          </w:p>
          <w:p w14:paraId="5BE2764A" w14:textId="77777777" w:rsidR="00562631" w:rsidRPr="008A7C39" w:rsidRDefault="00562631" w:rsidP="008A7C39">
            <w:pPr>
              <w:spacing w:after="0" w:line="240" w:lineRule="auto"/>
              <w:rPr>
                <w:rFonts w:cs="Calibri"/>
                <w:sz w:val="20"/>
                <w:szCs w:val="20"/>
              </w:rPr>
            </w:pPr>
          </w:p>
          <w:p w14:paraId="19E0DBD6" w14:textId="58A1AD20" w:rsidR="00562631" w:rsidRPr="008A7C39" w:rsidRDefault="00562631" w:rsidP="008A7C39">
            <w:pPr>
              <w:spacing w:after="0" w:line="240" w:lineRule="auto"/>
              <w:rPr>
                <w:rFonts w:cs="Calibri"/>
                <w:sz w:val="20"/>
                <w:szCs w:val="20"/>
              </w:rPr>
            </w:pPr>
            <w:r w:rsidRPr="008A7C39">
              <w:rPr>
                <w:rFonts w:cs="Calibri"/>
                <w:sz w:val="20"/>
                <w:szCs w:val="20"/>
              </w:rPr>
              <w:t xml:space="preserve">LQC noted </w:t>
            </w:r>
            <w:r w:rsidR="008334A4">
              <w:rPr>
                <w:rFonts w:cs="Calibri"/>
                <w:sz w:val="20"/>
                <w:szCs w:val="20"/>
              </w:rPr>
              <w:t xml:space="preserve">the </w:t>
            </w:r>
            <w:r w:rsidRPr="008A7C39">
              <w:rPr>
                <w:rFonts w:cs="Calibri"/>
                <w:sz w:val="20"/>
                <w:szCs w:val="20"/>
              </w:rPr>
              <w:t xml:space="preserve">ARG request concerning the relevance of Greenwich Graduate </w:t>
            </w:r>
            <w:r w:rsidR="008334A4">
              <w:rPr>
                <w:rFonts w:cs="Calibri"/>
                <w:sz w:val="20"/>
                <w:szCs w:val="20"/>
              </w:rPr>
              <w:t>A</w:t>
            </w:r>
            <w:r w:rsidRPr="008A7C39">
              <w:rPr>
                <w:rFonts w:cs="Calibri"/>
                <w:sz w:val="20"/>
                <w:szCs w:val="20"/>
              </w:rPr>
              <w:t>ttributes to the conduct of partnership review and approvals.  LQC agreed that this should be less aimed at unitary imposition of GGA</w:t>
            </w:r>
            <w:r>
              <w:rPr>
                <w:rFonts w:cs="Calibri"/>
                <w:sz w:val="20"/>
                <w:szCs w:val="20"/>
              </w:rPr>
              <w:t xml:space="preserve"> terminology</w:t>
            </w:r>
            <w:r w:rsidRPr="008A7C39">
              <w:rPr>
                <w:rFonts w:cs="Calibri"/>
                <w:sz w:val="20"/>
                <w:szCs w:val="20"/>
              </w:rPr>
              <w:t xml:space="preserve"> but focussed on how well a programme team </w:t>
            </w:r>
            <w:r>
              <w:rPr>
                <w:rFonts w:cs="Calibri"/>
                <w:sz w:val="20"/>
                <w:szCs w:val="20"/>
              </w:rPr>
              <w:t>is</w:t>
            </w:r>
            <w:r w:rsidRPr="008A7C39">
              <w:rPr>
                <w:rFonts w:cs="Calibri"/>
                <w:sz w:val="20"/>
                <w:szCs w:val="20"/>
              </w:rPr>
              <w:t xml:space="preserve"> engaged in understanding the curriculum and skills they are teaching, particularly for franchised programmes of study. With this in mind panels may need to be guided to ask GGA questions in a more indirect manner than appears at present</w:t>
            </w:r>
            <w:r w:rsidR="00A52A75">
              <w:rPr>
                <w:rFonts w:cs="Calibri"/>
                <w:sz w:val="20"/>
                <w:szCs w:val="20"/>
              </w:rPr>
              <w:t>.</w:t>
            </w:r>
          </w:p>
          <w:p w14:paraId="625E6A3F" w14:textId="77777777" w:rsidR="00562631" w:rsidRPr="008A7C39" w:rsidRDefault="00562631" w:rsidP="008A7C39">
            <w:pPr>
              <w:spacing w:after="0" w:line="240" w:lineRule="auto"/>
              <w:rPr>
                <w:rFonts w:cs="Calibri"/>
                <w:sz w:val="20"/>
                <w:szCs w:val="20"/>
              </w:rPr>
            </w:pPr>
          </w:p>
          <w:p w14:paraId="5B1ED3FE" w14:textId="77777777" w:rsidR="00562631" w:rsidRPr="008A7C39" w:rsidRDefault="00562631" w:rsidP="008A7C39">
            <w:pPr>
              <w:spacing w:after="0" w:line="240" w:lineRule="auto"/>
              <w:rPr>
                <w:rFonts w:cs="Calibri"/>
                <w:sz w:val="20"/>
                <w:szCs w:val="20"/>
              </w:rPr>
            </w:pPr>
            <w:r w:rsidRPr="008A7C39">
              <w:rPr>
                <w:rFonts w:cs="Calibri"/>
                <w:sz w:val="20"/>
                <w:szCs w:val="20"/>
              </w:rPr>
              <w:t>LQC requested ARG to clarify Point 11(d) of the January minutes</w:t>
            </w:r>
          </w:p>
          <w:p w14:paraId="48B7A0B3" w14:textId="77777777" w:rsidR="00562631" w:rsidRPr="008A7C39" w:rsidRDefault="00562631" w:rsidP="008A7C39">
            <w:pPr>
              <w:spacing w:after="0" w:line="240" w:lineRule="auto"/>
              <w:rPr>
                <w:rFonts w:cs="Calibri"/>
                <w:sz w:val="20"/>
                <w:szCs w:val="20"/>
              </w:rPr>
            </w:pPr>
          </w:p>
          <w:p w14:paraId="479CBC4F" w14:textId="77777777" w:rsidR="00562631" w:rsidRPr="008A7C39" w:rsidRDefault="00562631" w:rsidP="008A7C39">
            <w:pPr>
              <w:spacing w:after="0" w:line="240" w:lineRule="auto"/>
              <w:rPr>
                <w:rFonts w:cs="Calibri"/>
                <w:sz w:val="20"/>
                <w:szCs w:val="20"/>
              </w:rPr>
            </w:pPr>
            <w:r w:rsidRPr="008A7C39">
              <w:rPr>
                <w:rFonts w:cs="Calibri"/>
                <w:sz w:val="20"/>
                <w:szCs w:val="20"/>
              </w:rPr>
              <w:t>LQC agreed that 12(a):  enhancements to access online materials ought to be conditional where such lack of access is bound to adversely affect the student learning experience.</w:t>
            </w:r>
          </w:p>
          <w:p w14:paraId="62F0EEE6" w14:textId="77777777" w:rsidR="00562631" w:rsidRPr="008A7C39" w:rsidRDefault="00562631" w:rsidP="008A7C39">
            <w:pPr>
              <w:spacing w:after="0" w:line="240" w:lineRule="auto"/>
              <w:rPr>
                <w:rFonts w:cs="Calibri"/>
                <w:sz w:val="20"/>
                <w:szCs w:val="20"/>
              </w:rPr>
            </w:pPr>
          </w:p>
          <w:p w14:paraId="5009E357" w14:textId="77777777" w:rsidR="00562631" w:rsidRPr="008A7C39" w:rsidRDefault="00562631" w:rsidP="008A7C39">
            <w:pPr>
              <w:spacing w:after="0" w:line="240" w:lineRule="auto"/>
              <w:rPr>
                <w:rFonts w:cs="Calibri"/>
                <w:sz w:val="20"/>
                <w:szCs w:val="20"/>
              </w:rPr>
            </w:pPr>
            <w:r w:rsidRPr="008A7C39">
              <w:rPr>
                <w:rFonts w:cs="Calibri"/>
                <w:sz w:val="20"/>
                <w:szCs w:val="20"/>
              </w:rPr>
              <w:t>LQC noted in response to 12(b) – the use of statistical data in reviews – that “official” statistical data is the only source to be used at this time – meaning HESA returns</w:t>
            </w:r>
            <w:r w:rsidR="008616A0">
              <w:rPr>
                <w:rFonts w:cs="Calibri"/>
                <w:sz w:val="20"/>
                <w:szCs w:val="20"/>
              </w:rPr>
              <w:t xml:space="preserve"> and data from PAS</w:t>
            </w:r>
            <w:r w:rsidRPr="008A7C39">
              <w:rPr>
                <w:rFonts w:cs="Calibri"/>
                <w:sz w:val="20"/>
                <w:szCs w:val="20"/>
              </w:rPr>
              <w:t>.  However, LQC acknowledged that such datasets, currently under discussion as part of the University’s new Business Information system</w:t>
            </w:r>
            <w:r w:rsidR="008616A0">
              <w:rPr>
                <w:rFonts w:cs="Calibri"/>
                <w:sz w:val="20"/>
                <w:szCs w:val="20"/>
              </w:rPr>
              <w:t xml:space="preserve">, </w:t>
            </w:r>
            <w:r w:rsidRPr="008A7C39">
              <w:rPr>
                <w:rFonts w:cs="Calibri"/>
                <w:sz w:val="20"/>
                <w:szCs w:val="20"/>
              </w:rPr>
              <w:t>need to be enhanced to include cohort analysis as a priority.</w:t>
            </w:r>
          </w:p>
          <w:p w14:paraId="26636F20" w14:textId="77777777" w:rsidR="00562631" w:rsidRPr="008A7C39" w:rsidRDefault="00562631" w:rsidP="008A7C39">
            <w:pPr>
              <w:spacing w:after="0" w:line="240" w:lineRule="auto"/>
              <w:rPr>
                <w:rFonts w:cs="Calibri"/>
                <w:sz w:val="20"/>
                <w:szCs w:val="20"/>
              </w:rPr>
            </w:pPr>
          </w:p>
        </w:tc>
        <w:tc>
          <w:tcPr>
            <w:tcW w:w="1050" w:type="dxa"/>
          </w:tcPr>
          <w:p w14:paraId="4FAAF564" w14:textId="77777777" w:rsidR="00562631" w:rsidRPr="008A7C39" w:rsidRDefault="00562631" w:rsidP="008A7C39">
            <w:pPr>
              <w:spacing w:after="0" w:line="240" w:lineRule="auto"/>
              <w:rPr>
                <w:rFonts w:cs="Calibri"/>
                <w:sz w:val="20"/>
                <w:szCs w:val="20"/>
              </w:rPr>
            </w:pPr>
          </w:p>
        </w:tc>
      </w:tr>
      <w:tr w:rsidR="00562631" w:rsidRPr="008A7C39" w14:paraId="10E6358A"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270387CB"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lastRenderedPageBreak/>
              <w:t>Action</w:t>
            </w:r>
          </w:p>
        </w:tc>
        <w:tc>
          <w:tcPr>
            <w:tcW w:w="7147" w:type="dxa"/>
          </w:tcPr>
          <w:p w14:paraId="4D7D359C"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Points raised in ARG minutes relating to possible enhancements and additional guidance to panels to be reviewed for inclusion in the next version of the QA Handbook</w:t>
            </w:r>
          </w:p>
          <w:p w14:paraId="577E8AB8" w14:textId="77777777" w:rsidR="00562631" w:rsidRPr="008A7C39" w:rsidRDefault="00562631" w:rsidP="008A7C39">
            <w:pPr>
              <w:spacing w:after="0" w:line="240" w:lineRule="auto"/>
              <w:rPr>
                <w:rFonts w:cs="Calibri"/>
                <w:b/>
                <w:color w:val="FF0000"/>
                <w:sz w:val="20"/>
                <w:szCs w:val="20"/>
              </w:rPr>
            </w:pPr>
          </w:p>
        </w:tc>
        <w:tc>
          <w:tcPr>
            <w:tcW w:w="1050" w:type="dxa"/>
          </w:tcPr>
          <w:p w14:paraId="2C9CA803"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LQU</w:t>
            </w:r>
          </w:p>
        </w:tc>
      </w:tr>
      <w:tr w:rsidR="00562631" w:rsidRPr="008A7C39" w14:paraId="515BDB8B"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6AA09651" w14:textId="77777777" w:rsidR="00562631" w:rsidRPr="008A7C39" w:rsidRDefault="00562631" w:rsidP="008A7C39">
            <w:pPr>
              <w:spacing w:after="0" w:line="240" w:lineRule="auto"/>
              <w:rPr>
                <w:rFonts w:cs="Calibri"/>
                <w:b/>
                <w:color w:val="FF0000"/>
                <w:sz w:val="20"/>
                <w:szCs w:val="20"/>
              </w:rPr>
            </w:pPr>
          </w:p>
        </w:tc>
        <w:tc>
          <w:tcPr>
            <w:tcW w:w="7147" w:type="dxa"/>
          </w:tcPr>
          <w:p w14:paraId="2DB3A18E" w14:textId="77777777" w:rsidR="00562631" w:rsidRPr="008A7C39" w:rsidRDefault="00562631" w:rsidP="008A7C39">
            <w:pPr>
              <w:spacing w:after="0" w:line="240" w:lineRule="auto"/>
              <w:rPr>
                <w:rFonts w:cs="Calibri"/>
                <w:b/>
                <w:color w:val="FF0000"/>
                <w:sz w:val="20"/>
                <w:szCs w:val="20"/>
              </w:rPr>
            </w:pPr>
            <w:r w:rsidRPr="008A7C39">
              <w:rPr>
                <w:rFonts w:cs="Calibri"/>
                <w:b/>
                <w:color w:val="FF0000"/>
                <w:sz w:val="20"/>
                <w:szCs w:val="20"/>
              </w:rPr>
              <w:t xml:space="preserve">LQC sub-group to consider appropriate datasets for </w:t>
            </w:r>
            <w:r>
              <w:rPr>
                <w:rFonts w:cs="Calibri"/>
                <w:b/>
                <w:color w:val="FF0000"/>
                <w:sz w:val="20"/>
                <w:szCs w:val="20"/>
              </w:rPr>
              <w:t xml:space="preserve">inclusion in programme </w:t>
            </w:r>
            <w:r w:rsidRPr="008A7C39">
              <w:rPr>
                <w:rFonts w:cs="Calibri"/>
                <w:b/>
                <w:color w:val="FF0000"/>
                <w:sz w:val="20"/>
                <w:szCs w:val="20"/>
              </w:rPr>
              <w:t xml:space="preserve">review </w:t>
            </w:r>
          </w:p>
          <w:p w14:paraId="5F498F4A" w14:textId="77777777" w:rsidR="00562631" w:rsidRPr="008A7C39" w:rsidRDefault="00562631" w:rsidP="008A7C39">
            <w:pPr>
              <w:spacing w:after="0" w:line="240" w:lineRule="auto"/>
              <w:rPr>
                <w:rFonts w:cs="Calibri"/>
                <w:b/>
                <w:color w:val="FF0000"/>
                <w:sz w:val="20"/>
                <w:szCs w:val="20"/>
              </w:rPr>
            </w:pPr>
          </w:p>
        </w:tc>
        <w:tc>
          <w:tcPr>
            <w:tcW w:w="1050" w:type="dxa"/>
          </w:tcPr>
          <w:p w14:paraId="240AE765"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S. Leggatt</w:t>
            </w:r>
          </w:p>
        </w:tc>
      </w:tr>
      <w:tr w:rsidR="00562631" w:rsidRPr="008A7C39" w14:paraId="05210FDF"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4C0232C5" w14:textId="77777777" w:rsidR="00562631" w:rsidRPr="00586A11" w:rsidRDefault="00562631" w:rsidP="00586A11">
            <w:pPr>
              <w:spacing w:after="0" w:line="240" w:lineRule="auto"/>
              <w:jc w:val="right"/>
              <w:rPr>
                <w:rFonts w:cs="Calibri"/>
                <w:sz w:val="20"/>
                <w:szCs w:val="20"/>
              </w:rPr>
            </w:pPr>
            <w:r w:rsidRPr="00586A11">
              <w:rPr>
                <w:rFonts w:cs="Calibri"/>
                <w:sz w:val="20"/>
                <w:szCs w:val="20"/>
              </w:rPr>
              <w:t>(b)</w:t>
            </w:r>
          </w:p>
        </w:tc>
        <w:tc>
          <w:tcPr>
            <w:tcW w:w="7147" w:type="dxa"/>
          </w:tcPr>
          <w:p w14:paraId="0B629027" w14:textId="77777777" w:rsidR="00562631" w:rsidRPr="00586A11" w:rsidRDefault="00562631" w:rsidP="008A7C39">
            <w:pPr>
              <w:pStyle w:val="ListBullet"/>
              <w:numPr>
                <w:ilvl w:val="0"/>
                <w:numId w:val="0"/>
              </w:numPr>
              <w:spacing w:after="0" w:line="240" w:lineRule="auto"/>
              <w:rPr>
                <w:sz w:val="20"/>
                <w:szCs w:val="20"/>
                <w:u w:val="single"/>
              </w:rPr>
            </w:pPr>
            <w:r w:rsidRPr="00586A11">
              <w:rPr>
                <w:sz w:val="20"/>
                <w:szCs w:val="20"/>
                <w:u w:val="single"/>
              </w:rPr>
              <w:t>School LQC Minutes</w:t>
            </w:r>
          </w:p>
          <w:p w14:paraId="5F40E0D0" w14:textId="77777777" w:rsidR="00562631" w:rsidRPr="008A7C39" w:rsidRDefault="00562631" w:rsidP="008A7C39">
            <w:pPr>
              <w:pStyle w:val="ListBullet"/>
              <w:numPr>
                <w:ilvl w:val="0"/>
                <w:numId w:val="0"/>
              </w:numPr>
              <w:spacing w:after="0" w:line="240" w:lineRule="auto"/>
              <w:rPr>
                <w:sz w:val="20"/>
                <w:szCs w:val="20"/>
              </w:rPr>
            </w:pPr>
          </w:p>
          <w:p w14:paraId="56FD71B0" w14:textId="77777777" w:rsidR="00562631" w:rsidRDefault="00562631" w:rsidP="008A7C39">
            <w:pPr>
              <w:pStyle w:val="ListBullet"/>
              <w:numPr>
                <w:ilvl w:val="0"/>
                <w:numId w:val="0"/>
              </w:numPr>
              <w:spacing w:after="0" w:line="240" w:lineRule="auto"/>
              <w:rPr>
                <w:sz w:val="20"/>
                <w:szCs w:val="20"/>
              </w:rPr>
            </w:pPr>
            <w:r w:rsidRPr="008A7C39">
              <w:rPr>
                <w:sz w:val="20"/>
                <w:szCs w:val="20"/>
              </w:rPr>
              <w:t>Minutes of the School of CMS LQC raised the issue of what teaching and support materials the University ought to provide for its partners where a programme is franchised.  Discussion indicated variability of approach</w:t>
            </w:r>
            <w:r>
              <w:rPr>
                <w:sz w:val="20"/>
                <w:szCs w:val="20"/>
              </w:rPr>
              <w:t xml:space="preserve"> from no materials up to and including individual lecture notes</w:t>
            </w:r>
            <w:r w:rsidRPr="008A7C39">
              <w:rPr>
                <w:sz w:val="20"/>
                <w:szCs w:val="20"/>
              </w:rPr>
              <w:t xml:space="preserve">.  LQC requested that ACC discuss the issue with a view to providing clear indications of requirements and expectations </w:t>
            </w:r>
            <w:r w:rsidR="008616A0">
              <w:rPr>
                <w:sz w:val="20"/>
                <w:szCs w:val="20"/>
              </w:rPr>
              <w:t>in the development of franchise programmes with either new or existing partners.</w:t>
            </w:r>
          </w:p>
          <w:p w14:paraId="53FF5CE1" w14:textId="77777777" w:rsidR="00562631" w:rsidRPr="008A7C39" w:rsidRDefault="00562631" w:rsidP="008A7C39">
            <w:pPr>
              <w:pStyle w:val="ListBullet"/>
              <w:numPr>
                <w:ilvl w:val="0"/>
                <w:numId w:val="0"/>
              </w:numPr>
              <w:spacing w:after="0" w:line="240" w:lineRule="auto"/>
              <w:rPr>
                <w:sz w:val="20"/>
                <w:szCs w:val="20"/>
              </w:rPr>
            </w:pPr>
          </w:p>
        </w:tc>
        <w:tc>
          <w:tcPr>
            <w:tcW w:w="1050" w:type="dxa"/>
          </w:tcPr>
          <w:p w14:paraId="069B0BD1" w14:textId="77777777" w:rsidR="00562631" w:rsidRPr="00D90166" w:rsidRDefault="00562631" w:rsidP="008A7C39">
            <w:pPr>
              <w:spacing w:after="0" w:line="240" w:lineRule="auto"/>
              <w:rPr>
                <w:rFonts w:cs="Calibri"/>
                <w:b/>
                <w:color w:val="FF0000"/>
                <w:sz w:val="16"/>
                <w:szCs w:val="16"/>
              </w:rPr>
            </w:pPr>
          </w:p>
        </w:tc>
      </w:tr>
      <w:tr w:rsidR="00562631" w:rsidRPr="008A7C39" w14:paraId="464B88EB"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606A814D" w14:textId="77777777" w:rsidR="00562631" w:rsidRPr="008A7C39" w:rsidRDefault="00562631" w:rsidP="008A7C39">
            <w:pPr>
              <w:spacing w:after="0" w:line="240" w:lineRule="auto"/>
              <w:rPr>
                <w:rFonts w:cs="Calibri"/>
                <w:b/>
                <w:color w:val="FF0000"/>
                <w:sz w:val="20"/>
                <w:szCs w:val="20"/>
              </w:rPr>
            </w:pPr>
            <w:r>
              <w:rPr>
                <w:rFonts w:cs="Calibri"/>
                <w:b/>
                <w:color w:val="FF0000"/>
                <w:sz w:val="20"/>
                <w:szCs w:val="20"/>
              </w:rPr>
              <w:t>Action</w:t>
            </w:r>
          </w:p>
        </w:tc>
        <w:tc>
          <w:tcPr>
            <w:tcW w:w="7147" w:type="dxa"/>
          </w:tcPr>
          <w:p w14:paraId="70EF5604" w14:textId="77777777" w:rsidR="00562631" w:rsidRPr="00586A11" w:rsidRDefault="00562631" w:rsidP="008A7C39">
            <w:pPr>
              <w:pStyle w:val="ListBullet"/>
              <w:numPr>
                <w:ilvl w:val="0"/>
                <w:numId w:val="0"/>
              </w:numPr>
              <w:spacing w:after="0" w:line="240" w:lineRule="auto"/>
              <w:rPr>
                <w:b/>
                <w:color w:val="FF0000"/>
                <w:sz w:val="20"/>
                <w:szCs w:val="20"/>
              </w:rPr>
            </w:pPr>
            <w:r w:rsidRPr="00586A11">
              <w:rPr>
                <w:b/>
                <w:color w:val="FF0000"/>
                <w:sz w:val="20"/>
                <w:szCs w:val="20"/>
              </w:rPr>
              <w:t>Academic Collaboration Committee to discuss and define the extent and nature of any academic support materials that the University should supply to its partners delivering franchised programmes of study.</w:t>
            </w:r>
          </w:p>
          <w:p w14:paraId="28C3B8A3" w14:textId="77777777" w:rsidR="00562631" w:rsidRPr="00586A11" w:rsidRDefault="00562631" w:rsidP="008A7C39">
            <w:pPr>
              <w:pStyle w:val="ListBullet"/>
              <w:numPr>
                <w:ilvl w:val="0"/>
                <w:numId w:val="0"/>
              </w:numPr>
              <w:spacing w:after="0" w:line="240" w:lineRule="auto"/>
              <w:rPr>
                <w:b/>
                <w:color w:val="FF0000"/>
                <w:sz w:val="20"/>
                <w:szCs w:val="20"/>
              </w:rPr>
            </w:pPr>
          </w:p>
        </w:tc>
        <w:tc>
          <w:tcPr>
            <w:tcW w:w="1050" w:type="dxa"/>
          </w:tcPr>
          <w:p w14:paraId="778F0F51" w14:textId="77777777" w:rsidR="00562631" w:rsidRPr="00D90166" w:rsidRDefault="00562631" w:rsidP="008A7C39">
            <w:pPr>
              <w:spacing w:after="0" w:line="240" w:lineRule="auto"/>
              <w:rPr>
                <w:rFonts w:cs="Calibri"/>
                <w:b/>
                <w:color w:val="FF0000"/>
                <w:sz w:val="16"/>
                <w:szCs w:val="16"/>
              </w:rPr>
            </w:pPr>
            <w:r w:rsidRPr="00D90166">
              <w:rPr>
                <w:rFonts w:cs="Calibri"/>
                <w:b/>
                <w:color w:val="FF0000"/>
                <w:sz w:val="16"/>
                <w:szCs w:val="16"/>
              </w:rPr>
              <w:t>ACC</w:t>
            </w:r>
          </w:p>
        </w:tc>
      </w:tr>
      <w:tr w:rsidR="00562631" w:rsidRPr="008A7C39" w14:paraId="7548D02D"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5AD067D3" w14:textId="77777777" w:rsidR="00562631" w:rsidRPr="008A7C39" w:rsidRDefault="00562631" w:rsidP="008A7C39">
            <w:pPr>
              <w:spacing w:after="0" w:line="240" w:lineRule="auto"/>
              <w:rPr>
                <w:rFonts w:cs="Calibri"/>
                <w:sz w:val="20"/>
                <w:szCs w:val="20"/>
              </w:rPr>
            </w:pPr>
            <w:r w:rsidRPr="008A7C39">
              <w:rPr>
                <w:rFonts w:cs="Calibri"/>
                <w:sz w:val="20"/>
                <w:szCs w:val="20"/>
              </w:rPr>
              <w:t>LQC/12/6.8</w:t>
            </w:r>
          </w:p>
        </w:tc>
        <w:tc>
          <w:tcPr>
            <w:tcW w:w="7147" w:type="dxa"/>
          </w:tcPr>
          <w:p w14:paraId="082BFC4C" w14:textId="77777777" w:rsidR="00562631" w:rsidRPr="008A7C39" w:rsidRDefault="00562631" w:rsidP="008A7C39">
            <w:pPr>
              <w:spacing w:after="0" w:line="240" w:lineRule="auto"/>
              <w:rPr>
                <w:rFonts w:cs="Calibri"/>
                <w:b/>
                <w:sz w:val="20"/>
                <w:szCs w:val="20"/>
              </w:rPr>
            </w:pPr>
            <w:r w:rsidRPr="008A7C39">
              <w:rPr>
                <w:rFonts w:cs="Calibri"/>
                <w:b/>
                <w:sz w:val="20"/>
                <w:szCs w:val="20"/>
              </w:rPr>
              <w:t>Items from the DLQ Group</w:t>
            </w:r>
          </w:p>
          <w:p w14:paraId="1A7A9FA4" w14:textId="77777777" w:rsidR="00562631" w:rsidRPr="008A7C39" w:rsidRDefault="00562631" w:rsidP="008A7C39">
            <w:pPr>
              <w:spacing w:after="0" w:line="240" w:lineRule="auto"/>
              <w:rPr>
                <w:rFonts w:cs="Calibri"/>
                <w:b/>
                <w:sz w:val="20"/>
                <w:szCs w:val="20"/>
              </w:rPr>
            </w:pPr>
          </w:p>
        </w:tc>
        <w:tc>
          <w:tcPr>
            <w:tcW w:w="1050" w:type="dxa"/>
          </w:tcPr>
          <w:p w14:paraId="6D4B1A9C" w14:textId="77777777" w:rsidR="00562631" w:rsidRPr="008A7C39" w:rsidRDefault="00562631" w:rsidP="008A7C39">
            <w:pPr>
              <w:spacing w:after="0" w:line="240" w:lineRule="auto"/>
              <w:rPr>
                <w:rFonts w:cs="Calibri"/>
                <w:sz w:val="20"/>
                <w:szCs w:val="20"/>
              </w:rPr>
            </w:pPr>
          </w:p>
        </w:tc>
      </w:tr>
      <w:tr w:rsidR="00562631" w:rsidRPr="008A7C39" w14:paraId="7C6F6D51"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056731C8" w14:textId="77777777" w:rsidR="00562631" w:rsidRPr="008A7C39" w:rsidRDefault="00562631" w:rsidP="008A7C39">
            <w:pPr>
              <w:spacing w:after="0" w:line="240" w:lineRule="auto"/>
              <w:rPr>
                <w:rFonts w:cs="Calibri"/>
                <w:sz w:val="20"/>
                <w:szCs w:val="20"/>
              </w:rPr>
            </w:pPr>
          </w:p>
        </w:tc>
        <w:tc>
          <w:tcPr>
            <w:tcW w:w="7147" w:type="dxa"/>
          </w:tcPr>
          <w:p w14:paraId="62ED7AA1" w14:textId="77777777" w:rsidR="00562631" w:rsidRPr="008A7C39" w:rsidRDefault="00562631" w:rsidP="008A7C39">
            <w:pPr>
              <w:spacing w:after="0" w:line="240" w:lineRule="auto"/>
              <w:rPr>
                <w:rFonts w:cs="Calibri"/>
                <w:sz w:val="20"/>
                <w:szCs w:val="20"/>
              </w:rPr>
            </w:pPr>
            <w:r w:rsidRPr="008A7C39">
              <w:rPr>
                <w:rFonts w:cs="Calibri"/>
                <w:sz w:val="20"/>
                <w:szCs w:val="20"/>
              </w:rPr>
              <w:t>LQC acknowledged that the Group would meet to consider course monitoring forms and their consistency before the end of the session.</w:t>
            </w:r>
          </w:p>
          <w:p w14:paraId="4B865C70" w14:textId="77777777" w:rsidR="00562631" w:rsidRPr="008A7C39" w:rsidRDefault="00562631" w:rsidP="008A7C39">
            <w:pPr>
              <w:spacing w:after="0" w:line="240" w:lineRule="auto"/>
              <w:rPr>
                <w:rFonts w:cs="Calibri"/>
                <w:sz w:val="20"/>
                <w:szCs w:val="20"/>
              </w:rPr>
            </w:pPr>
          </w:p>
        </w:tc>
        <w:tc>
          <w:tcPr>
            <w:tcW w:w="1050" w:type="dxa"/>
          </w:tcPr>
          <w:p w14:paraId="7C950861" w14:textId="77777777" w:rsidR="00562631" w:rsidRPr="008A7C39" w:rsidRDefault="00562631" w:rsidP="008A7C39">
            <w:pPr>
              <w:spacing w:after="0" w:line="240" w:lineRule="auto"/>
              <w:rPr>
                <w:rFonts w:cs="Calibri"/>
                <w:sz w:val="20"/>
                <w:szCs w:val="20"/>
              </w:rPr>
            </w:pPr>
          </w:p>
        </w:tc>
      </w:tr>
      <w:tr w:rsidR="00562631" w:rsidRPr="008A7C39" w14:paraId="28FEA6C9"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59C1B4D6" w14:textId="77777777" w:rsidR="00562631" w:rsidRPr="008A7C39" w:rsidRDefault="00562631" w:rsidP="008A7C39">
            <w:pPr>
              <w:spacing w:after="0" w:line="240" w:lineRule="auto"/>
              <w:rPr>
                <w:rFonts w:cs="Calibri"/>
                <w:sz w:val="20"/>
                <w:szCs w:val="20"/>
              </w:rPr>
            </w:pPr>
            <w:r w:rsidRPr="008A7C39">
              <w:rPr>
                <w:rFonts w:cs="Calibri"/>
                <w:sz w:val="20"/>
                <w:szCs w:val="20"/>
              </w:rPr>
              <w:t>LQC/12/6.9</w:t>
            </w:r>
          </w:p>
        </w:tc>
        <w:tc>
          <w:tcPr>
            <w:tcW w:w="7147" w:type="dxa"/>
          </w:tcPr>
          <w:p w14:paraId="77434BAF" w14:textId="77777777" w:rsidR="00562631" w:rsidRPr="008A7C39" w:rsidRDefault="00562631" w:rsidP="008A7C39">
            <w:pPr>
              <w:spacing w:after="0" w:line="240" w:lineRule="auto"/>
              <w:rPr>
                <w:rFonts w:cs="Calibri"/>
                <w:b/>
                <w:sz w:val="20"/>
                <w:szCs w:val="20"/>
              </w:rPr>
            </w:pPr>
            <w:r w:rsidRPr="008A7C39">
              <w:rPr>
                <w:rFonts w:cs="Calibri"/>
                <w:b/>
                <w:sz w:val="20"/>
                <w:szCs w:val="20"/>
              </w:rPr>
              <w:t>Items for information</w:t>
            </w:r>
          </w:p>
          <w:p w14:paraId="6BBB5F86" w14:textId="77777777" w:rsidR="00562631" w:rsidRPr="008A7C39" w:rsidRDefault="00562631" w:rsidP="008A7C39">
            <w:pPr>
              <w:spacing w:after="0" w:line="240" w:lineRule="auto"/>
              <w:rPr>
                <w:rFonts w:cs="Calibri"/>
                <w:b/>
                <w:sz w:val="20"/>
                <w:szCs w:val="20"/>
              </w:rPr>
            </w:pPr>
          </w:p>
        </w:tc>
        <w:tc>
          <w:tcPr>
            <w:tcW w:w="1050" w:type="dxa"/>
          </w:tcPr>
          <w:p w14:paraId="0E4C87B3" w14:textId="77777777" w:rsidR="00562631" w:rsidRPr="008A7C39" w:rsidRDefault="00562631" w:rsidP="008A7C39">
            <w:pPr>
              <w:spacing w:after="0" w:line="240" w:lineRule="auto"/>
              <w:rPr>
                <w:rFonts w:cs="Calibri"/>
                <w:sz w:val="20"/>
                <w:szCs w:val="20"/>
              </w:rPr>
            </w:pPr>
          </w:p>
        </w:tc>
      </w:tr>
      <w:tr w:rsidR="00562631" w:rsidRPr="008A7C39" w14:paraId="3C039EDC"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4C512ECE" w14:textId="77777777" w:rsidR="00562631" w:rsidRPr="008A7C39" w:rsidRDefault="00562631" w:rsidP="008A7C39">
            <w:pPr>
              <w:spacing w:after="0" w:line="240" w:lineRule="auto"/>
              <w:rPr>
                <w:rFonts w:cs="Calibri"/>
                <w:sz w:val="20"/>
                <w:szCs w:val="20"/>
              </w:rPr>
            </w:pPr>
          </w:p>
        </w:tc>
        <w:tc>
          <w:tcPr>
            <w:tcW w:w="7147" w:type="dxa"/>
          </w:tcPr>
          <w:p w14:paraId="617D811B" w14:textId="77777777" w:rsidR="00562631" w:rsidRDefault="00562631" w:rsidP="008A7C39">
            <w:pPr>
              <w:spacing w:after="0" w:line="240" w:lineRule="auto"/>
              <w:rPr>
                <w:rFonts w:cs="Calibri"/>
                <w:sz w:val="20"/>
                <w:szCs w:val="20"/>
              </w:rPr>
            </w:pPr>
            <w:r>
              <w:rPr>
                <w:rFonts w:cs="Calibri"/>
                <w:sz w:val="20"/>
                <w:szCs w:val="20"/>
              </w:rPr>
              <w:t>The</w:t>
            </w:r>
            <w:r w:rsidRPr="008A7C39">
              <w:rPr>
                <w:rFonts w:cs="Calibri"/>
                <w:sz w:val="20"/>
                <w:szCs w:val="20"/>
              </w:rPr>
              <w:t xml:space="preserve"> Chair noted that the Extenuating Circumstances Group has met and some revisions to the regulations will take place.  These will be circulated in due course and will be part of the May Academic Council Agenda.  </w:t>
            </w:r>
          </w:p>
          <w:p w14:paraId="26CED4B5" w14:textId="77777777" w:rsidR="00562631" w:rsidRPr="008A7C39" w:rsidRDefault="00562631" w:rsidP="008A7C39">
            <w:pPr>
              <w:spacing w:after="0" w:line="240" w:lineRule="auto"/>
              <w:rPr>
                <w:rFonts w:cs="Calibri"/>
                <w:sz w:val="20"/>
                <w:szCs w:val="20"/>
              </w:rPr>
            </w:pPr>
          </w:p>
        </w:tc>
        <w:tc>
          <w:tcPr>
            <w:tcW w:w="1050" w:type="dxa"/>
          </w:tcPr>
          <w:p w14:paraId="67C2ECCF" w14:textId="77777777" w:rsidR="00562631" w:rsidRPr="008A7C39" w:rsidRDefault="00562631" w:rsidP="008A7C39">
            <w:pPr>
              <w:spacing w:after="0" w:line="240" w:lineRule="auto"/>
              <w:rPr>
                <w:rFonts w:cs="Calibri"/>
                <w:sz w:val="20"/>
                <w:szCs w:val="20"/>
              </w:rPr>
            </w:pPr>
          </w:p>
        </w:tc>
      </w:tr>
      <w:tr w:rsidR="00562631" w:rsidRPr="008A7C39" w14:paraId="3AF1CFC2" w14:textId="77777777" w:rsidTr="00D9016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41" w:type="dxa"/>
          </w:tcPr>
          <w:p w14:paraId="71F239B5" w14:textId="77777777" w:rsidR="00562631" w:rsidRPr="008A7C39" w:rsidRDefault="00562631" w:rsidP="008A7C39">
            <w:pPr>
              <w:spacing w:after="0" w:line="240" w:lineRule="auto"/>
              <w:rPr>
                <w:rFonts w:cs="Calibri"/>
                <w:sz w:val="20"/>
                <w:szCs w:val="20"/>
              </w:rPr>
            </w:pPr>
            <w:r w:rsidRPr="008A7C39">
              <w:rPr>
                <w:rFonts w:cs="Calibri"/>
                <w:sz w:val="20"/>
                <w:szCs w:val="20"/>
              </w:rPr>
              <w:t>AOB</w:t>
            </w:r>
          </w:p>
        </w:tc>
        <w:tc>
          <w:tcPr>
            <w:tcW w:w="7147" w:type="dxa"/>
          </w:tcPr>
          <w:p w14:paraId="749CC225" w14:textId="77777777" w:rsidR="00562631" w:rsidRPr="008A7C39" w:rsidRDefault="00562631" w:rsidP="008A7C39">
            <w:pPr>
              <w:spacing w:after="0" w:line="240" w:lineRule="auto"/>
              <w:rPr>
                <w:rFonts w:cs="Calibri"/>
                <w:sz w:val="20"/>
                <w:szCs w:val="20"/>
              </w:rPr>
            </w:pPr>
            <w:r>
              <w:rPr>
                <w:rFonts w:cs="Calibri"/>
                <w:sz w:val="20"/>
                <w:szCs w:val="20"/>
              </w:rPr>
              <w:t>None</w:t>
            </w:r>
          </w:p>
        </w:tc>
        <w:tc>
          <w:tcPr>
            <w:tcW w:w="1050" w:type="dxa"/>
          </w:tcPr>
          <w:p w14:paraId="3CD10D23" w14:textId="77777777" w:rsidR="00562631" w:rsidRPr="008A7C39" w:rsidRDefault="00562631" w:rsidP="008A7C39">
            <w:pPr>
              <w:spacing w:after="0" w:line="240" w:lineRule="auto"/>
              <w:rPr>
                <w:rFonts w:cs="Calibri"/>
                <w:sz w:val="20"/>
                <w:szCs w:val="20"/>
              </w:rPr>
            </w:pPr>
          </w:p>
        </w:tc>
      </w:tr>
    </w:tbl>
    <w:p w14:paraId="69BC095C" w14:textId="77777777" w:rsidR="00562631" w:rsidRPr="008A7C39" w:rsidRDefault="00562631" w:rsidP="008A7C39">
      <w:pPr>
        <w:spacing w:after="0" w:line="240" w:lineRule="auto"/>
        <w:rPr>
          <w:sz w:val="20"/>
          <w:szCs w:val="20"/>
        </w:rPr>
      </w:pPr>
    </w:p>
    <w:tbl>
      <w:tblPr>
        <w:tblW w:w="8688" w:type="dxa"/>
        <w:tblLayout w:type="fixed"/>
        <w:tblLook w:val="01E0" w:firstRow="1" w:lastRow="1" w:firstColumn="1" w:lastColumn="1" w:noHBand="0" w:noVBand="0"/>
      </w:tblPr>
      <w:tblGrid>
        <w:gridCol w:w="1368"/>
        <w:gridCol w:w="7320"/>
      </w:tblGrid>
      <w:tr w:rsidR="00562631" w:rsidRPr="008A7C39" w14:paraId="34BC54C6" w14:textId="77777777" w:rsidTr="00D90166">
        <w:tc>
          <w:tcPr>
            <w:tcW w:w="1368" w:type="dxa"/>
          </w:tcPr>
          <w:p w14:paraId="6DBFFDFD" w14:textId="77777777" w:rsidR="00562631" w:rsidRPr="008A7C39" w:rsidRDefault="00562631" w:rsidP="008A7C39">
            <w:pPr>
              <w:spacing w:after="0" w:line="240" w:lineRule="auto"/>
              <w:rPr>
                <w:rFonts w:cs="Calibri"/>
                <w:sz w:val="20"/>
                <w:szCs w:val="20"/>
              </w:rPr>
            </w:pPr>
          </w:p>
        </w:tc>
        <w:tc>
          <w:tcPr>
            <w:tcW w:w="7320" w:type="dxa"/>
          </w:tcPr>
          <w:p w14:paraId="797FBE81" w14:textId="77777777" w:rsidR="00562631" w:rsidRPr="008A7C39" w:rsidRDefault="00562631" w:rsidP="008A7C39">
            <w:pPr>
              <w:spacing w:after="0" w:line="240" w:lineRule="auto"/>
              <w:rPr>
                <w:rFonts w:cs="Calibri"/>
                <w:sz w:val="20"/>
                <w:szCs w:val="20"/>
              </w:rPr>
            </w:pPr>
            <w:r w:rsidRPr="008A7C39">
              <w:rPr>
                <w:rFonts w:cs="Calibri"/>
                <w:sz w:val="20"/>
                <w:szCs w:val="20"/>
              </w:rPr>
              <w:t>Date of next meeting</w:t>
            </w:r>
          </w:p>
        </w:tc>
      </w:tr>
      <w:tr w:rsidR="00562631" w:rsidRPr="008A7C39" w14:paraId="68EDE790" w14:textId="77777777" w:rsidTr="00D90166">
        <w:tc>
          <w:tcPr>
            <w:tcW w:w="1368" w:type="dxa"/>
          </w:tcPr>
          <w:p w14:paraId="380CF7C9" w14:textId="77777777" w:rsidR="00562631" w:rsidRPr="008A7C39" w:rsidRDefault="00562631" w:rsidP="008A7C39">
            <w:pPr>
              <w:spacing w:after="0" w:line="240" w:lineRule="auto"/>
              <w:rPr>
                <w:rFonts w:cs="Calibri"/>
                <w:sz w:val="20"/>
                <w:szCs w:val="20"/>
              </w:rPr>
            </w:pPr>
          </w:p>
        </w:tc>
        <w:tc>
          <w:tcPr>
            <w:tcW w:w="7320" w:type="dxa"/>
          </w:tcPr>
          <w:p w14:paraId="648ABB46" w14:textId="77777777" w:rsidR="00562631" w:rsidRPr="008A7C39" w:rsidRDefault="00562631" w:rsidP="008A7C39">
            <w:pPr>
              <w:spacing w:after="0" w:line="240" w:lineRule="auto"/>
              <w:rPr>
                <w:rFonts w:cs="Calibri"/>
                <w:sz w:val="20"/>
                <w:szCs w:val="20"/>
              </w:rPr>
            </w:pPr>
          </w:p>
          <w:p w14:paraId="393F63CB" w14:textId="77777777" w:rsidR="00562631" w:rsidRPr="008A7C39" w:rsidRDefault="00562631" w:rsidP="008A7C39">
            <w:pPr>
              <w:spacing w:after="0" w:line="240" w:lineRule="auto"/>
              <w:rPr>
                <w:rFonts w:cs="Calibri"/>
                <w:sz w:val="20"/>
                <w:szCs w:val="20"/>
              </w:rPr>
            </w:pPr>
            <w:r w:rsidRPr="008A7C39">
              <w:rPr>
                <w:rFonts w:cs="Calibri"/>
                <w:sz w:val="20"/>
                <w:szCs w:val="20"/>
              </w:rPr>
              <w:t>Wednesday 8</w:t>
            </w:r>
            <w:r w:rsidRPr="008A7C39">
              <w:rPr>
                <w:rFonts w:cs="Calibri"/>
                <w:sz w:val="20"/>
                <w:szCs w:val="20"/>
                <w:vertAlign w:val="superscript"/>
              </w:rPr>
              <w:t>th</w:t>
            </w:r>
            <w:r w:rsidRPr="008A7C39">
              <w:rPr>
                <w:rFonts w:cs="Calibri"/>
                <w:sz w:val="20"/>
                <w:szCs w:val="20"/>
              </w:rPr>
              <w:t xml:space="preserve"> May 2013</w:t>
            </w:r>
          </w:p>
          <w:p w14:paraId="4FE423C9" w14:textId="77777777" w:rsidR="00562631" w:rsidRPr="008A7C39" w:rsidRDefault="00562631" w:rsidP="008A7C39">
            <w:pPr>
              <w:spacing w:after="0" w:line="240" w:lineRule="auto"/>
              <w:rPr>
                <w:rFonts w:cs="Calibri"/>
                <w:sz w:val="20"/>
                <w:szCs w:val="20"/>
              </w:rPr>
            </w:pPr>
            <w:r w:rsidRPr="008A7C39">
              <w:rPr>
                <w:rFonts w:cs="Calibri"/>
                <w:sz w:val="20"/>
                <w:szCs w:val="20"/>
              </w:rPr>
              <w:t>Queen Anne 075</w:t>
            </w:r>
          </w:p>
          <w:p w14:paraId="7E3DA2F8" w14:textId="77777777" w:rsidR="00562631" w:rsidRPr="008A7C39" w:rsidRDefault="00562631" w:rsidP="008A7C39">
            <w:pPr>
              <w:spacing w:after="0" w:line="240" w:lineRule="auto"/>
              <w:rPr>
                <w:rFonts w:cs="Calibri"/>
                <w:sz w:val="20"/>
                <w:szCs w:val="20"/>
              </w:rPr>
            </w:pPr>
            <w:r w:rsidRPr="008A7C39">
              <w:rPr>
                <w:rFonts w:cs="Calibri"/>
                <w:sz w:val="20"/>
                <w:szCs w:val="20"/>
              </w:rPr>
              <w:t>Greenwich Campus</w:t>
            </w:r>
          </w:p>
          <w:p w14:paraId="1DA1F2D7" w14:textId="77777777" w:rsidR="00562631" w:rsidRPr="008A7C39" w:rsidRDefault="00562631" w:rsidP="008A7C39">
            <w:pPr>
              <w:spacing w:after="0" w:line="240" w:lineRule="auto"/>
              <w:rPr>
                <w:rFonts w:cs="Calibri"/>
                <w:sz w:val="20"/>
                <w:szCs w:val="20"/>
              </w:rPr>
            </w:pPr>
            <w:r w:rsidRPr="008A7C39">
              <w:rPr>
                <w:rFonts w:cs="Calibri"/>
                <w:sz w:val="20"/>
                <w:szCs w:val="20"/>
              </w:rPr>
              <w:t>Commencing at 13.00</w:t>
            </w:r>
          </w:p>
        </w:tc>
      </w:tr>
    </w:tbl>
    <w:p w14:paraId="09D967C4" w14:textId="77777777" w:rsidR="00562631" w:rsidRPr="008A7C39" w:rsidRDefault="00562631" w:rsidP="008A7C39">
      <w:pPr>
        <w:spacing w:after="0" w:line="240" w:lineRule="auto"/>
        <w:ind w:left="180"/>
        <w:rPr>
          <w:rFonts w:cs="Calibri"/>
          <w:sz w:val="20"/>
          <w:szCs w:val="20"/>
        </w:rPr>
      </w:pPr>
    </w:p>
    <w:p w14:paraId="746E859E" w14:textId="77777777" w:rsidR="00562631" w:rsidRPr="008A7C39" w:rsidRDefault="00562631" w:rsidP="008A7C39">
      <w:pPr>
        <w:spacing w:after="0" w:line="240" w:lineRule="auto"/>
        <w:rPr>
          <w:rFonts w:cs="Calibri"/>
          <w:i/>
          <w:sz w:val="20"/>
          <w:szCs w:val="20"/>
        </w:rPr>
      </w:pPr>
    </w:p>
    <w:p w14:paraId="4F09002C" w14:textId="77777777" w:rsidR="00562631" w:rsidRPr="008A7C39" w:rsidRDefault="00562631" w:rsidP="008A7C39">
      <w:pPr>
        <w:spacing w:after="0" w:line="240" w:lineRule="auto"/>
        <w:rPr>
          <w:sz w:val="20"/>
          <w:szCs w:val="20"/>
        </w:rPr>
      </w:pPr>
      <w:r w:rsidRPr="008A7C39">
        <w:rPr>
          <w:rFonts w:cs="Calibri"/>
          <w:i/>
          <w:sz w:val="20"/>
          <w:szCs w:val="20"/>
        </w:rPr>
        <w:t>Officer:  Stephen Naylor</w:t>
      </w:r>
      <w:r w:rsidRPr="008A7C39">
        <w:rPr>
          <w:rFonts w:cs="Calibri"/>
          <w:i/>
          <w:sz w:val="20"/>
          <w:szCs w:val="20"/>
        </w:rPr>
        <w:tab/>
      </w:r>
      <w:r w:rsidRPr="008A7C39">
        <w:rPr>
          <w:rFonts w:cs="Calibri"/>
          <w:i/>
          <w:sz w:val="20"/>
          <w:szCs w:val="20"/>
        </w:rPr>
        <w:br/>
        <w:t xml:space="preserve">Tel: </w:t>
      </w:r>
      <w:r w:rsidRPr="008A7C39">
        <w:rPr>
          <w:rFonts w:cs="Calibri"/>
          <w:i/>
          <w:sz w:val="20"/>
          <w:szCs w:val="20"/>
        </w:rPr>
        <w:tab/>
        <w:t>8159</w:t>
      </w:r>
      <w:r w:rsidRPr="008A7C39">
        <w:rPr>
          <w:rFonts w:cs="Calibri"/>
          <w:i/>
          <w:sz w:val="20"/>
          <w:szCs w:val="20"/>
        </w:rPr>
        <w:br/>
        <w:t xml:space="preserve">Email: </w:t>
      </w:r>
      <w:hyperlink r:id="rId10" w:history="1">
        <w:r w:rsidRPr="008A7C39">
          <w:rPr>
            <w:rStyle w:val="Hyperlink"/>
            <w:rFonts w:cs="Calibri"/>
            <w:i/>
            <w:color w:val="auto"/>
            <w:sz w:val="20"/>
            <w:szCs w:val="20"/>
          </w:rPr>
          <w:t>ns01@gre.ac.uk</w:t>
        </w:r>
      </w:hyperlink>
      <w:r w:rsidRPr="008A7C39">
        <w:rPr>
          <w:sz w:val="20"/>
          <w:szCs w:val="20"/>
        </w:rPr>
        <w:t xml:space="preserve"> </w:t>
      </w:r>
    </w:p>
    <w:sectPr w:rsidR="00562631" w:rsidRPr="008A7C39" w:rsidSect="001957F0">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A63321" w14:textId="77777777" w:rsidR="000A7C22" w:rsidRDefault="000A7C22" w:rsidP="00540A44">
      <w:pPr>
        <w:spacing w:after="0" w:line="240" w:lineRule="auto"/>
      </w:pPr>
      <w:r>
        <w:separator/>
      </w:r>
    </w:p>
  </w:endnote>
  <w:endnote w:type="continuationSeparator" w:id="0">
    <w:p w14:paraId="29E19591" w14:textId="77777777" w:rsidR="000A7C22" w:rsidRDefault="000A7C22" w:rsidP="00540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E7C2E" w14:textId="77777777" w:rsidR="000A7C22" w:rsidRDefault="000A7C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B5728" w14:textId="77777777" w:rsidR="000A7C22" w:rsidRPr="00994B7E" w:rsidRDefault="000A7C22" w:rsidP="00994B7E">
    <w:pPr>
      <w:pStyle w:val="Footer"/>
      <w:pBdr>
        <w:top w:val="thinThickSmallGap" w:sz="24" w:space="1" w:color="622423"/>
      </w:pBdr>
      <w:tabs>
        <w:tab w:val="clear" w:pos="4513"/>
        <w:tab w:val="clear" w:pos="9026"/>
        <w:tab w:val="right" w:pos="9638"/>
      </w:tabs>
      <w:rPr>
        <w:rFonts w:ascii="Cambria" w:hAnsi="Cambria"/>
      </w:rPr>
    </w:pPr>
    <w:r>
      <w:rPr>
        <w:rFonts w:ascii="Cambria" w:hAnsi="Cambria"/>
      </w:rPr>
      <w:t>Learning and Quality Committee 12-M6 March 2013</w:t>
    </w:r>
    <w:r w:rsidRPr="00994B7E">
      <w:rPr>
        <w:rFonts w:ascii="Cambria" w:hAnsi="Cambria"/>
      </w:rPr>
      <w:tab/>
      <w:t xml:space="preserve">Page </w:t>
    </w:r>
    <w:r>
      <w:fldChar w:fldCharType="begin"/>
    </w:r>
    <w:r>
      <w:instrText xml:space="preserve"> PAGE   \* MERGEFORMAT </w:instrText>
    </w:r>
    <w:r>
      <w:fldChar w:fldCharType="separate"/>
    </w:r>
    <w:r w:rsidR="00D56E4B" w:rsidRPr="00D56E4B">
      <w:rPr>
        <w:rFonts w:ascii="Cambria" w:hAnsi="Cambria"/>
        <w:noProof/>
      </w:rPr>
      <w:t>1</w:t>
    </w:r>
    <w:r>
      <w:rPr>
        <w:rFonts w:ascii="Cambria" w:hAnsi="Cambria"/>
        <w:noProof/>
      </w:rPr>
      <w:fldChar w:fldCharType="end"/>
    </w:r>
  </w:p>
  <w:p w14:paraId="262B4631" w14:textId="77777777" w:rsidR="000A7C22" w:rsidRDefault="000A7C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D6CC1" w14:textId="77777777" w:rsidR="000A7C22" w:rsidRDefault="000A7C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46C887" w14:textId="77777777" w:rsidR="000A7C22" w:rsidRDefault="000A7C22" w:rsidP="00540A44">
      <w:pPr>
        <w:spacing w:after="0" w:line="240" w:lineRule="auto"/>
      </w:pPr>
      <w:r>
        <w:separator/>
      </w:r>
    </w:p>
  </w:footnote>
  <w:footnote w:type="continuationSeparator" w:id="0">
    <w:p w14:paraId="62ADAD07" w14:textId="77777777" w:rsidR="000A7C22" w:rsidRDefault="000A7C22" w:rsidP="00540A44">
      <w:pPr>
        <w:spacing w:after="0" w:line="240" w:lineRule="auto"/>
      </w:pPr>
      <w:r>
        <w:continuationSeparator/>
      </w:r>
    </w:p>
  </w:footnote>
  <w:footnote w:id="1">
    <w:p w14:paraId="52EC3327" w14:textId="14FD34EC" w:rsidR="000A7C22" w:rsidRDefault="000A7C22">
      <w:pPr>
        <w:pStyle w:val="FootnoteText"/>
      </w:pPr>
      <w:r>
        <w:rPr>
          <w:rStyle w:val="FootnoteReference"/>
        </w:rPr>
        <w:footnoteRef/>
      </w:r>
      <w:r>
        <w:t xml:space="preserve"> LQC officer contacted </w:t>
      </w:r>
      <w:r w:rsidR="0089447B">
        <w:t xml:space="preserve">Director </w:t>
      </w:r>
      <w:r>
        <w:t xml:space="preserve">of OSA 11/4/2013 with formal request for these items in absence of Deputy </w:t>
      </w:r>
      <w:r w:rsidR="0089447B">
        <w:t>Director.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76B2E" w14:textId="77777777" w:rsidR="000A7C22" w:rsidRDefault="000A7C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2CD39" w14:textId="77777777" w:rsidR="000A7C22" w:rsidRDefault="00D56E4B">
    <w:pPr>
      <w:pStyle w:val="Header"/>
    </w:pPr>
    <w:r>
      <w:rPr>
        <w:noProof/>
        <w:lang w:eastAsia="en-GB"/>
      </w:rPr>
      <w:pict w14:anchorId="7CAEA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53158" o:spid="_x0000_s2049" type="#_x0000_t136" style="position:absolute;margin-left:0;margin-top:0;width:522.65pt;height:156.8pt;rotation:315;z-index:-251658752;mso-position-horizontal:center;mso-position-horizontal-relative:margin;mso-position-vertical:center;mso-position-vertical-relative:margin" o:allowincell="f" fillcolor="silver" stroked="f">
          <v:fill opacity=".5"/>
          <v:textpath style="font-family:&quot;Calibri&quot;;font-size:1pt" string="Chair's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4D966" w14:textId="77777777" w:rsidR="000A7C22" w:rsidRDefault="000A7C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820F45C"/>
    <w:lvl w:ilvl="0">
      <w:start w:val="1"/>
      <w:numFmt w:val="bullet"/>
      <w:lvlText w:val=""/>
      <w:lvlJc w:val="left"/>
      <w:pPr>
        <w:tabs>
          <w:tab w:val="num" w:pos="360"/>
        </w:tabs>
        <w:ind w:left="360" w:hanging="360"/>
      </w:pPr>
      <w:rPr>
        <w:rFonts w:ascii="Symbol" w:hAnsi="Symbol" w:hint="default"/>
      </w:rPr>
    </w:lvl>
  </w:abstractNum>
  <w:abstractNum w:abstractNumId="1">
    <w:nsid w:val="03FE5C43"/>
    <w:multiLevelType w:val="hybridMultilevel"/>
    <w:tmpl w:val="813C67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B637A8C"/>
    <w:multiLevelType w:val="hybridMultilevel"/>
    <w:tmpl w:val="D22218EA"/>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2B84A86"/>
    <w:multiLevelType w:val="hybridMultilevel"/>
    <w:tmpl w:val="6AF25A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26B1935"/>
    <w:multiLevelType w:val="hybridMultilevel"/>
    <w:tmpl w:val="959E5372"/>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31263A9D"/>
    <w:multiLevelType w:val="hybridMultilevel"/>
    <w:tmpl w:val="A574CF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7E2251F"/>
    <w:multiLevelType w:val="multilevel"/>
    <w:tmpl w:val="45E4CC58"/>
    <w:lvl w:ilvl="0">
      <w:start w:val="1"/>
      <w:numFmt w:val="decimal"/>
      <w:lvlText w:val="%1."/>
      <w:lvlJc w:val="left"/>
      <w:pPr>
        <w:tabs>
          <w:tab w:val="num" w:pos="720"/>
        </w:tabs>
        <w:ind w:left="720" w:hanging="360"/>
      </w:pPr>
      <w:rPr>
        <w:rFonts w:cs="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8FB238E"/>
    <w:multiLevelType w:val="hybridMultilevel"/>
    <w:tmpl w:val="52D4F574"/>
    <w:lvl w:ilvl="0" w:tplc="13D4F4CA">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3B62627A"/>
    <w:multiLevelType w:val="multilevel"/>
    <w:tmpl w:val="E660AFB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DCB48FB"/>
    <w:multiLevelType w:val="hybridMultilevel"/>
    <w:tmpl w:val="FC72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38315B"/>
    <w:multiLevelType w:val="multilevel"/>
    <w:tmpl w:val="A17EE870"/>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445F3851"/>
    <w:multiLevelType w:val="hybridMultilevel"/>
    <w:tmpl w:val="76B69EA8"/>
    <w:lvl w:ilvl="0" w:tplc="042ECD60">
      <w:start w:val="1"/>
      <w:numFmt w:val="lowerLetter"/>
      <w:lvlText w:val="%1."/>
      <w:lvlJc w:val="left"/>
      <w:pPr>
        <w:tabs>
          <w:tab w:val="num" w:pos="720"/>
        </w:tabs>
        <w:ind w:left="720"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4AF732BE"/>
    <w:multiLevelType w:val="hybridMultilevel"/>
    <w:tmpl w:val="A9940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6CB60E9"/>
    <w:multiLevelType w:val="hybridMultilevel"/>
    <w:tmpl w:val="4600D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D236AC"/>
    <w:multiLevelType w:val="hybridMultilevel"/>
    <w:tmpl w:val="79CAA18A"/>
    <w:lvl w:ilvl="0" w:tplc="08090019">
      <w:start w:val="1"/>
      <w:numFmt w:val="lowerLetter"/>
      <w:lvlText w:val="%1."/>
      <w:lvlJc w:val="left"/>
      <w:pPr>
        <w:tabs>
          <w:tab w:val="num" w:pos="720"/>
        </w:tabs>
        <w:ind w:left="720" w:hanging="360"/>
      </w:pPr>
      <w:rPr>
        <w:rFonts w:cs="Times New Roman"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B9952A8"/>
    <w:multiLevelType w:val="hybridMultilevel"/>
    <w:tmpl w:val="A14C5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9869DC"/>
    <w:multiLevelType w:val="hybridMultilevel"/>
    <w:tmpl w:val="A17EE870"/>
    <w:lvl w:ilvl="0" w:tplc="FEFC9F44">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60B24654"/>
    <w:multiLevelType w:val="hybridMultilevel"/>
    <w:tmpl w:val="8BE683C6"/>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nsid w:val="63AE55E3"/>
    <w:multiLevelType w:val="hybridMultilevel"/>
    <w:tmpl w:val="6434B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3C246FD"/>
    <w:multiLevelType w:val="hybridMultilevel"/>
    <w:tmpl w:val="5630DDAA"/>
    <w:lvl w:ilvl="0" w:tplc="08090019">
      <w:start w:val="1"/>
      <w:numFmt w:val="lowerLetter"/>
      <w:pStyle w:val="ListBullet"/>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nsid w:val="6671496F"/>
    <w:multiLevelType w:val="hybridMultilevel"/>
    <w:tmpl w:val="BAC0CB76"/>
    <w:lvl w:ilvl="0" w:tplc="08090019">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6D133EB0"/>
    <w:multiLevelType w:val="hybridMultilevel"/>
    <w:tmpl w:val="72E8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7F564D"/>
    <w:multiLevelType w:val="hybridMultilevel"/>
    <w:tmpl w:val="3072E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7E6214"/>
    <w:multiLevelType w:val="hybridMultilevel"/>
    <w:tmpl w:val="500414AE"/>
    <w:lvl w:ilvl="0" w:tplc="08090019">
      <w:start w:val="1"/>
      <w:numFmt w:val="lowerLetter"/>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nsid w:val="7E596BD6"/>
    <w:multiLevelType w:val="hybridMultilevel"/>
    <w:tmpl w:val="6908F6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5"/>
  </w:num>
  <w:num w:numId="8">
    <w:abstractNumId w:val="24"/>
  </w:num>
  <w:num w:numId="9">
    <w:abstractNumId w:val="3"/>
  </w:num>
  <w:num w:numId="10">
    <w:abstractNumId w:val="14"/>
  </w:num>
  <w:num w:numId="11">
    <w:abstractNumId w:val="6"/>
  </w:num>
  <w:num w:numId="12">
    <w:abstractNumId w:val="11"/>
  </w:num>
  <w:num w:numId="13">
    <w:abstractNumId w:val="22"/>
  </w:num>
  <w:num w:numId="14">
    <w:abstractNumId w:val="9"/>
  </w:num>
  <w:num w:numId="15">
    <w:abstractNumId w:val="13"/>
  </w:num>
  <w:num w:numId="16">
    <w:abstractNumId w:val="18"/>
  </w:num>
  <w:num w:numId="17">
    <w:abstractNumId w:val="15"/>
  </w:num>
  <w:num w:numId="18">
    <w:abstractNumId w:val="2"/>
  </w:num>
  <w:num w:numId="19">
    <w:abstractNumId w:val="7"/>
  </w:num>
  <w:num w:numId="20">
    <w:abstractNumId w:val="20"/>
  </w:num>
  <w:num w:numId="21">
    <w:abstractNumId w:val="16"/>
  </w:num>
  <w:num w:numId="22">
    <w:abstractNumId w:val="10"/>
  </w:num>
  <w:num w:numId="23">
    <w:abstractNumId w:val="23"/>
  </w:num>
  <w:num w:numId="24">
    <w:abstractNumId w:val="8"/>
  </w:num>
  <w:num w:numId="25">
    <w:abstractNumId w:val="17"/>
  </w:num>
  <w:num w:numId="26">
    <w:abstractNumId w:val="19"/>
  </w:num>
  <w:num w:numId="27">
    <w:abstractNumId w:val="0"/>
  </w:num>
  <w:num w:numId="28">
    <w:abstractNumId w:val="21"/>
  </w:num>
  <w:num w:numId="29">
    <w:abstractNumId w:val="1"/>
  </w:num>
  <w:num w:numId="30">
    <w:abstractNumId w:val="4"/>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CA58CBF-D4C4-4833-A822-76F44B98001F}"/>
    <w:docVar w:name="dgnword-eventsink" w:val="71084928"/>
  </w:docVars>
  <w:rsids>
    <w:rsidRoot w:val="0081051E"/>
    <w:rsid w:val="00004160"/>
    <w:rsid w:val="00004524"/>
    <w:rsid w:val="00006E11"/>
    <w:rsid w:val="00010BA2"/>
    <w:rsid w:val="00013D77"/>
    <w:rsid w:val="0001414D"/>
    <w:rsid w:val="00021F23"/>
    <w:rsid w:val="00023B6B"/>
    <w:rsid w:val="000318E5"/>
    <w:rsid w:val="0003337C"/>
    <w:rsid w:val="0003785C"/>
    <w:rsid w:val="000442AA"/>
    <w:rsid w:val="00046186"/>
    <w:rsid w:val="00056E44"/>
    <w:rsid w:val="00061F6B"/>
    <w:rsid w:val="00062568"/>
    <w:rsid w:val="000676AC"/>
    <w:rsid w:val="000744E8"/>
    <w:rsid w:val="000A12DE"/>
    <w:rsid w:val="000A7C22"/>
    <w:rsid w:val="000B4563"/>
    <w:rsid w:val="000B5FC6"/>
    <w:rsid w:val="000C3AD6"/>
    <w:rsid w:val="000C596B"/>
    <w:rsid w:val="000C5D27"/>
    <w:rsid w:val="000E031C"/>
    <w:rsid w:val="000E1917"/>
    <w:rsid w:val="000E2630"/>
    <w:rsid w:val="000F0D68"/>
    <w:rsid w:val="000F44A6"/>
    <w:rsid w:val="00101322"/>
    <w:rsid w:val="0010227D"/>
    <w:rsid w:val="001022EC"/>
    <w:rsid w:val="001078EA"/>
    <w:rsid w:val="00110C4C"/>
    <w:rsid w:val="00121533"/>
    <w:rsid w:val="001239F9"/>
    <w:rsid w:val="00131617"/>
    <w:rsid w:val="00156078"/>
    <w:rsid w:val="00162FF2"/>
    <w:rsid w:val="00173EC5"/>
    <w:rsid w:val="001772AD"/>
    <w:rsid w:val="001837F8"/>
    <w:rsid w:val="001949E2"/>
    <w:rsid w:val="001957F0"/>
    <w:rsid w:val="001A2DAF"/>
    <w:rsid w:val="001A4779"/>
    <w:rsid w:val="001A640E"/>
    <w:rsid w:val="001A649F"/>
    <w:rsid w:val="001B0155"/>
    <w:rsid w:val="001B0AA5"/>
    <w:rsid w:val="001C60C2"/>
    <w:rsid w:val="001D5EA5"/>
    <w:rsid w:val="001E31E9"/>
    <w:rsid w:val="001F2340"/>
    <w:rsid w:val="002005D5"/>
    <w:rsid w:val="0020483F"/>
    <w:rsid w:val="0021244B"/>
    <w:rsid w:val="0021513C"/>
    <w:rsid w:val="00215303"/>
    <w:rsid w:val="00223A23"/>
    <w:rsid w:val="00224D1E"/>
    <w:rsid w:val="00234DCF"/>
    <w:rsid w:val="002369A4"/>
    <w:rsid w:val="00236ECC"/>
    <w:rsid w:val="00241917"/>
    <w:rsid w:val="0024192E"/>
    <w:rsid w:val="002458CA"/>
    <w:rsid w:val="00252771"/>
    <w:rsid w:val="002539AD"/>
    <w:rsid w:val="002616E2"/>
    <w:rsid w:val="00275E86"/>
    <w:rsid w:val="00277E32"/>
    <w:rsid w:val="002813C7"/>
    <w:rsid w:val="002A15F0"/>
    <w:rsid w:val="002A1F55"/>
    <w:rsid w:val="002A22EA"/>
    <w:rsid w:val="002B3C80"/>
    <w:rsid w:val="002B4351"/>
    <w:rsid w:val="002C1B37"/>
    <w:rsid w:val="002C1DA2"/>
    <w:rsid w:val="002C720F"/>
    <w:rsid w:val="002D1A61"/>
    <w:rsid w:val="002D2EEC"/>
    <w:rsid w:val="002D31F8"/>
    <w:rsid w:val="002D4BC8"/>
    <w:rsid w:val="002F32BE"/>
    <w:rsid w:val="002F398B"/>
    <w:rsid w:val="002F4E40"/>
    <w:rsid w:val="002F5257"/>
    <w:rsid w:val="002F57EE"/>
    <w:rsid w:val="003005CD"/>
    <w:rsid w:val="00316A92"/>
    <w:rsid w:val="00317245"/>
    <w:rsid w:val="003201F5"/>
    <w:rsid w:val="0032340E"/>
    <w:rsid w:val="003248BD"/>
    <w:rsid w:val="00327F42"/>
    <w:rsid w:val="00332579"/>
    <w:rsid w:val="0033391E"/>
    <w:rsid w:val="003565B2"/>
    <w:rsid w:val="00360960"/>
    <w:rsid w:val="00373A15"/>
    <w:rsid w:val="0037615B"/>
    <w:rsid w:val="00376399"/>
    <w:rsid w:val="00385E81"/>
    <w:rsid w:val="00394BCE"/>
    <w:rsid w:val="003A56B9"/>
    <w:rsid w:val="003B2EA4"/>
    <w:rsid w:val="003C637C"/>
    <w:rsid w:val="003D47C3"/>
    <w:rsid w:val="003D5841"/>
    <w:rsid w:val="003D738F"/>
    <w:rsid w:val="00410DB5"/>
    <w:rsid w:val="00424A89"/>
    <w:rsid w:val="00430B4F"/>
    <w:rsid w:val="00437FEF"/>
    <w:rsid w:val="00440859"/>
    <w:rsid w:val="00441349"/>
    <w:rsid w:val="0044568B"/>
    <w:rsid w:val="00446D78"/>
    <w:rsid w:val="00454D5E"/>
    <w:rsid w:val="00461DFF"/>
    <w:rsid w:val="004704BE"/>
    <w:rsid w:val="00470FC1"/>
    <w:rsid w:val="00473191"/>
    <w:rsid w:val="00483488"/>
    <w:rsid w:val="004B2BC3"/>
    <w:rsid w:val="004B4E82"/>
    <w:rsid w:val="004C0421"/>
    <w:rsid w:val="004C1CA5"/>
    <w:rsid w:val="004C529C"/>
    <w:rsid w:val="004C7F0B"/>
    <w:rsid w:val="004E2C45"/>
    <w:rsid w:val="004E5F80"/>
    <w:rsid w:val="004F2CA3"/>
    <w:rsid w:val="00503D4F"/>
    <w:rsid w:val="00506E5B"/>
    <w:rsid w:val="00510DBC"/>
    <w:rsid w:val="005116F9"/>
    <w:rsid w:val="00522B4B"/>
    <w:rsid w:val="005237FD"/>
    <w:rsid w:val="00540A44"/>
    <w:rsid w:val="00543100"/>
    <w:rsid w:val="00544BC9"/>
    <w:rsid w:val="00562631"/>
    <w:rsid w:val="00571666"/>
    <w:rsid w:val="005728CF"/>
    <w:rsid w:val="005804A7"/>
    <w:rsid w:val="00582485"/>
    <w:rsid w:val="0058501B"/>
    <w:rsid w:val="00585310"/>
    <w:rsid w:val="00586A11"/>
    <w:rsid w:val="00586CA2"/>
    <w:rsid w:val="00596C75"/>
    <w:rsid w:val="005A5D83"/>
    <w:rsid w:val="005B2025"/>
    <w:rsid w:val="005B5BDB"/>
    <w:rsid w:val="005C2100"/>
    <w:rsid w:val="005C3F33"/>
    <w:rsid w:val="005C5BDB"/>
    <w:rsid w:val="005D59F0"/>
    <w:rsid w:val="005D7D1C"/>
    <w:rsid w:val="005E15C1"/>
    <w:rsid w:val="005E4F47"/>
    <w:rsid w:val="005E7C07"/>
    <w:rsid w:val="005F21F4"/>
    <w:rsid w:val="005F3FB4"/>
    <w:rsid w:val="00606EB1"/>
    <w:rsid w:val="0061053F"/>
    <w:rsid w:val="006108C7"/>
    <w:rsid w:val="0061224D"/>
    <w:rsid w:val="00616A54"/>
    <w:rsid w:val="0063132B"/>
    <w:rsid w:val="0063156A"/>
    <w:rsid w:val="00632996"/>
    <w:rsid w:val="0064670D"/>
    <w:rsid w:val="0065590C"/>
    <w:rsid w:val="00656EA5"/>
    <w:rsid w:val="00663FD3"/>
    <w:rsid w:val="00673537"/>
    <w:rsid w:val="0067480C"/>
    <w:rsid w:val="00684277"/>
    <w:rsid w:val="00690C71"/>
    <w:rsid w:val="006979DD"/>
    <w:rsid w:val="006B0AA4"/>
    <w:rsid w:val="006B1027"/>
    <w:rsid w:val="006B43DA"/>
    <w:rsid w:val="006C5263"/>
    <w:rsid w:val="006C7B0D"/>
    <w:rsid w:val="006D176A"/>
    <w:rsid w:val="006E05CF"/>
    <w:rsid w:val="006E785F"/>
    <w:rsid w:val="006F4BC5"/>
    <w:rsid w:val="006F4EF0"/>
    <w:rsid w:val="007110C2"/>
    <w:rsid w:val="0072682D"/>
    <w:rsid w:val="00733AB9"/>
    <w:rsid w:val="00735AE3"/>
    <w:rsid w:val="00744082"/>
    <w:rsid w:val="007464D0"/>
    <w:rsid w:val="007516C5"/>
    <w:rsid w:val="007529E8"/>
    <w:rsid w:val="007554FC"/>
    <w:rsid w:val="007567C9"/>
    <w:rsid w:val="00772D24"/>
    <w:rsid w:val="007829C9"/>
    <w:rsid w:val="007860EF"/>
    <w:rsid w:val="007A3FFE"/>
    <w:rsid w:val="007A4F46"/>
    <w:rsid w:val="007B5687"/>
    <w:rsid w:val="007B7BB5"/>
    <w:rsid w:val="007C1DC5"/>
    <w:rsid w:val="007D7760"/>
    <w:rsid w:val="007E2521"/>
    <w:rsid w:val="007E7BC5"/>
    <w:rsid w:val="007F6850"/>
    <w:rsid w:val="0081051E"/>
    <w:rsid w:val="008108AD"/>
    <w:rsid w:val="00825391"/>
    <w:rsid w:val="00826C40"/>
    <w:rsid w:val="008321C6"/>
    <w:rsid w:val="008334A4"/>
    <w:rsid w:val="0084397A"/>
    <w:rsid w:val="008469B8"/>
    <w:rsid w:val="00853D42"/>
    <w:rsid w:val="00855BC6"/>
    <w:rsid w:val="00856859"/>
    <w:rsid w:val="008616A0"/>
    <w:rsid w:val="00870514"/>
    <w:rsid w:val="008729D5"/>
    <w:rsid w:val="0087597C"/>
    <w:rsid w:val="0088554D"/>
    <w:rsid w:val="00885648"/>
    <w:rsid w:val="0088707D"/>
    <w:rsid w:val="008919CF"/>
    <w:rsid w:val="008929C8"/>
    <w:rsid w:val="0089447B"/>
    <w:rsid w:val="00897530"/>
    <w:rsid w:val="00897544"/>
    <w:rsid w:val="008A55CD"/>
    <w:rsid w:val="008A7C39"/>
    <w:rsid w:val="008C72DC"/>
    <w:rsid w:val="008D3905"/>
    <w:rsid w:val="008D5322"/>
    <w:rsid w:val="008D68EB"/>
    <w:rsid w:val="008E5841"/>
    <w:rsid w:val="008F6BE1"/>
    <w:rsid w:val="008F702D"/>
    <w:rsid w:val="0093093D"/>
    <w:rsid w:val="00940628"/>
    <w:rsid w:val="0094233C"/>
    <w:rsid w:val="0094295F"/>
    <w:rsid w:val="009830B1"/>
    <w:rsid w:val="00984CED"/>
    <w:rsid w:val="00985E94"/>
    <w:rsid w:val="00994B7E"/>
    <w:rsid w:val="009A3568"/>
    <w:rsid w:val="009D1948"/>
    <w:rsid w:val="009E0DC6"/>
    <w:rsid w:val="009E33CA"/>
    <w:rsid w:val="009E466A"/>
    <w:rsid w:val="009F207F"/>
    <w:rsid w:val="009F26FB"/>
    <w:rsid w:val="00A1330D"/>
    <w:rsid w:val="00A154BE"/>
    <w:rsid w:val="00A21A11"/>
    <w:rsid w:val="00A26584"/>
    <w:rsid w:val="00A31D49"/>
    <w:rsid w:val="00A33F94"/>
    <w:rsid w:val="00A45D15"/>
    <w:rsid w:val="00A46CF4"/>
    <w:rsid w:val="00A52A75"/>
    <w:rsid w:val="00A53464"/>
    <w:rsid w:val="00A557E9"/>
    <w:rsid w:val="00A55BCA"/>
    <w:rsid w:val="00A60DD9"/>
    <w:rsid w:val="00A6112D"/>
    <w:rsid w:val="00A637C7"/>
    <w:rsid w:val="00A747B8"/>
    <w:rsid w:val="00A813AD"/>
    <w:rsid w:val="00A85B5E"/>
    <w:rsid w:val="00A96F09"/>
    <w:rsid w:val="00AA13CE"/>
    <w:rsid w:val="00AB0CD7"/>
    <w:rsid w:val="00AB3E37"/>
    <w:rsid w:val="00AC31FA"/>
    <w:rsid w:val="00AD4654"/>
    <w:rsid w:val="00AF277E"/>
    <w:rsid w:val="00AF48FF"/>
    <w:rsid w:val="00B0044C"/>
    <w:rsid w:val="00B020A2"/>
    <w:rsid w:val="00B227AC"/>
    <w:rsid w:val="00B33390"/>
    <w:rsid w:val="00B336A5"/>
    <w:rsid w:val="00B5476E"/>
    <w:rsid w:val="00B621FE"/>
    <w:rsid w:val="00B71293"/>
    <w:rsid w:val="00B8020B"/>
    <w:rsid w:val="00B821E3"/>
    <w:rsid w:val="00B82A1A"/>
    <w:rsid w:val="00B83566"/>
    <w:rsid w:val="00B84C9B"/>
    <w:rsid w:val="00B852DE"/>
    <w:rsid w:val="00B855A1"/>
    <w:rsid w:val="00B96D52"/>
    <w:rsid w:val="00BA3D21"/>
    <w:rsid w:val="00BB32E6"/>
    <w:rsid w:val="00BB712C"/>
    <w:rsid w:val="00BD1FDA"/>
    <w:rsid w:val="00BE5821"/>
    <w:rsid w:val="00BF1793"/>
    <w:rsid w:val="00C03781"/>
    <w:rsid w:val="00C13265"/>
    <w:rsid w:val="00C15ABD"/>
    <w:rsid w:val="00C16DF1"/>
    <w:rsid w:val="00C23DCE"/>
    <w:rsid w:val="00C26DF4"/>
    <w:rsid w:val="00C31822"/>
    <w:rsid w:val="00C32B4A"/>
    <w:rsid w:val="00C379A2"/>
    <w:rsid w:val="00C462B2"/>
    <w:rsid w:val="00C47589"/>
    <w:rsid w:val="00C47A4C"/>
    <w:rsid w:val="00C5074E"/>
    <w:rsid w:val="00C50901"/>
    <w:rsid w:val="00C60505"/>
    <w:rsid w:val="00C65E43"/>
    <w:rsid w:val="00C670E6"/>
    <w:rsid w:val="00C6785C"/>
    <w:rsid w:val="00C751F5"/>
    <w:rsid w:val="00C902A2"/>
    <w:rsid w:val="00C907D8"/>
    <w:rsid w:val="00C9376E"/>
    <w:rsid w:val="00C97BD2"/>
    <w:rsid w:val="00CA155E"/>
    <w:rsid w:val="00CA3106"/>
    <w:rsid w:val="00CA3402"/>
    <w:rsid w:val="00CA7635"/>
    <w:rsid w:val="00CB570D"/>
    <w:rsid w:val="00CC0923"/>
    <w:rsid w:val="00CC29AB"/>
    <w:rsid w:val="00CC740E"/>
    <w:rsid w:val="00CD3013"/>
    <w:rsid w:val="00CE16A3"/>
    <w:rsid w:val="00CF0ECD"/>
    <w:rsid w:val="00CF380E"/>
    <w:rsid w:val="00D074D2"/>
    <w:rsid w:val="00D101BD"/>
    <w:rsid w:val="00D14886"/>
    <w:rsid w:val="00D158A8"/>
    <w:rsid w:val="00D1618A"/>
    <w:rsid w:val="00D17A1B"/>
    <w:rsid w:val="00D2314B"/>
    <w:rsid w:val="00D27B7F"/>
    <w:rsid w:val="00D55623"/>
    <w:rsid w:val="00D56E4B"/>
    <w:rsid w:val="00D66F89"/>
    <w:rsid w:val="00D701DC"/>
    <w:rsid w:val="00D90166"/>
    <w:rsid w:val="00D912B6"/>
    <w:rsid w:val="00DA13ED"/>
    <w:rsid w:val="00DA2B7F"/>
    <w:rsid w:val="00DB335E"/>
    <w:rsid w:val="00DD1934"/>
    <w:rsid w:val="00DE06BF"/>
    <w:rsid w:val="00DE2E96"/>
    <w:rsid w:val="00DE5E93"/>
    <w:rsid w:val="00E03EED"/>
    <w:rsid w:val="00E069CF"/>
    <w:rsid w:val="00E1526B"/>
    <w:rsid w:val="00E23F71"/>
    <w:rsid w:val="00E3542C"/>
    <w:rsid w:val="00E41553"/>
    <w:rsid w:val="00E41FAA"/>
    <w:rsid w:val="00E42EC3"/>
    <w:rsid w:val="00E47E82"/>
    <w:rsid w:val="00E67AF8"/>
    <w:rsid w:val="00E725AE"/>
    <w:rsid w:val="00E72FBF"/>
    <w:rsid w:val="00E85998"/>
    <w:rsid w:val="00E90171"/>
    <w:rsid w:val="00E94CF7"/>
    <w:rsid w:val="00E94E13"/>
    <w:rsid w:val="00EC7291"/>
    <w:rsid w:val="00EE464D"/>
    <w:rsid w:val="00EF2C89"/>
    <w:rsid w:val="00EF3E8F"/>
    <w:rsid w:val="00EF796B"/>
    <w:rsid w:val="00F0648A"/>
    <w:rsid w:val="00F06521"/>
    <w:rsid w:val="00F06BF5"/>
    <w:rsid w:val="00F26608"/>
    <w:rsid w:val="00F26735"/>
    <w:rsid w:val="00F300E3"/>
    <w:rsid w:val="00F40577"/>
    <w:rsid w:val="00F423C6"/>
    <w:rsid w:val="00F51B32"/>
    <w:rsid w:val="00F64BBD"/>
    <w:rsid w:val="00F64FBE"/>
    <w:rsid w:val="00F81421"/>
    <w:rsid w:val="00F81F6B"/>
    <w:rsid w:val="00F83F78"/>
    <w:rsid w:val="00F869F0"/>
    <w:rsid w:val="00F90D7D"/>
    <w:rsid w:val="00F93AFA"/>
    <w:rsid w:val="00FB3322"/>
    <w:rsid w:val="00FB5061"/>
    <w:rsid w:val="00FB5110"/>
    <w:rsid w:val="00FB7D12"/>
    <w:rsid w:val="00FC393B"/>
    <w:rsid w:val="00FC4188"/>
    <w:rsid w:val="00FC4CBE"/>
    <w:rsid w:val="00FC6D96"/>
    <w:rsid w:val="00FE4914"/>
    <w:rsid w:val="00FE765B"/>
    <w:rsid w:val="00FF664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D80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sz w:val="22"/>
      <w:szCs w:val="22"/>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 w:type="paragraph" w:styleId="Revision">
    <w:name w:val="Revision"/>
    <w:hidden/>
    <w:uiPriority w:val="99"/>
    <w:semiHidden/>
    <w:rsid w:val="00E069CF"/>
    <w:rPr>
      <w:sz w:val="22"/>
      <w:szCs w:val="22"/>
      <w:lang w:eastAsia="en-US"/>
    </w:rPr>
  </w:style>
  <w:style w:type="paragraph" w:styleId="ListBullet">
    <w:name w:val="List Bullet"/>
    <w:basedOn w:val="Normal"/>
    <w:uiPriority w:val="99"/>
    <w:rsid w:val="00CC740E"/>
    <w:pPr>
      <w:numPr>
        <w:numId w:val="26"/>
      </w:numPr>
      <w:tabs>
        <w:tab w:val="clear" w:pos="720"/>
        <w:tab w:val="num" w:pos="360"/>
      </w:tabs>
      <w:ind w:left="360"/>
      <w:contextualSpacing/>
    </w:pPr>
  </w:style>
  <w:style w:type="character" w:styleId="PageNumber">
    <w:name w:val="page number"/>
    <w:basedOn w:val="DefaultParagraphFont"/>
    <w:uiPriority w:val="99"/>
    <w:rsid w:val="00236EC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391E"/>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336A5"/>
    <w:pPr>
      <w:ind w:left="720"/>
      <w:contextualSpacing/>
    </w:pPr>
  </w:style>
  <w:style w:type="paragraph" w:styleId="NoSpacing">
    <w:name w:val="No Spacing"/>
    <w:uiPriority w:val="99"/>
    <w:qFormat/>
    <w:rsid w:val="00B336A5"/>
    <w:rPr>
      <w:sz w:val="22"/>
      <w:szCs w:val="22"/>
      <w:lang w:eastAsia="en-US"/>
    </w:rPr>
  </w:style>
  <w:style w:type="paragraph" w:styleId="Header">
    <w:name w:val="header"/>
    <w:basedOn w:val="Normal"/>
    <w:link w:val="HeaderChar"/>
    <w:uiPriority w:val="99"/>
    <w:rsid w:val="00540A44"/>
    <w:pPr>
      <w:tabs>
        <w:tab w:val="center" w:pos="4513"/>
        <w:tab w:val="right" w:pos="9026"/>
      </w:tabs>
    </w:pPr>
  </w:style>
  <w:style w:type="character" w:customStyle="1" w:styleId="HeaderChar">
    <w:name w:val="Header Char"/>
    <w:basedOn w:val="DefaultParagraphFont"/>
    <w:link w:val="Header"/>
    <w:uiPriority w:val="99"/>
    <w:locked/>
    <w:rsid w:val="00540A44"/>
    <w:rPr>
      <w:rFonts w:cs="Times New Roman"/>
      <w:sz w:val="22"/>
      <w:lang w:eastAsia="en-US"/>
    </w:rPr>
  </w:style>
  <w:style w:type="paragraph" w:styleId="Footer">
    <w:name w:val="footer"/>
    <w:basedOn w:val="Normal"/>
    <w:link w:val="FooterChar"/>
    <w:uiPriority w:val="99"/>
    <w:rsid w:val="00540A44"/>
    <w:pPr>
      <w:tabs>
        <w:tab w:val="center" w:pos="4513"/>
        <w:tab w:val="right" w:pos="9026"/>
      </w:tabs>
    </w:pPr>
  </w:style>
  <w:style w:type="character" w:customStyle="1" w:styleId="FooterChar">
    <w:name w:val="Footer Char"/>
    <w:basedOn w:val="DefaultParagraphFont"/>
    <w:link w:val="Footer"/>
    <w:uiPriority w:val="99"/>
    <w:locked/>
    <w:rsid w:val="00540A44"/>
    <w:rPr>
      <w:rFonts w:cs="Times New Roman"/>
      <w:sz w:val="22"/>
      <w:lang w:eastAsia="en-US"/>
    </w:rPr>
  </w:style>
  <w:style w:type="table" w:styleId="TableGrid">
    <w:name w:val="Table Grid"/>
    <w:basedOn w:val="TableNormal"/>
    <w:uiPriority w:val="99"/>
    <w:locked/>
    <w:rsid w:val="00571666"/>
    <w:pPr>
      <w:spacing w:after="200" w:line="276"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94E13"/>
    <w:rPr>
      <w:sz w:val="20"/>
      <w:szCs w:val="20"/>
    </w:rPr>
  </w:style>
  <w:style w:type="character" w:customStyle="1" w:styleId="FootnoteTextChar">
    <w:name w:val="Footnote Text Char"/>
    <w:basedOn w:val="DefaultParagraphFont"/>
    <w:link w:val="FootnoteText"/>
    <w:uiPriority w:val="99"/>
    <w:semiHidden/>
    <w:locked/>
    <w:rsid w:val="00C15ABD"/>
    <w:rPr>
      <w:rFonts w:cs="Times New Roman"/>
      <w:sz w:val="20"/>
      <w:lang w:eastAsia="en-US"/>
    </w:rPr>
  </w:style>
  <w:style w:type="character" w:styleId="FootnoteReference">
    <w:name w:val="footnote reference"/>
    <w:basedOn w:val="DefaultParagraphFont"/>
    <w:uiPriority w:val="99"/>
    <w:semiHidden/>
    <w:rsid w:val="00E94E13"/>
    <w:rPr>
      <w:rFonts w:cs="Times New Roman"/>
      <w:vertAlign w:val="superscript"/>
    </w:rPr>
  </w:style>
  <w:style w:type="paragraph" w:styleId="BalloonText">
    <w:name w:val="Balloon Text"/>
    <w:basedOn w:val="Normal"/>
    <w:link w:val="BalloonTextChar"/>
    <w:uiPriority w:val="99"/>
    <w:semiHidden/>
    <w:rsid w:val="00994B7E"/>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94B7E"/>
    <w:rPr>
      <w:rFonts w:ascii="Tahoma" w:hAnsi="Tahoma" w:cs="Times New Roman"/>
      <w:sz w:val="16"/>
      <w:lang w:eastAsia="en-US"/>
    </w:rPr>
  </w:style>
  <w:style w:type="character" w:styleId="CommentReference">
    <w:name w:val="annotation reference"/>
    <w:basedOn w:val="DefaultParagraphFont"/>
    <w:uiPriority w:val="99"/>
    <w:semiHidden/>
    <w:rsid w:val="00156078"/>
    <w:rPr>
      <w:rFonts w:cs="Times New Roman"/>
      <w:sz w:val="16"/>
      <w:szCs w:val="16"/>
    </w:rPr>
  </w:style>
  <w:style w:type="paragraph" w:styleId="CommentText">
    <w:name w:val="annotation text"/>
    <w:basedOn w:val="Normal"/>
    <w:link w:val="CommentTextChar"/>
    <w:uiPriority w:val="99"/>
    <w:semiHidden/>
    <w:rsid w:val="00156078"/>
    <w:rPr>
      <w:sz w:val="20"/>
      <w:szCs w:val="20"/>
    </w:rPr>
  </w:style>
  <w:style w:type="character" w:customStyle="1" w:styleId="CommentTextChar">
    <w:name w:val="Comment Text Char"/>
    <w:basedOn w:val="DefaultParagraphFont"/>
    <w:link w:val="CommentText"/>
    <w:uiPriority w:val="99"/>
    <w:semiHidden/>
    <w:locked/>
    <w:rsid w:val="00470FC1"/>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156078"/>
    <w:rPr>
      <w:b/>
      <w:bCs/>
    </w:rPr>
  </w:style>
  <w:style w:type="character" w:customStyle="1" w:styleId="CommentSubjectChar">
    <w:name w:val="Comment Subject Char"/>
    <w:basedOn w:val="CommentTextChar"/>
    <w:link w:val="CommentSubject"/>
    <w:uiPriority w:val="99"/>
    <w:semiHidden/>
    <w:locked/>
    <w:rsid w:val="00470FC1"/>
    <w:rPr>
      <w:rFonts w:cs="Times New Roman"/>
      <w:b/>
      <w:bCs/>
      <w:sz w:val="20"/>
      <w:szCs w:val="20"/>
      <w:lang w:eastAsia="en-US"/>
    </w:rPr>
  </w:style>
  <w:style w:type="character" w:styleId="Hyperlink">
    <w:name w:val="Hyperlink"/>
    <w:basedOn w:val="DefaultParagraphFont"/>
    <w:uiPriority w:val="99"/>
    <w:rsid w:val="002D1A61"/>
    <w:rPr>
      <w:rFonts w:cs="Times New Roman"/>
      <w:color w:val="0000FF"/>
      <w:u w:val="single"/>
    </w:rPr>
  </w:style>
  <w:style w:type="paragraph" w:styleId="Revision">
    <w:name w:val="Revision"/>
    <w:hidden/>
    <w:uiPriority w:val="99"/>
    <w:semiHidden/>
    <w:rsid w:val="00E069CF"/>
    <w:rPr>
      <w:sz w:val="22"/>
      <w:szCs w:val="22"/>
      <w:lang w:eastAsia="en-US"/>
    </w:rPr>
  </w:style>
  <w:style w:type="paragraph" w:styleId="ListBullet">
    <w:name w:val="List Bullet"/>
    <w:basedOn w:val="Normal"/>
    <w:uiPriority w:val="99"/>
    <w:rsid w:val="00CC740E"/>
    <w:pPr>
      <w:numPr>
        <w:numId w:val="26"/>
      </w:numPr>
      <w:tabs>
        <w:tab w:val="clear" w:pos="720"/>
        <w:tab w:val="num" w:pos="360"/>
      </w:tabs>
      <w:ind w:left="360"/>
      <w:contextualSpacing/>
    </w:pPr>
  </w:style>
  <w:style w:type="character" w:styleId="PageNumber">
    <w:name w:val="page number"/>
    <w:basedOn w:val="DefaultParagraphFont"/>
    <w:uiPriority w:val="99"/>
    <w:rsid w:val="00236EC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30282">
      <w:marLeft w:val="0"/>
      <w:marRight w:val="0"/>
      <w:marTop w:val="0"/>
      <w:marBottom w:val="0"/>
      <w:divBdr>
        <w:top w:val="none" w:sz="0" w:space="0" w:color="auto"/>
        <w:left w:val="none" w:sz="0" w:space="0" w:color="auto"/>
        <w:bottom w:val="none" w:sz="0" w:space="0" w:color="auto"/>
        <w:right w:val="none" w:sz="0" w:space="0" w:color="auto"/>
      </w:divBdr>
    </w:div>
    <w:div w:id="879130283">
      <w:marLeft w:val="0"/>
      <w:marRight w:val="0"/>
      <w:marTop w:val="0"/>
      <w:marBottom w:val="0"/>
      <w:divBdr>
        <w:top w:val="none" w:sz="0" w:space="0" w:color="auto"/>
        <w:left w:val="none" w:sz="0" w:space="0" w:color="auto"/>
        <w:bottom w:val="none" w:sz="0" w:space="0" w:color="auto"/>
        <w:right w:val="none" w:sz="0" w:space="0" w:color="auto"/>
      </w:divBdr>
    </w:div>
    <w:div w:id="8791302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ns01@gre.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69C54-7F64-456C-B77A-BFA59ADB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1758</Words>
  <Characters>9745</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Greenwich</Company>
  <LinksUpToDate>false</LinksUpToDate>
  <CharactersWithSpaces>11481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pj27</dc:creator>
  <cp:lastModifiedBy>Pat Rosser Davies</cp:lastModifiedBy>
  <cp:revision>2</cp:revision>
  <cp:lastPrinted>2012-11-02T15:25:00Z</cp:lastPrinted>
  <dcterms:created xsi:type="dcterms:W3CDTF">2013-08-06T09:16:00Z</dcterms:created>
  <dcterms:modified xsi:type="dcterms:W3CDTF">2013-08-06T09:16:00Z</dcterms:modified>
</cp:coreProperties>
</file>