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4A" w:rsidRDefault="0052004A" w:rsidP="00B03D73">
      <w:pPr>
        <w:pStyle w:val="NoSpacing"/>
        <w:rPr>
          <w:rFonts w:asciiTheme="majorHAnsi" w:hAnsiTheme="majorHAnsi"/>
        </w:rPr>
      </w:pPr>
    </w:p>
    <w:p w:rsidR="0052004A" w:rsidRPr="0052004A" w:rsidRDefault="0052004A" w:rsidP="0052004A"/>
    <w:tbl>
      <w:tblPr>
        <w:tblStyle w:val="TableGrid1"/>
        <w:tblW w:w="0" w:type="auto"/>
        <w:tblLook w:val="04A0" w:firstRow="1" w:lastRow="0" w:firstColumn="1" w:lastColumn="0" w:noHBand="0" w:noVBand="1"/>
      </w:tblPr>
      <w:tblGrid>
        <w:gridCol w:w="9242"/>
      </w:tblGrid>
      <w:tr w:rsidR="0052004A" w:rsidRPr="0052004A" w:rsidTr="005914FB">
        <w:tc>
          <w:tcPr>
            <w:tcW w:w="9242" w:type="dxa"/>
          </w:tcPr>
          <w:p w:rsidR="0052004A" w:rsidRPr="0052004A" w:rsidRDefault="0052004A" w:rsidP="0052004A">
            <w:pPr>
              <w:rPr>
                <w:rFonts w:asciiTheme="majorHAnsi" w:hAnsiTheme="majorHAnsi"/>
                <w:u w:val="single"/>
              </w:rPr>
            </w:pPr>
          </w:p>
          <w:p w:rsidR="0052004A" w:rsidRPr="0052004A" w:rsidRDefault="0052004A" w:rsidP="0052004A">
            <w:pPr>
              <w:jc w:val="center"/>
              <w:rPr>
                <w:rFonts w:asciiTheme="majorHAnsi" w:hAnsiTheme="majorHAnsi"/>
                <w:sz w:val="28"/>
                <w:szCs w:val="28"/>
                <w:u w:val="single"/>
              </w:rPr>
            </w:pPr>
          </w:p>
          <w:p w:rsidR="0052004A" w:rsidRPr="0052004A" w:rsidRDefault="0052004A" w:rsidP="0052004A">
            <w:pPr>
              <w:jc w:val="center"/>
              <w:rPr>
                <w:rFonts w:asciiTheme="majorHAnsi" w:hAnsiTheme="majorHAnsi"/>
                <w:sz w:val="28"/>
                <w:szCs w:val="28"/>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pStyle w:val="NoSpacing"/>
              <w:jc w:val="center"/>
              <w:rPr>
                <w:rFonts w:asciiTheme="majorHAnsi" w:hAnsiTheme="majorHAnsi"/>
                <w:color w:val="FF0000"/>
                <w:sz w:val="32"/>
                <w:szCs w:val="32"/>
              </w:rPr>
            </w:pPr>
          </w:p>
          <w:p w:rsidR="0052004A" w:rsidRPr="0052004A" w:rsidRDefault="0052004A" w:rsidP="0052004A">
            <w:pPr>
              <w:pStyle w:val="NoSpacing"/>
              <w:jc w:val="center"/>
              <w:rPr>
                <w:rFonts w:asciiTheme="majorHAnsi" w:hAnsiTheme="majorHAnsi"/>
                <w:color w:val="FF0000"/>
                <w:sz w:val="32"/>
                <w:szCs w:val="32"/>
              </w:rPr>
            </w:pPr>
          </w:p>
          <w:p w:rsidR="0052004A" w:rsidRPr="0052004A" w:rsidRDefault="0052004A" w:rsidP="0052004A">
            <w:pPr>
              <w:pStyle w:val="NoSpacing"/>
              <w:jc w:val="center"/>
              <w:rPr>
                <w:rFonts w:asciiTheme="majorHAnsi" w:hAnsiTheme="majorHAnsi"/>
                <w:b/>
                <w:color w:val="FF0000"/>
                <w:sz w:val="32"/>
                <w:szCs w:val="32"/>
              </w:rPr>
            </w:pPr>
            <w:r w:rsidRPr="0052004A">
              <w:rPr>
                <w:rFonts w:asciiTheme="majorHAnsi" w:hAnsiTheme="majorHAnsi"/>
                <w:b/>
                <w:color w:val="FF0000"/>
                <w:sz w:val="32"/>
                <w:szCs w:val="32"/>
              </w:rPr>
              <w:t>Shared Services – Setting unrealistic expectations</w:t>
            </w:r>
          </w:p>
          <w:p w:rsidR="0052004A" w:rsidRPr="005A053A" w:rsidRDefault="0052004A" w:rsidP="0052004A">
            <w:pPr>
              <w:pStyle w:val="NoSpacing"/>
              <w:rPr>
                <w:rFonts w:asciiTheme="majorHAnsi" w:hAnsiTheme="majorHAnsi"/>
              </w:rPr>
            </w:pPr>
          </w:p>
          <w:p w:rsidR="0052004A" w:rsidRDefault="0052004A" w:rsidP="0052004A">
            <w:pPr>
              <w:pStyle w:val="NoSpacing"/>
              <w:rPr>
                <w:rFonts w:asciiTheme="majorHAnsi" w:hAnsiTheme="majorHAnsi"/>
              </w:rPr>
            </w:pPr>
          </w:p>
          <w:p w:rsidR="0052004A" w:rsidRPr="0052004A" w:rsidRDefault="0052004A" w:rsidP="0052004A">
            <w:pPr>
              <w:rPr>
                <w:rFonts w:asciiTheme="majorHAnsi" w:hAnsiTheme="majorHAnsi"/>
                <w:color w:val="FF0000"/>
                <w:sz w:val="32"/>
                <w:szCs w:val="32"/>
              </w:rPr>
            </w:pPr>
          </w:p>
          <w:p w:rsidR="0052004A" w:rsidRPr="0052004A" w:rsidRDefault="0052004A" w:rsidP="0052004A">
            <w:pPr>
              <w:jc w:val="center"/>
              <w:rPr>
                <w:rFonts w:asciiTheme="majorHAnsi" w:hAnsiTheme="majorHAnsi"/>
              </w:rPr>
            </w:pPr>
          </w:p>
          <w:p w:rsidR="0052004A" w:rsidRPr="0052004A" w:rsidRDefault="0052004A" w:rsidP="0052004A">
            <w:pPr>
              <w:jc w:val="center"/>
              <w:rPr>
                <w:rFonts w:asciiTheme="majorHAnsi" w:hAnsiTheme="majorHAnsi"/>
              </w:rPr>
            </w:pPr>
          </w:p>
          <w:p w:rsidR="0052004A" w:rsidRPr="0052004A" w:rsidRDefault="0052004A" w:rsidP="0052004A">
            <w:pPr>
              <w:jc w:val="center"/>
              <w:rPr>
                <w:rFonts w:asciiTheme="majorHAnsi" w:hAnsiTheme="majorHAnsi"/>
              </w:rPr>
            </w:pPr>
            <w:r w:rsidRPr="0052004A">
              <w:rPr>
                <w:rFonts w:asciiTheme="majorHAnsi" w:hAnsiTheme="majorHAnsi"/>
              </w:rPr>
              <w:t>by</w:t>
            </w:r>
          </w:p>
          <w:p w:rsidR="0052004A" w:rsidRPr="0052004A" w:rsidRDefault="0052004A" w:rsidP="0052004A">
            <w:pPr>
              <w:jc w:val="center"/>
              <w:rPr>
                <w:rFonts w:asciiTheme="majorHAnsi" w:hAnsiTheme="majorHAnsi"/>
              </w:rPr>
            </w:pPr>
          </w:p>
          <w:p w:rsidR="0052004A" w:rsidRPr="0052004A" w:rsidRDefault="0052004A" w:rsidP="0052004A">
            <w:pPr>
              <w:jc w:val="center"/>
              <w:rPr>
                <w:rFonts w:asciiTheme="majorHAnsi" w:hAnsiTheme="majorHAnsi"/>
              </w:rPr>
            </w:pPr>
            <w:r>
              <w:rPr>
                <w:rFonts w:asciiTheme="majorHAnsi" w:hAnsiTheme="majorHAnsi"/>
              </w:rPr>
              <w:t>Yuliya Y</w:t>
            </w:r>
            <w:r w:rsidR="00D215AF">
              <w:rPr>
                <w:rFonts w:asciiTheme="majorHAnsi" w:hAnsiTheme="majorHAnsi"/>
              </w:rPr>
              <w:t>u</w:t>
            </w:r>
            <w:r>
              <w:rPr>
                <w:rFonts w:asciiTheme="majorHAnsi" w:hAnsiTheme="majorHAnsi"/>
              </w:rPr>
              <w:t xml:space="preserve">rchenko and </w:t>
            </w:r>
            <w:r w:rsidRPr="0052004A">
              <w:rPr>
                <w:rFonts w:asciiTheme="majorHAnsi" w:hAnsiTheme="majorHAnsi"/>
              </w:rPr>
              <w:t>Jane Lethbridge</w:t>
            </w:r>
          </w:p>
          <w:p w:rsidR="0052004A" w:rsidRPr="0052004A" w:rsidRDefault="0052004A" w:rsidP="0052004A">
            <w:pPr>
              <w:jc w:val="center"/>
              <w:rPr>
                <w:rFonts w:asciiTheme="majorHAnsi" w:hAnsiTheme="majorHAnsi"/>
              </w:rPr>
            </w:pPr>
          </w:p>
          <w:p w:rsidR="0052004A" w:rsidRDefault="00D71711" w:rsidP="0052004A">
            <w:pPr>
              <w:jc w:val="center"/>
              <w:rPr>
                <w:rFonts w:asciiTheme="majorHAnsi" w:hAnsiTheme="majorHAnsi"/>
              </w:rPr>
            </w:pPr>
            <w:hyperlink r:id="rId9" w:history="1">
              <w:r w:rsidR="0052004A" w:rsidRPr="0018593F">
                <w:rPr>
                  <w:rStyle w:val="Hyperlink"/>
                  <w:rFonts w:asciiTheme="majorHAnsi" w:hAnsiTheme="majorHAnsi"/>
                </w:rPr>
                <w:t>j.lethbridge@gre.ac.uk</w:t>
              </w:r>
            </w:hyperlink>
          </w:p>
          <w:p w:rsidR="0052004A" w:rsidRPr="0052004A" w:rsidRDefault="0052004A" w:rsidP="0052004A">
            <w:pPr>
              <w:jc w:val="center"/>
              <w:rPr>
                <w:rFonts w:asciiTheme="majorHAnsi" w:hAnsiTheme="majorHAnsi"/>
              </w:rPr>
            </w:pPr>
          </w:p>
          <w:p w:rsidR="0052004A" w:rsidRPr="0052004A" w:rsidRDefault="0052004A" w:rsidP="0052004A">
            <w:pPr>
              <w:jc w:val="center"/>
              <w:rPr>
                <w:rFonts w:asciiTheme="majorHAnsi" w:hAnsiTheme="majorHAnsi"/>
              </w:rPr>
            </w:pPr>
            <w:r>
              <w:rPr>
                <w:rFonts w:asciiTheme="majorHAnsi" w:hAnsiTheme="majorHAnsi"/>
              </w:rPr>
              <w:t xml:space="preserve">March </w:t>
            </w:r>
            <w:r w:rsidRPr="0052004A">
              <w:rPr>
                <w:rFonts w:asciiTheme="majorHAnsi" w:hAnsiTheme="majorHAnsi"/>
              </w:rPr>
              <w:t>2014</w:t>
            </w: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jc w:val="center"/>
              <w:rPr>
                <w:rFonts w:asciiTheme="majorHAnsi" w:hAnsiTheme="majorHAnsi"/>
              </w:rPr>
            </w:pPr>
            <w:r w:rsidRPr="0052004A">
              <w:rPr>
                <w:rFonts w:asciiTheme="majorHAnsi" w:hAnsiTheme="majorHAnsi"/>
              </w:rPr>
              <w:t xml:space="preserve">A report commissioned by the </w:t>
            </w:r>
            <w:r>
              <w:rPr>
                <w:rFonts w:asciiTheme="majorHAnsi" w:hAnsiTheme="majorHAnsi"/>
              </w:rPr>
              <w:t>PCS</w:t>
            </w: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rPr>
                <w:rFonts w:asciiTheme="majorHAnsi" w:hAnsiTheme="majorHAnsi"/>
              </w:rPr>
            </w:pPr>
          </w:p>
          <w:p w:rsidR="0052004A" w:rsidRPr="0052004A" w:rsidRDefault="0052004A" w:rsidP="0052004A">
            <w:pPr>
              <w:jc w:val="both"/>
              <w:rPr>
                <w:rFonts w:asciiTheme="majorHAnsi" w:hAnsiTheme="majorHAnsi"/>
              </w:rPr>
            </w:pPr>
          </w:p>
          <w:p w:rsidR="0052004A" w:rsidRPr="0052004A" w:rsidRDefault="0052004A" w:rsidP="0052004A">
            <w:pPr>
              <w:jc w:val="both"/>
              <w:rPr>
                <w:rFonts w:asciiTheme="majorHAnsi" w:hAnsiTheme="majorHAnsi"/>
                <w:sz w:val="20"/>
                <w:szCs w:val="20"/>
              </w:rPr>
            </w:pPr>
            <w:r w:rsidRPr="0052004A">
              <w:rPr>
                <w:rFonts w:asciiTheme="majorHAnsi" w:hAnsiTheme="majorHAnsi"/>
                <w:sz w:val="20"/>
                <w:szCs w:val="20"/>
              </w:rPr>
              <w:t xml:space="preserve">The Public Services International Research Unit (PSIRU) investigates the impact of privatisation and liberalisation on public services, with a specific focus on water, energy, waste management, health and social care sectors.  Other research topics include the function and structure of public services, the strategies of multinational companies and influence of international finance institutions on public services.  PSIRU is based in the Business Faculty, University of Greenwich, </w:t>
            </w:r>
            <w:proofErr w:type="gramStart"/>
            <w:r w:rsidRPr="0052004A">
              <w:rPr>
                <w:rFonts w:asciiTheme="majorHAnsi" w:hAnsiTheme="majorHAnsi"/>
                <w:sz w:val="20"/>
                <w:szCs w:val="20"/>
              </w:rPr>
              <w:t>London</w:t>
            </w:r>
            <w:proofErr w:type="gramEnd"/>
            <w:r w:rsidRPr="0052004A">
              <w:rPr>
                <w:rFonts w:asciiTheme="majorHAnsi" w:hAnsiTheme="majorHAnsi"/>
                <w:sz w:val="20"/>
                <w:szCs w:val="20"/>
              </w:rPr>
              <w:t>, UK.  Researchers:</w:t>
            </w:r>
          </w:p>
          <w:p w:rsidR="0052004A" w:rsidRPr="0052004A" w:rsidRDefault="0052004A" w:rsidP="0052004A">
            <w:pPr>
              <w:jc w:val="both"/>
              <w:rPr>
                <w:rFonts w:asciiTheme="majorHAnsi" w:hAnsiTheme="majorHAnsi"/>
                <w:u w:val="single"/>
              </w:rPr>
            </w:pPr>
            <w:proofErr w:type="spellStart"/>
            <w:r w:rsidRPr="0052004A">
              <w:rPr>
                <w:rFonts w:asciiTheme="majorHAnsi" w:hAnsiTheme="majorHAnsi"/>
                <w:sz w:val="20"/>
                <w:szCs w:val="20"/>
              </w:rPr>
              <w:t>Prof.</w:t>
            </w:r>
            <w:proofErr w:type="spellEnd"/>
            <w:r w:rsidRPr="0052004A">
              <w:rPr>
                <w:rFonts w:asciiTheme="majorHAnsi" w:hAnsiTheme="majorHAnsi"/>
                <w:sz w:val="20"/>
                <w:szCs w:val="20"/>
              </w:rPr>
              <w:t xml:space="preserve"> Steve Thomas, Jane Lethbridge (Director), Emanuele Lobina, David Hall, Sandra Van </w:t>
            </w:r>
            <w:proofErr w:type="spellStart"/>
            <w:r w:rsidRPr="0052004A">
              <w:rPr>
                <w:rFonts w:asciiTheme="majorHAnsi" w:hAnsiTheme="majorHAnsi"/>
                <w:sz w:val="20"/>
                <w:szCs w:val="20"/>
              </w:rPr>
              <w:t>Niekerk</w:t>
            </w:r>
            <w:proofErr w:type="spellEnd"/>
          </w:p>
        </w:tc>
      </w:tr>
    </w:tbl>
    <w:p w:rsidR="0052004A" w:rsidRDefault="0052004A" w:rsidP="00B03D73">
      <w:pPr>
        <w:pStyle w:val="NoSpacing"/>
        <w:rPr>
          <w:rFonts w:asciiTheme="majorHAnsi" w:hAnsiTheme="majorHAnsi"/>
        </w:rPr>
      </w:pPr>
    </w:p>
    <w:p w:rsidR="0052004A" w:rsidRDefault="0052004A" w:rsidP="00B03D73">
      <w:pPr>
        <w:pStyle w:val="NoSpacing"/>
        <w:rPr>
          <w:rFonts w:asciiTheme="majorHAnsi" w:hAnsiTheme="majorHAnsi"/>
        </w:rPr>
      </w:pPr>
    </w:p>
    <w:p w:rsidR="0052004A" w:rsidRDefault="0052004A" w:rsidP="00B03D73">
      <w:pPr>
        <w:pStyle w:val="NoSpacing"/>
        <w:rPr>
          <w:rFonts w:asciiTheme="majorHAnsi" w:hAnsiTheme="majorHAnsi"/>
        </w:rPr>
      </w:pPr>
    </w:p>
    <w:p w:rsidR="003924AB" w:rsidRDefault="003924AB" w:rsidP="00B03D73">
      <w:pPr>
        <w:pStyle w:val="NoSpacing"/>
        <w:rPr>
          <w:rFonts w:asciiTheme="majorHAnsi" w:hAnsiTheme="majorHAnsi"/>
        </w:rPr>
      </w:pPr>
    </w:p>
    <w:p w:rsidR="003924AB" w:rsidRDefault="0066534F" w:rsidP="00B03D73">
      <w:pPr>
        <w:pStyle w:val="NoSpacing"/>
        <w:rPr>
          <w:rFonts w:asciiTheme="majorHAnsi" w:hAnsiTheme="majorHAnsi"/>
        </w:rPr>
      </w:pPr>
      <w:r w:rsidRPr="005A053A">
        <w:rPr>
          <w:rFonts w:asciiTheme="majorHAnsi" w:hAnsiTheme="majorHAnsi"/>
        </w:rPr>
        <w:t xml:space="preserve"> </w:t>
      </w:r>
    </w:p>
    <w:p w:rsidR="000A45A0" w:rsidRDefault="000A45A0" w:rsidP="00B03D73">
      <w:pPr>
        <w:pStyle w:val="NoSpacing"/>
        <w:rPr>
          <w:rFonts w:asciiTheme="majorHAnsi" w:hAnsiTheme="majorHAnsi"/>
        </w:rPr>
      </w:pPr>
    </w:p>
    <w:p w:rsidR="003924AB" w:rsidRPr="005A053A" w:rsidRDefault="003924AB" w:rsidP="00B03D73">
      <w:pPr>
        <w:pStyle w:val="NoSpacing"/>
        <w:rPr>
          <w:rFonts w:asciiTheme="majorHAnsi" w:hAnsiTheme="majorHAnsi"/>
        </w:rPr>
      </w:pPr>
    </w:p>
    <w:sdt>
      <w:sdtPr>
        <w:rPr>
          <w:rFonts w:asciiTheme="majorHAnsi" w:hAnsiTheme="majorHAnsi"/>
          <w:bCs/>
        </w:rPr>
        <w:id w:val="-1577039538"/>
        <w:docPartObj>
          <w:docPartGallery w:val="Table of Contents"/>
          <w:docPartUnique/>
        </w:docPartObj>
      </w:sdtPr>
      <w:sdtEndPr>
        <w:rPr>
          <w:bCs w:val="0"/>
          <w:noProof/>
        </w:rPr>
      </w:sdtEndPr>
      <w:sdtContent>
        <w:p w:rsidR="000A45A0" w:rsidRPr="005A053A" w:rsidRDefault="000A45A0" w:rsidP="00B03D73">
          <w:pPr>
            <w:pStyle w:val="NoSpacing"/>
            <w:rPr>
              <w:rFonts w:asciiTheme="majorHAnsi" w:hAnsiTheme="majorHAnsi"/>
            </w:rPr>
          </w:pPr>
          <w:r w:rsidRPr="005A053A">
            <w:rPr>
              <w:rFonts w:asciiTheme="majorHAnsi" w:hAnsiTheme="majorHAnsi"/>
            </w:rPr>
            <w:t>Contents</w:t>
          </w:r>
        </w:p>
        <w:p w:rsidR="004E08F8" w:rsidRDefault="000A45A0">
          <w:pPr>
            <w:pStyle w:val="TOC1"/>
            <w:tabs>
              <w:tab w:val="left" w:pos="440"/>
              <w:tab w:val="right" w:leader="dot" w:pos="9016"/>
            </w:tabs>
            <w:rPr>
              <w:rFonts w:eastAsiaTheme="minorEastAsia"/>
              <w:noProof/>
              <w:lang w:eastAsia="en-GB"/>
            </w:rPr>
          </w:pPr>
          <w:r w:rsidRPr="005A053A">
            <w:rPr>
              <w:rFonts w:asciiTheme="majorHAnsi" w:hAnsiTheme="majorHAnsi"/>
            </w:rPr>
            <w:fldChar w:fldCharType="begin"/>
          </w:r>
          <w:r w:rsidRPr="005A053A">
            <w:rPr>
              <w:rFonts w:asciiTheme="majorHAnsi" w:hAnsiTheme="majorHAnsi"/>
            </w:rPr>
            <w:instrText xml:space="preserve"> TOC \o "1-3" \h \z \u </w:instrText>
          </w:r>
          <w:r w:rsidRPr="005A053A">
            <w:rPr>
              <w:rFonts w:asciiTheme="majorHAnsi" w:hAnsiTheme="majorHAnsi"/>
            </w:rPr>
            <w:fldChar w:fldCharType="separate"/>
          </w:r>
          <w:hyperlink w:anchor="_Toc382569404" w:history="1">
            <w:r w:rsidR="004E08F8" w:rsidRPr="00B475BE">
              <w:rPr>
                <w:rStyle w:val="Hyperlink"/>
                <w:noProof/>
              </w:rPr>
              <w:t>1.</w:t>
            </w:r>
            <w:r w:rsidR="004E08F8">
              <w:rPr>
                <w:rFonts w:eastAsiaTheme="minorEastAsia"/>
                <w:noProof/>
                <w:lang w:eastAsia="en-GB"/>
              </w:rPr>
              <w:tab/>
            </w:r>
            <w:r w:rsidR="004E08F8" w:rsidRPr="00B475BE">
              <w:rPr>
                <w:rStyle w:val="Hyperlink"/>
                <w:noProof/>
              </w:rPr>
              <w:t>Shared Services: overview</w:t>
            </w:r>
            <w:r w:rsidR="004E08F8">
              <w:rPr>
                <w:noProof/>
                <w:webHidden/>
              </w:rPr>
              <w:tab/>
            </w:r>
            <w:r w:rsidR="004E08F8">
              <w:rPr>
                <w:noProof/>
                <w:webHidden/>
              </w:rPr>
              <w:fldChar w:fldCharType="begin"/>
            </w:r>
            <w:r w:rsidR="004E08F8">
              <w:rPr>
                <w:noProof/>
                <w:webHidden/>
              </w:rPr>
              <w:instrText xml:space="preserve"> PAGEREF _Toc382569404 \h </w:instrText>
            </w:r>
            <w:r w:rsidR="004E08F8">
              <w:rPr>
                <w:noProof/>
                <w:webHidden/>
              </w:rPr>
            </w:r>
            <w:r w:rsidR="004E08F8">
              <w:rPr>
                <w:noProof/>
                <w:webHidden/>
              </w:rPr>
              <w:fldChar w:fldCharType="separate"/>
            </w:r>
            <w:r w:rsidR="0052004A">
              <w:rPr>
                <w:noProof/>
                <w:webHidden/>
              </w:rPr>
              <w:t>1</w:t>
            </w:r>
            <w:r w:rsidR="004E08F8">
              <w:rPr>
                <w:noProof/>
                <w:webHidden/>
              </w:rPr>
              <w:fldChar w:fldCharType="end"/>
            </w:r>
          </w:hyperlink>
        </w:p>
        <w:p w:rsidR="004E08F8" w:rsidRDefault="00D71711">
          <w:pPr>
            <w:pStyle w:val="TOC1"/>
            <w:tabs>
              <w:tab w:val="left" w:pos="440"/>
              <w:tab w:val="right" w:leader="dot" w:pos="9016"/>
            </w:tabs>
            <w:rPr>
              <w:rFonts w:eastAsiaTheme="minorEastAsia"/>
              <w:noProof/>
              <w:lang w:eastAsia="en-GB"/>
            </w:rPr>
          </w:pPr>
          <w:hyperlink w:anchor="_Toc382569405" w:history="1">
            <w:r w:rsidR="004E08F8" w:rsidRPr="00B475BE">
              <w:rPr>
                <w:rStyle w:val="Hyperlink"/>
                <w:noProof/>
              </w:rPr>
              <w:t>2.</w:t>
            </w:r>
            <w:r w:rsidR="004E08F8">
              <w:rPr>
                <w:rFonts w:eastAsiaTheme="minorEastAsia"/>
                <w:noProof/>
                <w:lang w:eastAsia="en-GB"/>
              </w:rPr>
              <w:tab/>
            </w:r>
            <w:r w:rsidR="004E08F8" w:rsidRPr="00B475BE">
              <w:rPr>
                <w:rStyle w:val="Hyperlink"/>
                <w:noProof/>
              </w:rPr>
              <w:t>Lack of savings</w:t>
            </w:r>
            <w:r w:rsidR="004E08F8">
              <w:rPr>
                <w:noProof/>
                <w:webHidden/>
              </w:rPr>
              <w:tab/>
            </w:r>
            <w:r w:rsidR="004E08F8">
              <w:rPr>
                <w:noProof/>
                <w:webHidden/>
              </w:rPr>
              <w:fldChar w:fldCharType="begin"/>
            </w:r>
            <w:r w:rsidR="004E08F8">
              <w:rPr>
                <w:noProof/>
                <w:webHidden/>
              </w:rPr>
              <w:instrText xml:space="preserve"> PAGEREF _Toc382569405 \h </w:instrText>
            </w:r>
            <w:r w:rsidR="004E08F8">
              <w:rPr>
                <w:noProof/>
                <w:webHidden/>
              </w:rPr>
            </w:r>
            <w:r w:rsidR="004E08F8">
              <w:rPr>
                <w:noProof/>
                <w:webHidden/>
              </w:rPr>
              <w:fldChar w:fldCharType="separate"/>
            </w:r>
            <w:r w:rsidR="0052004A">
              <w:rPr>
                <w:noProof/>
                <w:webHidden/>
              </w:rPr>
              <w:t>2</w:t>
            </w:r>
            <w:r w:rsidR="004E08F8">
              <w:rPr>
                <w:noProof/>
                <w:webHidden/>
              </w:rPr>
              <w:fldChar w:fldCharType="end"/>
            </w:r>
          </w:hyperlink>
        </w:p>
        <w:p w:rsidR="004E08F8" w:rsidRDefault="00D71711">
          <w:pPr>
            <w:pStyle w:val="TOC1"/>
            <w:tabs>
              <w:tab w:val="left" w:pos="440"/>
              <w:tab w:val="right" w:leader="dot" w:pos="9016"/>
            </w:tabs>
            <w:rPr>
              <w:rFonts w:eastAsiaTheme="minorEastAsia"/>
              <w:noProof/>
              <w:lang w:eastAsia="en-GB"/>
            </w:rPr>
          </w:pPr>
          <w:hyperlink w:anchor="_Toc382569406" w:history="1">
            <w:r w:rsidR="004E08F8" w:rsidRPr="00B475BE">
              <w:rPr>
                <w:rStyle w:val="Hyperlink"/>
                <w:noProof/>
              </w:rPr>
              <w:t>3.</w:t>
            </w:r>
            <w:r w:rsidR="004E08F8">
              <w:rPr>
                <w:rFonts w:eastAsiaTheme="minorEastAsia"/>
                <w:noProof/>
                <w:lang w:eastAsia="en-GB"/>
              </w:rPr>
              <w:tab/>
            </w:r>
            <w:r w:rsidR="004E08F8" w:rsidRPr="00B475BE">
              <w:rPr>
                <w:rStyle w:val="Hyperlink"/>
                <w:noProof/>
              </w:rPr>
              <w:t>Problems faced by individual departments</w:t>
            </w:r>
            <w:r w:rsidR="004E08F8">
              <w:rPr>
                <w:noProof/>
                <w:webHidden/>
              </w:rPr>
              <w:tab/>
            </w:r>
            <w:r w:rsidR="004E08F8">
              <w:rPr>
                <w:noProof/>
                <w:webHidden/>
              </w:rPr>
              <w:fldChar w:fldCharType="begin"/>
            </w:r>
            <w:r w:rsidR="004E08F8">
              <w:rPr>
                <w:noProof/>
                <w:webHidden/>
              </w:rPr>
              <w:instrText xml:space="preserve"> PAGEREF _Toc382569406 \h </w:instrText>
            </w:r>
            <w:r w:rsidR="004E08F8">
              <w:rPr>
                <w:noProof/>
                <w:webHidden/>
              </w:rPr>
            </w:r>
            <w:r w:rsidR="004E08F8">
              <w:rPr>
                <w:noProof/>
                <w:webHidden/>
              </w:rPr>
              <w:fldChar w:fldCharType="separate"/>
            </w:r>
            <w:r w:rsidR="0052004A">
              <w:rPr>
                <w:noProof/>
                <w:webHidden/>
              </w:rPr>
              <w:t>5</w:t>
            </w:r>
            <w:r w:rsidR="004E08F8">
              <w:rPr>
                <w:noProof/>
                <w:webHidden/>
              </w:rPr>
              <w:fldChar w:fldCharType="end"/>
            </w:r>
          </w:hyperlink>
        </w:p>
        <w:p w:rsidR="004E08F8" w:rsidRDefault="00D71711">
          <w:pPr>
            <w:pStyle w:val="TOC1"/>
            <w:tabs>
              <w:tab w:val="left" w:pos="440"/>
              <w:tab w:val="right" w:leader="dot" w:pos="9016"/>
            </w:tabs>
            <w:rPr>
              <w:rFonts w:eastAsiaTheme="minorEastAsia"/>
              <w:noProof/>
              <w:lang w:eastAsia="en-GB"/>
            </w:rPr>
          </w:pPr>
          <w:hyperlink w:anchor="_Toc382569407" w:history="1">
            <w:r w:rsidR="004E08F8" w:rsidRPr="00B475BE">
              <w:rPr>
                <w:rStyle w:val="Hyperlink"/>
                <w:noProof/>
              </w:rPr>
              <w:t>4.</w:t>
            </w:r>
            <w:r w:rsidR="004E08F8">
              <w:rPr>
                <w:rFonts w:eastAsiaTheme="minorEastAsia"/>
                <w:noProof/>
                <w:lang w:eastAsia="en-GB"/>
              </w:rPr>
              <w:tab/>
            </w:r>
            <w:r w:rsidR="004E08F8" w:rsidRPr="00B475BE">
              <w:rPr>
                <w:rStyle w:val="Hyperlink"/>
                <w:noProof/>
              </w:rPr>
              <w:t>Future contracts</w:t>
            </w:r>
            <w:r w:rsidR="004E08F8">
              <w:rPr>
                <w:noProof/>
                <w:webHidden/>
              </w:rPr>
              <w:tab/>
            </w:r>
            <w:r w:rsidR="004E08F8">
              <w:rPr>
                <w:noProof/>
                <w:webHidden/>
              </w:rPr>
              <w:fldChar w:fldCharType="begin"/>
            </w:r>
            <w:r w:rsidR="004E08F8">
              <w:rPr>
                <w:noProof/>
                <w:webHidden/>
              </w:rPr>
              <w:instrText xml:space="preserve"> PAGEREF _Toc382569407 \h </w:instrText>
            </w:r>
            <w:r w:rsidR="004E08F8">
              <w:rPr>
                <w:noProof/>
                <w:webHidden/>
              </w:rPr>
            </w:r>
            <w:r w:rsidR="004E08F8">
              <w:rPr>
                <w:noProof/>
                <w:webHidden/>
              </w:rPr>
              <w:fldChar w:fldCharType="separate"/>
            </w:r>
            <w:r w:rsidR="0052004A">
              <w:rPr>
                <w:noProof/>
                <w:webHidden/>
              </w:rPr>
              <w:t>7</w:t>
            </w:r>
            <w:r w:rsidR="004E08F8">
              <w:rPr>
                <w:noProof/>
                <w:webHidden/>
              </w:rPr>
              <w:fldChar w:fldCharType="end"/>
            </w:r>
          </w:hyperlink>
        </w:p>
        <w:p w:rsidR="004E08F8" w:rsidRDefault="00D71711">
          <w:pPr>
            <w:pStyle w:val="TOC1"/>
            <w:tabs>
              <w:tab w:val="left" w:pos="440"/>
              <w:tab w:val="right" w:leader="dot" w:pos="9016"/>
            </w:tabs>
            <w:rPr>
              <w:rFonts w:eastAsiaTheme="minorEastAsia"/>
              <w:noProof/>
              <w:lang w:eastAsia="en-GB"/>
            </w:rPr>
          </w:pPr>
          <w:hyperlink w:anchor="_Toc382569408" w:history="1">
            <w:r w:rsidR="004E08F8" w:rsidRPr="00B475BE">
              <w:rPr>
                <w:rStyle w:val="Hyperlink"/>
                <w:noProof/>
              </w:rPr>
              <w:t>5.</w:t>
            </w:r>
            <w:r w:rsidR="004E08F8">
              <w:rPr>
                <w:rFonts w:eastAsiaTheme="minorEastAsia"/>
                <w:noProof/>
                <w:lang w:eastAsia="en-GB"/>
              </w:rPr>
              <w:tab/>
            </w:r>
            <w:r w:rsidR="004E08F8" w:rsidRPr="00B475BE">
              <w:rPr>
                <w:rStyle w:val="Hyperlink"/>
                <w:noProof/>
              </w:rPr>
              <w:t>Alternative approaches</w:t>
            </w:r>
            <w:r w:rsidR="004E08F8">
              <w:rPr>
                <w:noProof/>
                <w:webHidden/>
              </w:rPr>
              <w:tab/>
            </w:r>
            <w:r w:rsidR="004E08F8">
              <w:rPr>
                <w:noProof/>
                <w:webHidden/>
              </w:rPr>
              <w:fldChar w:fldCharType="begin"/>
            </w:r>
            <w:r w:rsidR="004E08F8">
              <w:rPr>
                <w:noProof/>
                <w:webHidden/>
              </w:rPr>
              <w:instrText xml:space="preserve"> PAGEREF _Toc382569408 \h </w:instrText>
            </w:r>
            <w:r w:rsidR="004E08F8">
              <w:rPr>
                <w:noProof/>
                <w:webHidden/>
              </w:rPr>
            </w:r>
            <w:r w:rsidR="004E08F8">
              <w:rPr>
                <w:noProof/>
                <w:webHidden/>
              </w:rPr>
              <w:fldChar w:fldCharType="separate"/>
            </w:r>
            <w:r w:rsidR="0052004A">
              <w:rPr>
                <w:noProof/>
                <w:webHidden/>
              </w:rPr>
              <w:t>8</w:t>
            </w:r>
            <w:r w:rsidR="004E08F8">
              <w:rPr>
                <w:noProof/>
                <w:webHidden/>
              </w:rPr>
              <w:fldChar w:fldCharType="end"/>
            </w:r>
          </w:hyperlink>
        </w:p>
        <w:p w:rsidR="004E08F8" w:rsidRDefault="00D71711">
          <w:pPr>
            <w:pStyle w:val="TOC1"/>
            <w:tabs>
              <w:tab w:val="left" w:pos="440"/>
              <w:tab w:val="right" w:leader="dot" w:pos="9016"/>
            </w:tabs>
            <w:rPr>
              <w:rFonts w:eastAsiaTheme="minorEastAsia"/>
              <w:noProof/>
              <w:lang w:eastAsia="en-GB"/>
            </w:rPr>
          </w:pPr>
          <w:hyperlink w:anchor="_Toc382569409" w:history="1">
            <w:r w:rsidR="004E08F8" w:rsidRPr="00B475BE">
              <w:rPr>
                <w:rStyle w:val="Hyperlink"/>
                <w:noProof/>
              </w:rPr>
              <w:t>6.</w:t>
            </w:r>
            <w:r w:rsidR="004E08F8">
              <w:rPr>
                <w:rFonts w:eastAsiaTheme="minorEastAsia"/>
                <w:noProof/>
                <w:lang w:eastAsia="en-GB"/>
              </w:rPr>
              <w:tab/>
            </w:r>
            <w:r w:rsidR="004E08F8" w:rsidRPr="00B475BE">
              <w:rPr>
                <w:rStyle w:val="Hyperlink"/>
                <w:noProof/>
              </w:rPr>
              <w:t>Local level</w:t>
            </w:r>
            <w:r w:rsidR="004E08F8">
              <w:rPr>
                <w:noProof/>
                <w:webHidden/>
              </w:rPr>
              <w:tab/>
            </w:r>
            <w:r w:rsidR="004E08F8">
              <w:rPr>
                <w:noProof/>
                <w:webHidden/>
              </w:rPr>
              <w:fldChar w:fldCharType="begin"/>
            </w:r>
            <w:r w:rsidR="004E08F8">
              <w:rPr>
                <w:noProof/>
                <w:webHidden/>
              </w:rPr>
              <w:instrText xml:space="preserve"> PAGEREF _Toc382569409 \h </w:instrText>
            </w:r>
            <w:r w:rsidR="004E08F8">
              <w:rPr>
                <w:noProof/>
                <w:webHidden/>
              </w:rPr>
            </w:r>
            <w:r w:rsidR="004E08F8">
              <w:rPr>
                <w:noProof/>
                <w:webHidden/>
              </w:rPr>
              <w:fldChar w:fldCharType="separate"/>
            </w:r>
            <w:r w:rsidR="0052004A">
              <w:rPr>
                <w:noProof/>
                <w:webHidden/>
              </w:rPr>
              <w:t>8</w:t>
            </w:r>
            <w:r w:rsidR="004E08F8">
              <w:rPr>
                <w:noProof/>
                <w:webHidden/>
              </w:rPr>
              <w:fldChar w:fldCharType="end"/>
            </w:r>
          </w:hyperlink>
        </w:p>
        <w:p w:rsidR="004E08F8" w:rsidRDefault="00D71711">
          <w:pPr>
            <w:pStyle w:val="TOC1"/>
            <w:tabs>
              <w:tab w:val="left" w:pos="440"/>
              <w:tab w:val="right" w:leader="dot" w:pos="9016"/>
            </w:tabs>
            <w:rPr>
              <w:rFonts w:eastAsiaTheme="minorEastAsia"/>
              <w:noProof/>
              <w:lang w:eastAsia="en-GB"/>
            </w:rPr>
          </w:pPr>
          <w:hyperlink w:anchor="_Toc382569410" w:history="1">
            <w:r w:rsidR="004E08F8" w:rsidRPr="00B475BE">
              <w:rPr>
                <w:rStyle w:val="Hyperlink"/>
                <w:noProof/>
              </w:rPr>
              <w:t>7.</w:t>
            </w:r>
            <w:r w:rsidR="004E08F8">
              <w:rPr>
                <w:rFonts w:eastAsiaTheme="minorEastAsia"/>
                <w:noProof/>
                <w:lang w:eastAsia="en-GB"/>
              </w:rPr>
              <w:tab/>
            </w:r>
            <w:r w:rsidR="004E08F8" w:rsidRPr="00B475BE">
              <w:rPr>
                <w:rStyle w:val="Hyperlink"/>
                <w:noProof/>
              </w:rPr>
              <w:t>Conclusion</w:t>
            </w:r>
            <w:r w:rsidR="004E08F8">
              <w:rPr>
                <w:noProof/>
                <w:webHidden/>
              </w:rPr>
              <w:tab/>
            </w:r>
            <w:r w:rsidR="004E08F8">
              <w:rPr>
                <w:noProof/>
                <w:webHidden/>
              </w:rPr>
              <w:fldChar w:fldCharType="begin"/>
            </w:r>
            <w:r w:rsidR="004E08F8">
              <w:rPr>
                <w:noProof/>
                <w:webHidden/>
              </w:rPr>
              <w:instrText xml:space="preserve"> PAGEREF _Toc382569410 \h </w:instrText>
            </w:r>
            <w:r w:rsidR="004E08F8">
              <w:rPr>
                <w:noProof/>
                <w:webHidden/>
              </w:rPr>
            </w:r>
            <w:r w:rsidR="004E08F8">
              <w:rPr>
                <w:noProof/>
                <w:webHidden/>
              </w:rPr>
              <w:fldChar w:fldCharType="separate"/>
            </w:r>
            <w:r w:rsidR="0052004A">
              <w:rPr>
                <w:noProof/>
                <w:webHidden/>
              </w:rPr>
              <w:t>9</w:t>
            </w:r>
            <w:r w:rsidR="004E08F8">
              <w:rPr>
                <w:noProof/>
                <w:webHidden/>
              </w:rPr>
              <w:fldChar w:fldCharType="end"/>
            </w:r>
          </w:hyperlink>
        </w:p>
        <w:p w:rsidR="000A45A0" w:rsidRPr="005A053A" w:rsidRDefault="000A45A0" w:rsidP="00B03D73">
          <w:pPr>
            <w:pStyle w:val="NoSpacing"/>
            <w:rPr>
              <w:rFonts w:asciiTheme="majorHAnsi" w:hAnsiTheme="majorHAnsi"/>
            </w:rPr>
          </w:pPr>
          <w:r w:rsidRPr="005A053A">
            <w:rPr>
              <w:rFonts w:asciiTheme="majorHAnsi" w:hAnsiTheme="majorHAnsi"/>
              <w:bCs/>
              <w:noProof/>
            </w:rPr>
            <w:fldChar w:fldCharType="end"/>
          </w:r>
        </w:p>
      </w:sdtContent>
    </w:sdt>
    <w:p w:rsidR="00DC2508" w:rsidRPr="005A053A" w:rsidRDefault="00DC2508" w:rsidP="00B03D73">
      <w:pPr>
        <w:pStyle w:val="NoSpacing"/>
        <w:rPr>
          <w:rFonts w:asciiTheme="majorHAnsi" w:hAnsiTheme="majorHAnsi"/>
        </w:rPr>
      </w:pPr>
    </w:p>
    <w:p w:rsidR="00B03D73" w:rsidRDefault="00B03D73" w:rsidP="00B03D73">
      <w:pPr>
        <w:pStyle w:val="NoSpacing"/>
        <w:rPr>
          <w:rFonts w:asciiTheme="majorHAnsi" w:hAnsiTheme="majorHAnsi"/>
        </w:rPr>
      </w:pPr>
    </w:p>
    <w:p w:rsidR="0052004A" w:rsidRPr="0052004A" w:rsidRDefault="0052004A" w:rsidP="0052004A">
      <w:pPr>
        <w:pStyle w:val="NoSpacing"/>
        <w:jc w:val="center"/>
        <w:rPr>
          <w:rFonts w:asciiTheme="majorHAnsi" w:hAnsiTheme="majorHAnsi"/>
          <w:b/>
          <w:color w:val="000000" w:themeColor="text1"/>
          <w:sz w:val="28"/>
          <w:szCs w:val="28"/>
        </w:rPr>
      </w:pPr>
      <w:r w:rsidRPr="0052004A">
        <w:rPr>
          <w:rFonts w:asciiTheme="majorHAnsi" w:hAnsiTheme="majorHAnsi"/>
          <w:b/>
          <w:color w:val="000000" w:themeColor="text1"/>
          <w:sz w:val="28"/>
          <w:szCs w:val="28"/>
        </w:rPr>
        <w:t>Shared Services – Setting unrealistic expectations</w:t>
      </w:r>
    </w:p>
    <w:p w:rsidR="0052004A" w:rsidRDefault="0052004A" w:rsidP="00B03D73">
      <w:pPr>
        <w:pStyle w:val="NoSpacing"/>
        <w:rPr>
          <w:rFonts w:asciiTheme="majorHAnsi" w:hAnsiTheme="majorHAnsi"/>
        </w:rPr>
      </w:pPr>
    </w:p>
    <w:p w:rsidR="0052004A" w:rsidRDefault="00B03D73" w:rsidP="00B03D73">
      <w:pPr>
        <w:pStyle w:val="NoSpacing"/>
        <w:rPr>
          <w:rFonts w:asciiTheme="majorHAnsi" w:hAnsiTheme="majorHAnsi"/>
        </w:rPr>
      </w:pPr>
      <w:r w:rsidRPr="005A053A">
        <w:rPr>
          <w:rFonts w:asciiTheme="majorHAnsi" w:hAnsiTheme="majorHAnsi"/>
        </w:rPr>
        <w:t xml:space="preserve">This report was commissioned by PCS in February 2014 to inform campaigns against the outsourcing of services in the Ministry of Justice.  </w:t>
      </w:r>
      <w:r w:rsidR="0052004A">
        <w:rPr>
          <w:rFonts w:asciiTheme="majorHAnsi" w:hAnsiTheme="majorHAnsi"/>
        </w:rPr>
        <w:t>It has been almost a decade since central government started to outsource shared services.  This experience should be used to inform future decisions about shared service outsourcing.  This report presents some of the evidence about the extent to which shared services can save on costs.</w:t>
      </w:r>
    </w:p>
    <w:p w:rsidR="003924AB" w:rsidRDefault="003924AB" w:rsidP="00B03D73">
      <w:pPr>
        <w:pStyle w:val="NoSpacing"/>
        <w:rPr>
          <w:rFonts w:asciiTheme="majorHAnsi" w:hAnsiTheme="majorHAnsi"/>
        </w:rPr>
      </w:pPr>
    </w:p>
    <w:p w:rsidR="00B03D73" w:rsidRPr="005A053A" w:rsidRDefault="00B03D73" w:rsidP="00B03D73">
      <w:pPr>
        <w:pStyle w:val="NoSpacing"/>
        <w:rPr>
          <w:rFonts w:asciiTheme="majorHAnsi" w:hAnsiTheme="majorHAnsi"/>
        </w:rPr>
      </w:pPr>
      <w:r w:rsidRPr="005A053A">
        <w:rPr>
          <w:rFonts w:asciiTheme="majorHAnsi" w:hAnsiTheme="majorHAnsi"/>
        </w:rPr>
        <w:t xml:space="preserve">This report is in </w:t>
      </w:r>
      <w:r w:rsidR="00FE480B">
        <w:rPr>
          <w:rFonts w:asciiTheme="majorHAnsi" w:hAnsiTheme="majorHAnsi"/>
        </w:rPr>
        <w:t>six</w:t>
      </w:r>
      <w:r w:rsidRPr="005A053A">
        <w:rPr>
          <w:rFonts w:asciiTheme="majorHAnsi" w:hAnsiTheme="majorHAnsi"/>
        </w:rPr>
        <w:t xml:space="preserve"> sections: </w:t>
      </w:r>
    </w:p>
    <w:p w:rsidR="00B03D73" w:rsidRPr="005A053A" w:rsidRDefault="00B03D73" w:rsidP="00B03D73">
      <w:pPr>
        <w:pStyle w:val="NoSpacing"/>
        <w:rPr>
          <w:rFonts w:asciiTheme="majorHAnsi" w:hAnsiTheme="majorHAnsi"/>
        </w:rPr>
      </w:pPr>
      <w:r w:rsidRPr="005A053A">
        <w:rPr>
          <w:rFonts w:asciiTheme="majorHAnsi" w:hAnsiTheme="majorHAnsi"/>
        </w:rPr>
        <w:t>1. Overview of shared services and UK government policy</w:t>
      </w:r>
      <w:r w:rsidR="0052004A">
        <w:rPr>
          <w:rFonts w:asciiTheme="majorHAnsi" w:hAnsiTheme="majorHAnsi"/>
        </w:rPr>
        <w:t>;</w:t>
      </w:r>
    </w:p>
    <w:p w:rsidR="00B03D73" w:rsidRPr="005A053A" w:rsidRDefault="003924AB" w:rsidP="00B03D73">
      <w:pPr>
        <w:pStyle w:val="NoSpacing"/>
        <w:rPr>
          <w:rFonts w:asciiTheme="majorHAnsi" w:hAnsiTheme="majorHAnsi"/>
        </w:rPr>
      </w:pPr>
      <w:r>
        <w:rPr>
          <w:rFonts w:asciiTheme="majorHAnsi" w:hAnsiTheme="majorHAnsi"/>
        </w:rPr>
        <w:t>2</w:t>
      </w:r>
      <w:r w:rsidR="00B03D73" w:rsidRPr="005A053A">
        <w:rPr>
          <w:rFonts w:asciiTheme="majorHAnsi" w:hAnsiTheme="majorHAnsi"/>
        </w:rPr>
        <w:t>. Lack of savings</w:t>
      </w:r>
      <w:r w:rsidR="0052004A">
        <w:rPr>
          <w:rFonts w:asciiTheme="majorHAnsi" w:hAnsiTheme="majorHAnsi"/>
        </w:rPr>
        <w:t>;</w:t>
      </w:r>
    </w:p>
    <w:p w:rsidR="00B03D73" w:rsidRPr="005A053A" w:rsidRDefault="003924AB" w:rsidP="00B03D73">
      <w:pPr>
        <w:pStyle w:val="NoSpacing"/>
        <w:rPr>
          <w:rFonts w:asciiTheme="majorHAnsi" w:hAnsiTheme="majorHAnsi"/>
        </w:rPr>
      </w:pPr>
      <w:r>
        <w:rPr>
          <w:rFonts w:asciiTheme="majorHAnsi" w:hAnsiTheme="majorHAnsi"/>
        </w:rPr>
        <w:t>3</w:t>
      </w:r>
      <w:r w:rsidR="00B03D73" w:rsidRPr="005A053A">
        <w:rPr>
          <w:rFonts w:asciiTheme="majorHAnsi" w:hAnsiTheme="majorHAnsi"/>
        </w:rPr>
        <w:t xml:space="preserve">. </w:t>
      </w:r>
      <w:r w:rsidR="0052004A">
        <w:rPr>
          <w:rFonts w:asciiTheme="majorHAnsi" w:hAnsiTheme="majorHAnsi"/>
        </w:rPr>
        <w:t>Problems faced by i</w:t>
      </w:r>
      <w:r w:rsidR="00B03D73" w:rsidRPr="005A053A">
        <w:rPr>
          <w:rFonts w:asciiTheme="majorHAnsi" w:hAnsiTheme="majorHAnsi"/>
        </w:rPr>
        <w:t>ndividual departments</w:t>
      </w:r>
      <w:r w:rsidR="0052004A">
        <w:rPr>
          <w:rFonts w:asciiTheme="majorHAnsi" w:hAnsiTheme="majorHAnsi"/>
        </w:rPr>
        <w:t>;</w:t>
      </w:r>
    </w:p>
    <w:p w:rsidR="0052004A" w:rsidRDefault="003924AB" w:rsidP="00B03D73">
      <w:pPr>
        <w:pStyle w:val="NoSpacing"/>
        <w:rPr>
          <w:rFonts w:asciiTheme="majorHAnsi" w:hAnsiTheme="majorHAnsi"/>
        </w:rPr>
      </w:pPr>
      <w:r>
        <w:rPr>
          <w:rFonts w:asciiTheme="majorHAnsi" w:hAnsiTheme="majorHAnsi"/>
        </w:rPr>
        <w:t>4</w:t>
      </w:r>
      <w:r w:rsidR="00B03D73" w:rsidRPr="005A053A">
        <w:rPr>
          <w:rFonts w:asciiTheme="majorHAnsi" w:hAnsiTheme="majorHAnsi"/>
        </w:rPr>
        <w:t xml:space="preserve">. </w:t>
      </w:r>
      <w:r w:rsidR="0052004A">
        <w:rPr>
          <w:rFonts w:asciiTheme="majorHAnsi" w:hAnsiTheme="majorHAnsi"/>
        </w:rPr>
        <w:t>Alternative approaches;</w:t>
      </w:r>
    </w:p>
    <w:p w:rsidR="0052004A" w:rsidRPr="005A053A" w:rsidRDefault="0052004A" w:rsidP="00B03D73">
      <w:pPr>
        <w:pStyle w:val="NoSpacing"/>
        <w:rPr>
          <w:rFonts w:asciiTheme="majorHAnsi" w:hAnsiTheme="majorHAnsi"/>
        </w:rPr>
      </w:pPr>
      <w:r>
        <w:rPr>
          <w:rFonts w:asciiTheme="majorHAnsi" w:hAnsiTheme="majorHAnsi"/>
        </w:rPr>
        <w:t>5. Local level;</w:t>
      </w:r>
    </w:p>
    <w:p w:rsidR="00B03D73" w:rsidRPr="005A053A" w:rsidRDefault="00FE480B" w:rsidP="00B03D73">
      <w:pPr>
        <w:pStyle w:val="NoSpacing"/>
        <w:rPr>
          <w:rFonts w:asciiTheme="majorHAnsi" w:hAnsiTheme="majorHAnsi"/>
        </w:rPr>
      </w:pPr>
      <w:r>
        <w:rPr>
          <w:rFonts w:asciiTheme="majorHAnsi" w:hAnsiTheme="majorHAnsi"/>
        </w:rPr>
        <w:t>6</w:t>
      </w:r>
      <w:r w:rsidR="00B03D73" w:rsidRPr="005A053A">
        <w:rPr>
          <w:rFonts w:asciiTheme="majorHAnsi" w:hAnsiTheme="majorHAnsi"/>
        </w:rPr>
        <w:t>. Conclusion</w:t>
      </w:r>
      <w:r w:rsidR="0052004A">
        <w:rPr>
          <w:rFonts w:asciiTheme="majorHAnsi" w:hAnsiTheme="majorHAnsi"/>
        </w:rPr>
        <w:t>.</w:t>
      </w:r>
    </w:p>
    <w:p w:rsidR="00DC2508" w:rsidRPr="005A053A" w:rsidRDefault="00E62B64" w:rsidP="00B03D73">
      <w:pPr>
        <w:pStyle w:val="Heading1"/>
        <w:numPr>
          <w:ilvl w:val="0"/>
          <w:numId w:val="35"/>
        </w:numPr>
        <w:rPr>
          <w:color w:val="000000" w:themeColor="text1"/>
          <w:sz w:val="22"/>
          <w:szCs w:val="22"/>
        </w:rPr>
      </w:pPr>
      <w:bookmarkStart w:id="0" w:name="_Toc382569404"/>
      <w:r>
        <w:rPr>
          <w:color w:val="000000" w:themeColor="text1"/>
          <w:sz w:val="22"/>
          <w:szCs w:val="22"/>
        </w:rPr>
        <w:t>S</w:t>
      </w:r>
      <w:r w:rsidR="00DC2508" w:rsidRPr="005A053A">
        <w:rPr>
          <w:color w:val="000000" w:themeColor="text1"/>
          <w:sz w:val="22"/>
          <w:szCs w:val="22"/>
        </w:rPr>
        <w:t>hared Services: overview</w:t>
      </w:r>
      <w:bookmarkEnd w:id="0"/>
      <w:r w:rsidR="00DC2508" w:rsidRPr="005A053A">
        <w:rPr>
          <w:color w:val="000000" w:themeColor="text1"/>
          <w:sz w:val="22"/>
          <w:szCs w:val="22"/>
        </w:rPr>
        <w:t xml:space="preserve"> </w:t>
      </w:r>
    </w:p>
    <w:p w:rsidR="00B03D73" w:rsidRPr="005474FF" w:rsidRDefault="00B03D73" w:rsidP="00B03D73">
      <w:pPr>
        <w:pStyle w:val="NoSpacing"/>
        <w:rPr>
          <w:rFonts w:asciiTheme="majorHAnsi" w:hAnsiTheme="majorHAnsi"/>
        </w:rPr>
      </w:pPr>
    </w:p>
    <w:p w:rsidR="00482EEE" w:rsidRPr="005474FF" w:rsidRDefault="008222A6" w:rsidP="005B4433">
      <w:pPr>
        <w:pStyle w:val="NoSpacing"/>
        <w:rPr>
          <w:rFonts w:asciiTheme="majorHAnsi" w:hAnsiTheme="majorHAnsi"/>
          <w:i/>
        </w:rPr>
      </w:pPr>
      <w:r w:rsidRPr="005474FF">
        <w:rPr>
          <w:rFonts w:asciiTheme="majorHAnsi" w:hAnsiTheme="majorHAnsi"/>
        </w:rPr>
        <w:t>The concept of ‘</w:t>
      </w:r>
      <w:r w:rsidR="00B03D73" w:rsidRPr="005474FF">
        <w:rPr>
          <w:rFonts w:asciiTheme="majorHAnsi" w:hAnsiTheme="majorHAnsi"/>
        </w:rPr>
        <w:t>Shared Services</w:t>
      </w:r>
      <w:r w:rsidRPr="005474FF">
        <w:rPr>
          <w:rFonts w:asciiTheme="majorHAnsi" w:hAnsiTheme="majorHAnsi"/>
        </w:rPr>
        <w:t xml:space="preserve">’ originates in the </w:t>
      </w:r>
      <w:r w:rsidR="001A0BF7">
        <w:rPr>
          <w:rFonts w:asciiTheme="majorHAnsi" w:hAnsiTheme="majorHAnsi"/>
        </w:rPr>
        <w:t>private</w:t>
      </w:r>
      <w:r w:rsidRPr="005474FF">
        <w:rPr>
          <w:rFonts w:asciiTheme="majorHAnsi" w:hAnsiTheme="majorHAnsi"/>
        </w:rPr>
        <w:t xml:space="preserve"> sector motivated by reducing  labour and other operational costs.  Sometimes it involves concentrating expertise, e.</w:t>
      </w:r>
      <w:r w:rsidR="001A0BF7">
        <w:rPr>
          <w:rFonts w:asciiTheme="majorHAnsi" w:hAnsiTheme="majorHAnsi"/>
        </w:rPr>
        <w:t>g</w:t>
      </w:r>
      <w:r w:rsidRPr="005474FF">
        <w:rPr>
          <w:rFonts w:asciiTheme="majorHAnsi" w:hAnsiTheme="majorHAnsi"/>
        </w:rPr>
        <w:t xml:space="preserve">.HR, across a company and increasing the customer focus.  However, although this is a model promoted </w:t>
      </w:r>
      <w:r w:rsidR="00B44174" w:rsidRPr="005474FF">
        <w:rPr>
          <w:rFonts w:asciiTheme="majorHAnsi" w:hAnsiTheme="majorHAnsi"/>
        </w:rPr>
        <w:t xml:space="preserve">widely </w:t>
      </w:r>
      <w:r w:rsidRPr="005474FF">
        <w:rPr>
          <w:rFonts w:asciiTheme="majorHAnsi" w:hAnsiTheme="majorHAnsi"/>
        </w:rPr>
        <w:t xml:space="preserve">by the </w:t>
      </w:r>
      <w:r w:rsidR="001A0BF7">
        <w:rPr>
          <w:rFonts w:asciiTheme="majorHAnsi" w:hAnsiTheme="majorHAnsi"/>
        </w:rPr>
        <w:t>private</w:t>
      </w:r>
      <w:r w:rsidRPr="005474FF">
        <w:rPr>
          <w:rFonts w:asciiTheme="majorHAnsi" w:hAnsiTheme="majorHAnsi"/>
        </w:rPr>
        <w:t xml:space="preserve"> sector, there are also risks associated with shared services.  Su </w:t>
      </w:r>
      <w:r w:rsidRPr="005474FF">
        <w:rPr>
          <w:rFonts w:asciiTheme="majorHAnsi" w:hAnsiTheme="majorHAnsi"/>
          <w:i/>
        </w:rPr>
        <w:t xml:space="preserve">et al </w:t>
      </w:r>
      <w:r w:rsidRPr="005474FF">
        <w:rPr>
          <w:rFonts w:asciiTheme="majorHAnsi" w:hAnsiTheme="majorHAnsi"/>
        </w:rPr>
        <w:t>(2009) identified nine risks</w:t>
      </w:r>
      <w:r w:rsidRPr="005474FF">
        <w:rPr>
          <w:rFonts w:asciiTheme="majorHAnsi" w:hAnsiTheme="majorHAnsi"/>
          <w:i/>
        </w:rPr>
        <w:t xml:space="preserve">: </w:t>
      </w:r>
    </w:p>
    <w:p w:rsidR="008222A6" w:rsidRPr="005B4433" w:rsidRDefault="008222A6"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Over-standardisation of systems and processes</w:t>
      </w:r>
      <w:r w:rsidR="001A0BF7">
        <w:rPr>
          <w:rFonts w:asciiTheme="majorHAnsi" w:eastAsia="Times New Roman" w:hAnsiTheme="majorHAnsi" w:cs="Times New Roman"/>
          <w:lang w:eastAsia="en-GB"/>
        </w:rPr>
        <w:t>;</w:t>
      </w:r>
    </w:p>
    <w:p w:rsidR="008222A6" w:rsidRPr="005B4433" w:rsidRDefault="00482EEE"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L</w:t>
      </w:r>
      <w:r w:rsidR="008222A6" w:rsidRPr="005B4433">
        <w:rPr>
          <w:rFonts w:asciiTheme="majorHAnsi" w:eastAsia="Times New Roman" w:hAnsiTheme="majorHAnsi" w:cs="Times New Roman"/>
          <w:lang w:eastAsia="en-GB"/>
        </w:rPr>
        <w:t>ack of operational flexibility</w:t>
      </w:r>
      <w:r w:rsidR="001A0BF7">
        <w:rPr>
          <w:rFonts w:asciiTheme="majorHAnsi" w:eastAsia="Times New Roman" w:hAnsiTheme="majorHAnsi" w:cs="Times New Roman"/>
          <w:lang w:eastAsia="en-GB"/>
        </w:rPr>
        <w:t>;</w:t>
      </w:r>
    </w:p>
    <w:p w:rsidR="008222A6" w:rsidRPr="005B4433" w:rsidRDefault="008222A6"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Unbalanced power concentration</w:t>
      </w:r>
      <w:r w:rsidR="001A0BF7">
        <w:rPr>
          <w:rFonts w:asciiTheme="majorHAnsi" w:eastAsia="Times New Roman" w:hAnsiTheme="majorHAnsi" w:cs="Times New Roman"/>
          <w:lang w:eastAsia="en-GB"/>
        </w:rPr>
        <w:t>;</w:t>
      </w:r>
    </w:p>
    <w:p w:rsidR="008222A6" w:rsidRPr="005B4433" w:rsidRDefault="008222A6"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Increased system complexity</w:t>
      </w:r>
      <w:r w:rsidR="001A0BF7">
        <w:rPr>
          <w:rFonts w:asciiTheme="majorHAnsi" w:eastAsia="Times New Roman" w:hAnsiTheme="majorHAnsi" w:cs="Times New Roman"/>
          <w:lang w:eastAsia="en-GB"/>
        </w:rPr>
        <w:t>;</w:t>
      </w:r>
    </w:p>
    <w:p w:rsidR="008222A6" w:rsidRPr="005B4433" w:rsidRDefault="008222A6"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Unclear service accountability</w:t>
      </w:r>
      <w:r w:rsidR="001A0BF7">
        <w:rPr>
          <w:rFonts w:asciiTheme="majorHAnsi" w:eastAsia="Times New Roman" w:hAnsiTheme="majorHAnsi" w:cs="Times New Roman"/>
          <w:lang w:eastAsia="en-GB"/>
        </w:rPr>
        <w:t>;</w:t>
      </w:r>
    </w:p>
    <w:p w:rsidR="008222A6" w:rsidRPr="005B4433" w:rsidRDefault="008222A6"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Dampened employee morale</w:t>
      </w:r>
      <w:r w:rsidR="001A0BF7">
        <w:rPr>
          <w:rFonts w:asciiTheme="majorHAnsi" w:eastAsia="Times New Roman" w:hAnsiTheme="majorHAnsi" w:cs="Times New Roman"/>
          <w:lang w:eastAsia="en-GB"/>
        </w:rPr>
        <w:t>;</w:t>
      </w:r>
    </w:p>
    <w:p w:rsidR="008222A6" w:rsidRPr="005B4433" w:rsidRDefault="008222A6" w:rsidP="005B4433">
      <w:pPr>
        <w:pStyle w:val="NoSpacing"/>
        <w:numPr>
          <w:ilvl w:val="0"/>
          <w:numId w:val="38"/>
        </w:numPr>
        <w:rPr>
          <w:rFonts w:asciiTheme="majorHAnsi" w:eastAsia="Times New Roman" w:hAnsiTheme="majorHAnsi" w:cs="Times New Roman"/>
          <w:lang w:eastAsia="en-GB"/>
        </w:rPr>
      </w:pPr>
      <w:r w:rsidRPr="005B4433">
        <w:rPr>
          <w:rFonts w:asciiTheme="majorHAnsi" w:eastAsia="Times New Roman" w:hAnsiTheme="majorHAnsi" w:cs="Times New Roman"/>
          <w:lang w:eastAsia="en-GB"/>
        </w:rPr>
        <w:t>Ineffective communication</w:t>
      </w:r>
      <w:r w:rsidR="001A0BF7">
        <w:rPr>
          <w:rFonts w:asciiTheme="majorHAnsi" w:eastAsia="Times New Roman" w:hAnsiTheme="majorHAnsi" w:cs="Times New Roman"/>
          <w:lang w:eastAsia="en-GB"/>
        </w:rPr>
        <w:t>;</w:t>
      </w:r>
    </w:p>
    <w:p w:rsidR="008222A6" w:rsidRPr="005B4433" w:rsidRDefault="008222A6" w:rsidP="005B4433">
      <w:pPr>
        <w:pStyle w:val="NoSpacing"/>
        <w:numPr>
          <w:ilvl w:val="0"/>
          <w:numId w:val="38"/>
        </w:numPr>
        <w:rPr>
          <w:rFonts w:asciiTheme="majorHAnsi" w:hAnsiTheme="majorHAnsi"/>
          <w:lang w:eastAsia="en-GB"/>
        </w:rPr>
      </w:pPr>
      <w:r w:rsidRPr="005B4433">
        <w:rPr>
          <w:rFonts w:asciiTheme="majorHAnsi" w:hAnsiTheme="majorHAnsi"/>
          <w:lang w:eastAsia="en-GB"/>
        </w:rPr>
        <w:lastRenderedPageBreak/>
        <w:t>Unexpected implementation cost escalation</w:t>
      </w:r>
      <w:r w:rsidR="001A0BF7">
        <w:rPr>
          <w:rFonts w:asciiTheme="majorHAnsi" w:hAnsiTheme="majorHAnsi"/>
          <w:lang w:eastAsia="en-GB"/>
        </w:rPr>
        <w:t>;</w:t>
      </w:r>
    </w:p>
    <w:p w:rsidR="008222A6" w:rsidRPr="00096F3E" w:rsidRDefault="00482EEE" w:rsidP="005B4433">
      <w:pPr>
        <w:pStyle w:val="NoSpacing"/>
        <w:numPr>
          <w:ilvl w:val="0"/>
          <w:numId w:val="38"/>
        </w:numPr>
        <w:rPr>
          <w:rFonts w:asciiTheme="majorHAnsi" w:hAnsiTheme="majorHAnsi"/>
          <w:lang w:val="fr-CA" w:eastAsia="en-GB"/>
        </w:rPr>
      </w:pPr>
      <w:r w:rsidRPr="00096F3E">
        <w:rPr>
          <w:rFonts w:asciiTheme="majorHAnsi" w:hAnsiTheme="majorHAnsi"/>
          <w:lang w:val="fr-CA" w:eastAsia="en-GB"/>
        </w:rPr>
        <w:t>L</w:t>
      </w:r>
      <w:r w:rsidR="008222A6" w:rsidRPr="00096F3E">
        <w:rPr>
          <w:rFonts w:asciiTheme="majorHAnsi" w:hAnsiTheme="majorHAnsi"/>
          <w:lang w:val="fr-CA" w:eastAsia="en-GB"/>
        </w:rPr>
        <w:t xml:space="preserve">ong </w:t>
      </w:r>
      <w:proofErr w:type="spellStart"/>
      <w:r w:rsidR="008222A6" w:rsidRPr="00096F3E">
        <w:rPr>
          <w:rFonts w:asciiTheme="majorHAnsi" w:hAnsiTheme="majorHAnsi"/>
          <w:lang w:val="fr-CA" w:eastAsia="en-GB"/>
        </w:rPr>
        <w:t>project</w:t>
      </w:r>
      <w:proofErr w:type="spellEnd"/>
      <w:r w:rsidR="008222A6" w:rsidRPr="00096F3E">
        <w:rPr>
          <w:rFonts w:asciiTheme="majorHAnsi" w:hAnsiTheme="majorHAnsi"/>
          <w:lang w:val="fr-CA" w:eastAsia="en-GB"/>
        </w:rPr>
        <w:t xml:space="preserve"> </w:t>
      </w:r>
      <w:proofErr w:type="spellStart"/>
      <w:r w:rsidR="008222A6" w:rsidRPr="00096F3E">
        <w:rPr>
          <w:rFonts w:asciiTheme="majorHAnsi" w:hAnsiTheme="majorHAnsi"/>
          <w:lang w:val="fr-CA" w:eastAsia="en-GB"/>
        </w:rPr>
        <w:t>timelines</w:t>
      </w:r>
      <w:proofErr w:type="spellEnd"/>
      <w:r w:rsidR="00096F3E" w:rsidRPr="00096F3E">
        <w:rPr>
          <w:rFonts w:asciiTheme="majorHAnsi" w:hAnsiTheme="majorHAnsi"/>
          <w:lang w:val="fr-CA" w:eastAsia="en-GB"/>
        </w:rPr>
        <w:t xml:space="preserve">. </w:t>
      </w:r>
      <w:r w:rsidR="00096F3E">
        <w:rPr>
          <w:rStyle w:val="EndnoteReference"/>
          <w:rFonts w:asciiTheme="majorHAnsi" w:hAnsiTheme="majorHAnsi"/>
          <w:lang w:val="fr-CA" w:eastAsia="en-GB"/>
        </w:rPr>
        <w:endnoteReference w:id="1"/>
      </w:r>
    </w:p>
    <w:p w:rsidR="001A0BF7" w:rsidRDefault="00E62B64" w:rsidP="005B4433">
      <w:pPr>
        <w:pStyle w:val="NoSpacing"/>
        <w:rPr>
          <w:rFonts w:asciiTheme="majorHAnsi" w:hAnsiTheme="majorHAnsi"/>
        </w:rPr>
      </w:pPr>
      <w:r w:rsidRPr="005B4433">
        <w:rPr>
          <w:rFonts w:asciiTheme="majorHAnsi" w:hAnsiTheme="majorHAnsi"/>
        </w:rPr>
        <w:t>A</w:t>
      </w:r>
      <w:r w:rsidR="00482EEE" w:rsidRPr="005B4433">
        <w:rPr>
          <w:rFonts w:asciiTheme="majorHAnsi" w:hAnsiTheme="majorHAnsi"/>
        </w:rPr>
        <w:t xml:space="preserve">lthough </w:t>
      </w:r>
      <w:r w:rsidR="00B44174">
        <w:rPr>
          <w:rFonts w:asciiTheme="majorHAnsi" w:hAnsiTheme="majorHAnsi"/>
        </w:rPr>
        <w:t xml:space="preserve">there are a wide range of problems associated with </w:t>
      </w:r>
      <w:r w:rsidR="00482EEE" w:rsidRPr="005B4433">
        <w:rPr>
          <w:rFonts w:asciiTheme="majorHAnsi" w:hAnsiTheme="majorHAnsi"/>
        </w:rPr>
        <w:t>‘shared services’</w:t>
      </w:r>
      <w:r w:rsidR="00B44174">
        <w:rPr>
          <w:rFonts w:asciiTheme="majorHAnsi" w:hAnsiTheme="majorHAnsi"/>
        </w:rPr>
        <w:t xml:space="preserve">, the pressure to reduce costs in both the public sector and </w:t>
      </w:r>
      <w:r w:rsidR="001A0BF7">
        <w:rPr>
          <w:rFonts w:asciiTheme="majorHAnsi" w:hAnsiTheme="majorHAnsi"/>
        </w:rPr>
        <w:t>private</w:t>
      </w:r>
      <w:r w:rsidR="00B44174">
        <w:rPr>
          <w:rFonts w:asciiTheme="majorHAnsi" w:hAnsiTheme="majorHAnsi"/>
        </w:rPr>
        <w:t xml:space="preserve"> sector has resulted in </w:t>
      </w:r>
      <w:r w:rsidR="001A0BF7">
        <w:rPr>
          <w:rFonts w:asciiTheme="majorHAnsi" w:hAnsiTheme="majorHAnsi"/>
        </w:rPr>
        <w:t>its</w:t>
      </w:r>
      <w:r w:rsidR="00B44174">
        <w:rPr>
          <w:rFonts w:asciiTheme="majorHAnsi" w:hAnsiTheme="majorHAnsi"/>
        </w:rPr>
        <w:t xml:space="preserve"> continued adoption</w:t>
      </w:r>
      <w:r w:rsidR="001A0BF7">
        <w:rPr>
          <w:rFonts w:asciiTheme="majorHAnsi" w:hAnsiTheme="majorHAnsi"/>
        </w:rPr>
        <w:t>.</w:t>
      </w:r>
    </w:p>
    <w:p w:rsidR="00482EEE" w:rsidRPr="005B4433" w:rsidRDefault="00482EEE" w:rsidP="005B4433">
      <w:pPr>
        <w:pStyle w:val="NoSpacing"/>
        <w:rPr>
          <w:rFonts w:asciiTheme="majorHAnsi" w:hAnsiTheme="majorHAnsi"/>
        </w:rPr>
      </w:pPr>
    </w:p>
    <w:p w:rsidR="005B4433" w:rsidRDefault="005B4433" w:rsidP="005B4433">
      <w:pPr>
        <w:pStyle w:val="NoSpacing"/>
        <w:rPr>
          <w:rFonts w:asciiTheme="majorHAnsi" w:hAnsiTheme="majorHAnsi"/>
        </w:rPr>
      </w:pPr>
      <w:r>
        <w:rPr>
          <w:rFonts w:asciiTheme="majorHAnsi" w:hAnsiTheme="majorHAnsi"/>
        </w:rPr>
        <w:t>This report looks at the experience of the UK government sector.  ‘</w:t>
      </w:r>
      <w:r w:rsidRPr="005A053A">
        <w:rPr>
          <w:rFonts w:asciiTheme="majorHAnsi" w:hAnsiTheme="majorHAnsi"/>
        </w:rPr>
        <w:t>Shared Services</w:t>
      </w:r>
      <w:r>
        <w:rPr>
          <w:rFonts w:asciiTheme="majorHAnsi" w:hAnsiTheme="majorHAnsi"/>
        </w:rPr>
        <w:t>’</w:t>
      </w:r>
      <w:r w:rsidRPr="005A053A">
        <w:rPr>
          <w:rFonts w:asciiTheme="majorHAnsi" w:hAnsiTheme="majorHAnsi"/>
        </w:rPr>
        <w:t xml:space="preserve"> is a part of the UK government policy of ‘</w:t>
      </w:r>
      <w:r w:rsidRPr="005A053A">
        <w:rPr>
          <w:rFonts w:asciiTheme="majorHAnsi" w:hAnsiTheme="majorHAnsi"/>
          <w:bCs/>
        </w:rPr>
        <w:t>Transforming government services to make them more efficient and effective for users’</w:t>
      </w:r>
      <w:r w:rsidRPr="005A053A">
        <w:rPr>
          <w:rFonts w:asciiTheme="majorHAnsi" w:hAnsiTheme="majorHAnsi"/>
        </w:rPr>
        <w:t xml:space="preserve"> by making ‘public services simpler, clearer and faster for users and make government services more efficient’. It is aimed at reducing waste, saving money and improving government services to make them more effective for those who need them</w:t>
      </w:r>
      <w:r w:rsidR="00096F3E">
        <w:rPr>
          <w:rFonts w:asciiTheme="majorHAnsi" w:hAnsiTheme="majorHAnsi"/>
        </w:rPr>
        <w:t xml:space="preserve">. </w:t>
      </w:r>
      <w:r w:rsidR="00096F3E">
        <w:rPr>
          <w:rStyle w:val="EndnoteReference"/>
          <w:rFonts w:asciiTheme="majorHAnsi" w:hAnsiTheme="majorHAnsi"/>
        </w:rPr>
        <w:endnoteReference w:id="2"/>
      </w:r>
      <w:r>
        <w:rPr>
          <w:rFonts w:asciiTheme="majorHAnsi" w:hAnsiTheme="majorHAnsi"/>
        </w:rPr>
        <w:t xml:space="preserve">  </w:t>
      </w:r>
      <w:r w:rsidR="00B44174">
        <w:rPr>
          <w:rFonts w:asciiTheme="majorHAnsi" w:hAnsiTheme="majorHAnsi"/>
        </w:rPr>
        <w:t>T</w:t>
      </w:r>
      <w:r w:rsidRPr="005A053A">
        <w:rPr>
          <w:rFonts w:asciiTheme="majorHAnsi" w:hAnsiTheme="majorHAnsi"/>
        </w:rPr>
        <w:t xml:space="preserve">he </w:t>
      </w:r>
      <w:r w:rsidR="00B44174">
        <w:rPr>
          <w:rFonts w:asciiTheme="majorHAnsi" w:hAnsiTheme="majorHAnsi"/>
        </w:rPr>
        <w:t xml:space="preserve">Cabinet Office </w:t>
      </w:r>
      <w:r w:rsidRPr="005A053A">
        <w:rPr>
          <w:rFonts w:asciiTheme="majorHAnsi" w:hAnsiTheme="majorHAnsi"/>
        </w:rPr>
        <w:t>‘Next Generation Shared Services. The Strategic Plan’</w:t>
      </w:r>
      <w:r w:rsidR="00B44174">
        <w:rPr>
          <w:rFonts w:asciiTheme="majorHAnsi" w:hAnsiTheme="majorHAnsi"/>
        </w:rPr>
        <w:t xml:space="preserve"> </w:t>
      </w:r>
      <w:r w:rsidR="00096F3E">
        <w:rPr>
          <w:rStyle w:val="EndnoteReference"/>
          <w:rFonts w:asciiTheme="majorHAnsi" w:hAnsiTheme="majorHAnsi"/>
        </w:rPr>
        <w:endnoteReference w:id="3"/>
      </w:r>
      <w:r w:rsidR="00DE3348">
        <w:rPr>
          <w:rFonts w:asciiTheme="majorHAnsi" w:hAnsiTheme="majorHAnsi"/>
        </w:rPr>
        <w:t xml:space="preserve"> </w:t>
      </w:r>
      <w:r w:rsidR="00B44174">
        <w:rPr>
          <w:rFonts w:asciiTheme="majorHAnsi" w:hAnsiTheme="majorHAnsi"/>
        </w:rPr>
        <w:t xml:space="preserve">explained </w:t>
      </w:r>
      <w:r w:rsidRPr="005A053A">
        <w:rPr>
          <w:rFonts w:asciiTheme="majorHAnsi" w:hAnsiTheme="majorHAnsi"/>
        </w:rPr>
        <w:t>‘how central government intends to implement, operate and manage a more effective programme of back office shared services across departments and arm’s-length bodies (ALBs), by building on prior investments and successes and learning lessons from experiences to date, most recently documented in</w:t>
      </w:r>
      <w:r w:rsidR="00143075">
        <w:rPr>
          <w:rFonts w:asciiTheme="majorHAnsi" w:hAnsiTheme="majorHAnsi"/>
        </w:rPr>
        <w:t xml:space="preserve"> the</w:t>
      </w:r>
      <w:r w:rsidRPr="005A053A">
        <w:rPr>
          <w:rFonts w:asciiTheme="majorHAnsi" w:hAnsiTheme="majorHAnsi"/>
        </w:rPr>
        <w:t xml:space="preserve"> report “Efficiency and Reform in Government Corporate Functions through Shared Service Centres” published on 7 March 2012</w:t>
      </w:r>
      <w:r w:rsidR="00143075">
        <w:rPr>
          <w:rFonts w:asciiTheme="majorHAnsi" w:hAnsiTheme="majorHAnsi"/>
        </w:rPr>
        <w:t xml:space="preserve"> by the House of Commons Committee of Public Accounts</w:t>
      </w:r>
      <w:r w:rsidRPr="005A053A">
        <w:rPr>
          <w:rFonts w:asciiTheme="majorHAnsi" w:hAnsiTheme="majorHAnsi"/>
        </w:rPr>
        <w:t xml:space="preserve">. </w:t>
      </w:r>
      <w:r w:rsidR="00096F3E">
        <w:rPr>
          <w:rStyle w:val="EndnoteReference"/>
          <w:rFonts w:asciiTheme="majorHAnsi" w:hAnsiTheme="majorHAnsi"/>
        </w:rPr>
        <w:endnoteReference w:id="4"/>
      </w:r>
    </w:p>
    <w:p w:rsidR="005B4433" w:rsidRDefault="005B4433" w:rsidP="005B4433">
      <w:pPr>
        <w:pStyle w:val="NoSpacing"/>
        <w:rPr>
          <w:rFonts w:asciiTheme="majorHAnsi" w:hAnsiTheme="majorHAnsi"/>
        </w:rPr>
      </w:pPr>
    </w:p>
    <w:p w:rsidR="005B4433" w:rsidRPr="005A053A" w:rsidRDefault="005B4433" w:rsidP="005B4433">
      <w:pPr>
        <w:pStyle w:val="NoSpacing"/>
        <w:rPr>
          <w:rFonts w:asciiTheme="majorHAnsi" w:hAnsiTheme="majorHAnsi"/>
        </w:rPr>
      </w:pPr>
      <w:r>
        <w:rPr>
          <w:rFonts w:asciiTheme="majorHAnsi" w:hAnsiTheme="majorHAnsi"/>
        </w:rPr>
        <w:t>The UK government ‘</w:t>
      </w:r>
      <w:r w:rsidRPr="005A053A">
        <w:rPr>
          <w:rFonts w:asciiTheme="majorHAnsi" w:hAnsiTheme="majorHAnsi"/>
        </w:rPr>
        <w:t>Shared Services</w:t>
      </w:r>
      <w:r>
        <w:rPr>
          <w:rFonts w:asciiTheme="majorHAnsi" w:hAnsiTheme="majorHAnsi"/>
        </w:rPr>
        <w:t>’</w:t>
      </w:r>
      <w:r w:rsidRPr="005A053A">
        <w:rPr>
          <w:rFonts w:asciiTheme="majorHAnsi" w:hAnsiTheme="majorHAnsi"/>
        </w:rPr>
        <w:t xml:space="preserve"> programme aim</w:t>
      </w:r>
      <w:r>
        <w:rPr>
          <w:rFonts w:asciiTheme="majorHAnsi" w:hAnsiTheme="majorHAnsi"/>
        </w:rPr>
        <w:t xml:space="preserve">s to make saving and to make </w:t>
      </w:r>
      <w:r w:rsidRPr="005A053A">
        <w:rPr>
          <w:rFonts w:asciiTheme="majorHAnsi" w:hAnsiTheme="majorHAnsi"/>
        </w:rPr>
        <w:t>government ‘more efficient’ by ‘simplifying and standardising back office services and functions’</w:t>
      </w:r>
      <w:r w:rsidR="00DE3348">
        <w:rPr>
          <w:rFonts w:asciiTheme="majorHAnsi" w:hAnsiTheme="majorHAnsi"/>
        </w:rPr>
        <w:t>.</w:t>
      </w:r>
      <w:r w:rsidRPr="005A053A">
        <w:rPr>
          <w:rFonts w:asciiTheme="majorHAnsi" w:hAnsiTheme="majorHAnsi"/>
        </w:rPr>
        <w:t xml:space="preserve"> </w:t>
      </w:r>
      <w:r w:rsidR="00DE3348">
        <w:rPr>
          <w:rStyle w:val="EndnoteReference"/>
          <w:rFonts w:asciiTheme="majorHAnsi" w:hAnsiTheme="majorHAnsi"/>
        </w:rPr>
        <w:endnoteReference w:id="5"/>
      </w:r>
      <w:r w:rsidRPr="005A053A">
        <w:rPr>
          <w:rFonts w:asciiTheme="majorHAnsi" w:hAnsiTheme="majorHAnsi"/>
        </w:rPr>
        <w:t xml:space="preserve"> </w:t>
      </w:r>
      <w:r w:rsidR="00DE3348">
        <w:rPr>
          <w:rFonts w:asciiTheme="majorHAnsi" w:hAnsiTheme="majorHAnsi"/>
        </w:rPr>
        <w:t xml:space="preserve"> </w:t>
      </w:r>
      <w:r w:rsidRPr="005A053A">
        <w:rPr>
          <w:rFonts w:asciiTheme="majorHAnsi" w:hAnsiTheme="majorHAnsi"/>
        </w:rPr>
        <w:t xml:space="preserve">The programme was largely designed as a response to the Independent Review of Public Sector Efficiency or </w:t>
      </w:r>
      <w:r>
        <w:rPr>
          <w:rFonts w:asciiTheme="majorHAnsi" w:hAnsiTheme="majorHAnsi"/>
        </w:rPr>
        <w:t xml:space="preserve">the </w:t>
      </w:r>
      <w:proofErr w:type="spellStart"/>
      <w:r w:rsidRPr="005A053A">
        <w:rPr>
          <w:rFonts w:asciiTheme="majorHAnsi" w:hAnsiTheme="majorHAnsi"/>
        </w:rPr>
        <w:t>Gershon</w:t>
      </w:r>
      <w:proofErr w:type="spellEnd"/>
      <w:r w:rsidRPr="005A053A">
        <w:rPr>
          <w:rFonts w:asciiTheme="majorHAnsi" w:hAnsiTheme="majorHAnsi"/>
        </w:rPr>
        <w:t xml:space="preserve"> Review of 2004</w:t>
      </w:r>
      <w:r w:rsidR="00DE3348">
        <w:rPr>
          <w:rFonts w:asciiTheme="majorHAnsi" w:hAnsiTheme="majorHAnsi"/>
        </w:rPr>
        <w:t>.</w:t>
      </w:r>
      <w:r>
        <w:rPr>
          <w:rFonts w:asciiTheme="majorHAnsi" w:hAnsiTheme="majorHAnsi"/>
        </w:rPr>
        <w:t xml:space="preserve"> </w:t>
      </w:r>
      <w:r w:rsidRPr="005A053A">
        <w:rPr>
          <w:rFonts w:asciiTheme="majorHAnsi" w:hAnsiTheme="majorHAnsi"/>
        </w:rPr>
        <w:t xml:space="preserve">The Review identified six areas of potential saving: </w:t>
      </w:r>
    </w:p>
    <w:p w:rsidR="005B4433" w:rsidRPr="005A053A" w:rsidRDefault="005B4433" w:rsidP="005B4433">
      <w:pPr>
        <w:pStyle w:val="NoSpacing"/>
        <w:rPr>
          <w:rFonts w:asciiTheme="majorHAnsi" w:hAnsiTheme="majorHAnsi"/>
        </w:rPr>
      </w:pPr>
      <w:r w:rsidRPr="005A053A">
        <w:rPr>
          <w:rFonts w:asciiTheme="majorHAnsi" w:hAnsiTheme="majorHAnsi"/>
        </w:rPr>
        <w:t xml:space="preserve">(1) </w:t>
      </w:r>
      <w:proofErr w:type="gramStart"/>
      <w:r w:rsidRPr="005A053A">
        <w:rPr>
          <w:rFonts w:asciiTheme="majorHAnsi" w:hAnsiTheme="majorHAnsi"/>
        </w:rPr>
        <w:t>back</w:t>
      </w:r>
      <w:proofErr w:type="gramEnd"/>
      <w:r w:rsidRPr="005A053A">
        <w:rPr>
          <w:rFonts w:asciiTheme="majorHAnsi" w:hAnsiTheme="majorHAnsi"/>
        </w:rPr>
        <w:t xml:space="preserve"> office functions; </w:t>
      </w:r>
    </w:p>
    <w:p w:rsidR="005B4433" w:rsidRPr="005A053A" w:rsidRDefault="005B4433" w:rsidP="005B4433">
      <w:pPr>
        <w:pStyle w:val="NoSpacing"/>
        <w:rPr>
          <w:rFonts w:asciiTheme="majorHAnsi" w:hAnsiTheme="majorHAnsi"/>
        </w:rPr>
      </w:pPr>
      <w:r w:rsidRPr="005A053A">
        <w:rPr>
          <w:rFonts w:asciiTheme="majorHAnsi" w:hAnsiTheme="majorHAnsi"/>
        </w:rPr>
        <w:t xml:space="preserve">(2) </w:t>
      </w:r>
      <w:proofErr w:type="gramStart"/>
      <w:r w:rsidRPr="005A053A">
        <w:rPr>
          <w:rFonts w:asciiTheme="majorHAnsi" w:hAnsiTheme="majorHAnsi"/>
        </w:rPr>
        <w:t>procurement</w:t>
      </w:r>
      <w:proofErr w:type="gramEnd"/>
      <w:r w:rsidRPr="005A053A">
        <w:rPr>
          <w:rFonts w:asciiTheme="majorHAnsi" w:hAnsiTheme="majorHAnsi"/>
        </w:rPr>
        <w:t xml:space="preserve">; </w:t>
      </w:r>
    </w:p>
    <w:p w:rsidR="005B4433" w:rsidRPr="005A053A" w:rsidRDefault="005B4433" w:rsidP="005B4433">
      <w:pPr>
        <w:pStyle w:val="NoSpacing"/>
        <w:rPr>
          <w:rFonts w:asciiTheme="majorHAnsi" w:hAnsiTheme="majorHAnsi"/>
        </w:rPr>
      </w:pPr>
      <w:r w:rsidRPr="005A053A">
        <w:rPr>
          <w:rFonts w:asciiTheme="majorHAnsi" w:hAnsiTheme="majorHAnsi"/>
        </w:rPr>
        <w:t xml:space="preserve">(3) </w:t>
      </w:r>
      <w:proofErr w:type="gramStart"/>
      <w:r w:rsidRPr="005A053A">
        <w:rPr>
          <w:rFonts w:asciiTheme="majorHAnsi" w:hAnsiTheme="majorHAnsi"/>
        </w:rPr>
        <w:t>transactional</w:t>
      </w:r>
      <w:proofErr w:type="gramEnd"/>
      <w:r w:rsidRPr="005A053A">
        <w:rPr>
          <w:rFonts w:asciiTheme="majorHAnsi" w:hAnsiTheme="majorHAnsi"/>
        </w:rPr>
        <w:t xml:space="preserve"> services; </w:t>
      </w:r>
    </w:p>
    <w:p w:rsidR="005B4433" w:rsidRPr="005A053A" w:rsidRDefault="005B4433" w:rsidP="005B4433">
      <w:pPr>
        <w:pStyle w:val="NoSpacing"/>
        <w:rPr>
          <w:rFonts w:asciiTheme="majorHAnsi" w:hAnsiTheme="majorHAnsi"/>
        </w:rPr>
      </w:pPr>
      <w:r w:rsidRPr="005A053A">
        <w:rPr>
          <w:rFonts w:asciiTheme="majorHAnsi" w:hAnsiTheme="majorHAnsi"/>
        </w:rPr>
        <w:t xml:space="preserve">(4) </w:t>
      </w:r>
      <w:proofErr w:type="gramStart"/>
      <w:r w:rsidRPr="005A053A">
        <w:rPr>
          <w:rFonts w:asciiTheme="majorHAnsi" w:hAnsiTheme="majorHAnsi"/>
        </w:rPr>
        <w:t>policy</w:t>
      </w:r>
      <w:proofErr w:type="gramEnd"/>
      <w:r w:rsidRPr="005A053A">
        <w:rPr>
          <w:rFonts w:asciiTheme="majorHAnsi" w:hAnsiTheme="majorHAnsi"/>
        </w:rPr>
        <w:t xml:space="preserve">, funding and regulation for the public sector; </w:t>
      </w:r>
    </w:p>
    <w:p w:rsidR="005B4433" w:rsidRPr="005A053A" w:rsidRDefault="005B4433" w:rsidP="005B4433">
      <w:pPr>
        <w:pStyle w:val="NoSpacing"/>
        <w:rPr>
          <w:rFonts w:asciiTheme="majorHAnsi" w:hAnsiTheme="majorHAnsi"/>
        </w:rPr>
      </w:pPr>
      <w:r w:rsidRPr="005A053A">
        <w:rPr>
          <w:rFonts w:asciiTheme="majorHAnsi" w:hAnsiTheme="majorHAnsi"/>
        </w:rPr>
        <w:t xml:space="preserve">(5) </w:t>
      </w:r>
      <w:proofErr w:type="gramStart"/>
      <w:r w:rsidRPr="005A053A">
        <w:rPr>
          <w:rFonts w:asciiTheme="majorHAnsi" w:hAnsiTheme="majorHAnsi"/>
        </w:rPr>
        <w:t>policy</w:t>
      </w:r>
      <w:proofErr w:type="gramEnd"/>
      <w:r w:rsidRPr="005A053A">
        <w:rPr>
          <w:rFonts w:asciiTheme="majorHAnsi" w:hAnsiTheme="majorHAnsi"/>
        </w:rPr>
        <w:t xml:space="preserve">, funding and regulation of the private sector; and </w:t>
      </w:r>
    </w:p>
    <w:p w:rsidR="005B4433" w:rsidRPr="005A053A" w:rsidRDefault="005B4433" w:rsidP="005B4433">
      <w:pPr>
        <w:pStyle w:val="NoSpacing"/>
        <w:rPr>
          <w:rFonts w:asciiTheme="majorHAnsi" w:hAnsiTheme="majorHAnsi"/>
        </w:rPr>
      </w:pPr>
      <w:r w:rsidRPr="005A053A">
        <w:rPr>
          <w:rFonts w:asciiTheme="majorHAnsi" w:hAnsiTheme="majorHAnsi"/>
        </w:rPr>
        <w:t xml:space="preserve">(6) </w:t>
      </w:r>
      <w:proofErr w:type="gramStart"/>
      <w:r w:rsidRPr="005A053A">
        <w:rPr>
          <w:rFonts w:asciiTheme="majorHAnsi" w:hAnsiTheme="majorHAnsi"/>
        </w:rPr>
        <w:t>the</w:t>
      </w:r>
      <w:proofErr w:type="gramEnd"/>
      <w:r w:rsidRPr="005A053A">
        <w:rPr>
          <w:rFonts w:asciiTheme="majorHAnsi" w:hAnsiTheme="majorHAnsi"/>
        </w:rPr>
        <w:t xml:space="preserve"> productive time of front-line public service professionals.</w:t>
      </w:r>
      <w:r w:rsidR="00DE3348">
        <w:rPr>
          <w:rFonts w:asciiTheme="majorHAnsi" w:hAnsiTheme="majorHAnsi"/>
        </w:rPr>
        <w:t xml:space="preserve"> </w:t>
      </w:r>
      <w:r w:rsidR="00DE3348">
        <w:rPr>
          <w:rStyle w:val="EndnoteReference"/>
          <w:rFonts w:asciiTheme="majorHAnsi" w:hAnsiTheme="majorHAnsi"/>
        </w:rPr>
        <w:endnoteReference w:id="6"/>
      </w:r>
    </w:p>
    <w:p w:rsidR="007E05D7" w:rsidRPr="00CA435D" w:rsidRDefault="007E05D7" w:rsidP="00CA435D">
      <w:pPr>
        <w:pStyle w:val="Heading1"/>
        <w:numPr>
          <w:ilvl w:val="0"/>
          <w:numId w:val="35"/>
        </w:numPr>
        <w:rPr>
          <w:color w:val="000000" w:themeColor="text1"/>
          <w:sz w:val="24"/>
          <w:szCs w:val="24"/>
        </w:rPr>
      </w:pPr>
      <w:bookmarkStart w:id="1" w:name="_Toc382569405"/>
      <w:r w:rsidRPr="00CA435D">
        <w:rPr>
          <w:color w:val="000000" w:themeColor="text1"/>
          <w:sz w:val="24"/>
          <w:szCs w:val="24"/>
        </w:rPr>
        <w:t>Lack of savings</w:t>
      </w:r>
      <w:bookmarkEnd w:id="1"/>
    </w:p>
    <w:p w:rsidR="007E05D7" w:rsidRDefault="007E05D7" w:rsidP="00B03D73">
      <w:pPr>
        <w:pStyle w:val="NoSpacing"/>
        <w:rPr>
          <w:rFonts w:asciiTheme="majorHAnsi" w:hAnsiTheme="majorHAnsi"/>
        </w:rPr>
      </w:pPr>
    </w:p>
    <w:p w:rsidR="002F3495" w:rsidRDefault="005B4433" w:rsidP="00B03D73">
      <w:pPr>
        <w:pStyle w:val="NoSpacing"/>
        <w:rPr>
          <w:rFonts w:asciiTheme="majorHAnsi" w:hAnsiTheme="majorHAnsi"/>
        </w:rPr>
      </w:pPr>
      <w:r>
        <w:rPr>
          <w:rFonts w:asciiTheme="majorHAnsi" w:hAnsiTheme="majorHAnsi"/>
        </w:rPr>
        <w:t>By</w:t>
      </w:r>
      <w:r w:rsidR="0066534F" w:rsidRPr="005A053A">
        <w:rPr>
          <w:rFonts w:asciiTheme="majorHAnsi" w:hAnsiTheme="majorHAnsi"/>
        </w:rPr>
        <w:t xml:space="preserve"> July 2011</w:t>
      </w:r>
      <w:r>
        <w:rPr>
          <w:rFonts w:asciiTheme="majorHAnsi" w:hAnsiTheme="majorHAnsi"/>
        </w:rPr>
        <w:t>,</w:t>
      </w:r>
      <w:r w:rsidR="0066534F" w:rsidRPr="005A053A">
        <w:rPr>
          <w:rFonts w:asciiTheme="majorHAnsi" w:hAnsiTheme="majorHAnsi"/>
        </w:rPr>
        <w:t xml:space="preserve"> ‘shared services’ reforms were already underway in </w:t>
      </w:r>
      <w:r w:rsidR="001A0BF7">
        <w:rPr>
          <w:rFonts w:asciiTheme="majorHAnsi" w:hAnsiTheme="majorHAnsi"/>
        </w:rPr>
        <w:t>f</w:t>
      </w:r>
      <w:r w:rsidR="0066534F" w:rsidRPr="005A053A">
        <w:rPr>
          <w:rFonts w:asciiTheme="majorHAnsi" w:hAnsiTheme="majorHAnsi"/>
        </w:rPr>
        <w:t xml:space="preserve">inance, HR, and </w:t>
      </w:r>
      <w:r w:rsidR="001A0BF7">
        <w:rPr>
          <w:rFonts w:asciiTheme="majorHAnsi" w:hAnsiTheme="majorHAnsi"/>
        </w:rPr>
        <w:t>p</w:t>
      </w:r>
      <w:r w:rsidR="0066534F" w:rsidRPr="005A053A">
        <w:rPr>
          <w:rFonts w:asciiTheme="majorHAnsi" w:hAnsiTheme="majorHAnsi"/>
        </w:rPr>
        <w:t xml:space="preserve">rocurement. </w:t>
      </w:r>
      <w:r>
        <w:rPr>
          <w:rFonts w:asciiTheme="majorHAnsi" w:hAnsiTheme="majorHAnsi"/>
        </w:rPr>
        <w:t xml:space="preserve"> </w:t>
      </w:r>
      <w:r w:rsidR="0066534F" w:rsidRPr="005A053A">
        <w:rPr>
          <w:rFonts w:asciiTheme="majorHAnsi" w:hAnsiTheme="majorHAnsi"/>
        </w:rPr>
        <w:t xml:space="preserve">The Government Strategic Vision document outlined the goals of spreading the practice to the rest of Central Government services. </w:t>
      </w:r>
      <w:r w:rsidR="00322622" w:rsidRPr="005A053A">
        <w:rPr>
          <w:rFonts w:asciiTheme="majorHAnsi" w:hAnsiTheme="majorHAnsi"/>
        </w:rPr>
        <w:t xml:space="preserve">Individual Departments set up their own shared services centres </w:t>
      </w:r>
      <w:r w:rsidR="00B03D73" w:rsidRPr="005A053A">
        <w:rPr>
          <w:rFonts w:asciiTheme="majorHAnsi" w:hAnsiTheme="majorHAnsi"/>
        </w:rPr>
        <w:t xml:space="preserve">and by </w:t>
      </w:r>
      <w:r w:rsidR="00322622" w:rsidRPr="005A053A">
        <w:rPr>
          <w:rFonts w:asciiTheme="majorHAnsi" w:hAnsiTheme="majorHAnsi"/>
        </w:rPr>
        <w:t>2011</w:t>
      </w:r>
      <w:r w:rsidR="00B03D73" w:rsidRPr="005A053A">
        <w:rPr>
          <w:rFonts w:asciiTheme="majorHAnsi" w:hAnsiTheme="majorHAnsi"/>
        </w:rPr>
        <w:t>, eight had been set up</w:t>
      </w:r>
      <w:r w:rsidR="00322622" w:rsidRPr="005A053A">
        <w:rPr>
          <w:rFonts w:asciiTheme="majorHAnsi" w:hAnsiTheme="majorHAnsi"/>
        </w:rPr>
        <w:t>. However, they did not</w:t>
      </w:r>
      <w:r w:rsidR="00F51751" w:rsidRPr="005A053A">
        <w:rPr>
          <w:rFonts w:asciiTheme="majorHAnsi" w:hAnsiTheme="majorHAnsi"/>
        </w:rPr>
        <w:t xml:space="preserve"> yield the results that the Cabinet Office</w:t>
      </w:r>
      <w:r w:rsidR="00322622" w:rsidRPr="005A053A">
        <w:rPr>
          <w:rFonts w:asciiTheme="majorHAnsi" w:hAnsiTheme="majorHAnsi"/>
        </w:rPr>
        <w:t xml:space="preserve"> was </w:t>
      </w:r>
      <w:r w:rsidR="00D31414" w:rsidRPr="005A053A">
        <w:rPr>
          <w:rFonts w:asciiTheme="majorHAnsi" w:hAnsiTheme="majorHAnsi"/>
        </w:rPr>
        <w:t>anticipating. I</w:t>
      </w:r>
      <w:r w:rsidR="00322622" w:rsidRPr="005A053A">
        <w:rPr>
          <w:rFonts w:asciiTheme="majorHAnsi" w:hAnsiTheme="majorHAnsi"/>
        </w:rPr>
        <w:t>n</w:t>
      </w:r>
      <w:r w:rsidR="00FD2520" w:rsidRPr="005A053A">
        <w:rPr>
          <w:rFonts w:asciiTheme="majorHAnsi" w:hAnsiTheme="majorHAnsi"/>
        </w:rPr>
        <w:t xml:space="preserve"> March </w:t>
      </w:r>
      <w:r w:rsidR="00322622" w:rsidRPr="005A053A">
        <w:rPr>
          <w:rFonts w:asciiTheme="majorHAnsi" w:hAnsiTheme="majorHAnsi"/>
        </w:rPr>
        <w:t>2012, the National Audit Office conducted a review of 5 out</w:t>
      </w:r>
      <w:r w:rsidR="00B03D73" w:rsidRPr="005A053A">
        <w:rPr>
          <w:rFonts w:asciiTheme="majorHAnsi" w:hAnsiTheme="majorHAnsi"/>
        </w:rPr>
        <w:t xml:space="preserve"> the </w:t>
      </w:r>
      <w:r w:rsidR="00322622" w:rsidRPr="005A053A">
        <w:rPr>
          <w:rFonts w:asciiTheme="majorHAnsi" w:hAnsiTheme="majorHAnsi"/>
        </w:rPr>
        <w:t>8 centres</w:t>
      </w:r>
      <w:r w:rsidR="00D31414" w:rsidRPr="005A053A">
        <w:rPr>
          <w:rFonts w:asciiTheme="majorHAnsi" w:hAnsiTheme="majorHAnsi"/>
        </w:rPr>
        <w:t xml:space="preserve">. </w:t>
      </w:r>
      <w:r w:rsidR="00B03D73" w:rsidRPr="005A053A">
        <w:rPr>
          <w:rFonts w:asciiTheme="majorHAnsi" w:hAnsiTheme="majorHAnsi"/>
        </w:rPr>
        <w:t>It</w:t>
      </w:r>
      <w:r w:rsidR="00D31414" w:rsidRPr="005A053A">
        <w:rPr>
          <w:rFonts w:asciiTheme="majorHAnsi" w:hAnsiTheme="majorHAnsi"/>
        </w:rPr>
        <w:t xml:space="preserve"> discovered that the cost of the centres</w:t>
      </w:r>
      <w:r w:rsidR="00DE3348">
        <w:rPr>
          <w:rFonts w:asciiTheme="majorHAnsi" w:hAnsiTheme="majorHAnsi"/>
        </w:rPr>
        <w:t>,</w:t>
      </w:r>
      <w:r w:rsidR="00D31414" w:rsidRPr="005A053A">
        <w:rPr>
          <w:rFonts w:asciiTheme="majorHAnsi" w:hAnsiTheme="majorHAnsi"/>
        </w:rPr>
        <w:t xml:space="preserve"> </w:t>
      </w:r>
      <w:r w:rsidR="001A0BF7">
        <w:rPr>
          <w:rFonts w:asciiTheme="majorHAnsi" w:hAnsiTheme="majorHAnsi"/>
        </w:rPr>
        <w:t>up to 2012</w:t>
      </w:r>
      <w:r w:rsidR="00DE3348">
        <w:rPr>
          <w:rFonts w:asciiTheme="majorHAnsi" w:hAnsiTheme="majorHAnsi"/>
        </w:rPr>
        <w:t>,</w:t>
      </w:r>
      <w:r w:rsidR="00D31414" w:rsidRPr="005A053A">
        <w:rPr>
          <w:rFonts w:asciiTheme="majorHAnsi" w:hAnsiTheme="majorHAnsi"/>
        </w:rPr>
        <w:t xml:space="preserve"> was £1.4 billion instead of </w:t>
      </w:r>
      <w:r w:rsidR="00B03D73" w:rsidRPr="005A053A">
        <w:rPr>
          <w:rFonts w:asciiTheme="majorHAnsi" w:hAnsiTheme="majorHAnsi"/>
        </w:rPr>
        <w:t xml:space="preserve">the </w:t>
      </w:r>
      <w:r w:rsidR="00D31414" w:rsidRPr="005A053A">
        <w:rPr>
          <w:rFonts w:asciiTheme="majorHAnsi" w:hAnsiTheme="majorHAnsi"/>
        </w:rPr>
        <w:t xml:space="preserve">expected £0.9 billion. </w:t>
      </w:r>
      <w:r w:rsidR="002F3495" w:rsidRPr="005A053A">
        <w:rPr>
          <w:rFonts w:asciiTheme="majorHAnsi" w:hAnsiTheme="majorHAnsi"/>
        </w:rPr>
        <w:t xml:space="preserve">  </w:t>
      </w:r>
      <w:r w:rsidR="00B44174">
        <w:rPr>
          <w:rFonts w:asciiTheme="majorHAnsi" w:hAnsiTheme="majorHAnsi"/>
        </w:rPr>
        <w:t xml:space="preserve">Savings of </w:t>
      </w:r>
      <w:r w:rsidR="00D31414" w:rsidRPr="005A053A">
        <w:rPr>
          <w:rFonts w:asciiTheme="majorHAnsi" w:hAnsiTheme="majorHAnsi"/>
        </w:rPr>
        <w:t xml:space="preserve">£159 million </w:t>
      </w:r>
      <w:r w:rsidR="00B44174">
        <w:rPr>
          <w:rFonts w:asciiTheme="majorHAnsi" w:hAnsiTheme="majorHAnsi"/>
        </w:rPr>
        <w:t xml:space="preserve">had been expected </w:t>
      </w:r>
      <w:r w:rsidR="00D31414" w:rsidRPr="005A053A">
        <w:rPr>
          <w:rFonts w:asciiTheme="majorHAnsi" w:hAnsiTheme="majorHAnsi"/>
        </w:rPr>
        <w:t xml:space="preserve">by the end of 2010-11 </w:t>
      </w:r>
      <w:r w:rsidR="002F3495" w:rsidRPr="005A053A">
        <w:rPr>
          <w:rFonts w:asciiTheme="majorHAnsi" w:hAnsiTheme="majorHAnsi"/>
        </w:rPr>
        <w:t xml:space="preserve">but </w:t>
      </w:r>
      <w:r w:rsidR="00D31414" w:rsidRPr="005A053A">
        <w:rPr>
          <w:rFonts w:asciiTheme="majorHAnsi" w:hAnsiTheme="majorHAnsi"/>
        </w:rPr>
        <w:t>instead there were losses. The</w:t>
      </w:r>
      <w:r w:rsidR="002F3495" w:rsidRPr="005A053A">
        <w:rPr>
          <w:rFonts w:asciiTheme="majorHAnsi" w:hAnsiTheme="majorHAnsi"/>
        </w:rPr>
        <w:t>se differed a</w:t>
      </w:r>
      <w:r w:rsidR="00D31414" w:rsidRPr="005A053A">
        <w:rPr>
          <w:rFonts w:asciiTheme="majorHAnsi" w:hAnsiTheme="majorHAnsi"/>
        </w:rPr>
        <w:t>cross the centres</w:t>
      </w:r>
      <w:r w:rsidR="002F3495" w:rsidRPr="005A053A">
        <w:rPr>
          <w:rFonts w:asciiTheme="majorHAnsi" w:hAnsiTheme="majorHAnsi"/>
        </w:rPr>
        <w:t>,</w:t>
      </w:r>
      <w:r w:rsidR="00D31414" w:rsidRPr="005A053A">
        <w:rPr>
          <w:rFonts w:asciiTheme="majorHAnsi" w:hAnsiTheme="majorHAnsi"/>
        </w:rPr>
        <w:t xml:space="preserve"> </w:t>
      </w:r>
      <w:r w:rsidR="00F51751" w:rsidRPr="005A053A">
        <w:rPr>
          <w:rFonts w:asciiTheme="majorHAnsi" w:hAnsiTheme="majorHAnsi"/>
        </w:rPr>
        <w:t>with one centre achieving</w:t>
      </w:r>
      <w:r w:rsidR="00D31414" w:rsidRPr="005A053A">
        <w:rPr>
          <w:rFonts w:asciiTheme="majorHAnsi" w:hAnsiTheme="majorHAnsi"/>
        </w:rPr>
        <w:t xml:space="preserve"> ‘break-even in a time consistent with the private sect</w:t>
      </w:r>
      <w:r w:rsidR="00F51751" w:rsidRPr="005A053A">
        <w:rPr>
          <w:rFonts w:asciiTheme="majorHAnsi" w:hAnsiTheme="majorHAnsi"/>
        </w:rPr>
        <w:t>or</w:t>
      </w:r>
      <w:r w:rsidR="00DE3348">
        <w:rPr>
          <w:rFonts w:asciiTheme="majorHAnsi" w:hAnsiTheme="majorHAnsi"/>
        </w:rPr>
        <w:t>’</w:t>
      </w:r>
      <w:r w:rsidR="00096F3E">
        <w:rPr>
          <w:rFonts w:asciiTheme="majorHAnsi" w:hAnsiTheme="majorHAnsi"/>
        </w:rPr>
        <w:t xml:space="preserve"> </w:t>
      </w:r>
      <w:r w:rsidR="00F51751" w:rsidRPr="005A053A">
        <w:rPr>
          <w:rFonts w:asciiTheme="majorHAnsi" w:hAnsiTheme="majorHAnsi"/>
        </w:rPr>
        <w:t xml:space="preserve">and </w:t>
      </w:r>
      <w:r w:rsidR="00DE3348">
        <w:rPr>
          <w:rFonts w:asciiTheme="majorHAnsi" w:hAnsiTheme="majorHAnsi"/>
        </w:rPr>
        <w:t>‘</w:t>
      </w:r>
      <w:r w:rsidR="00F51751" w:rsidRPr="005A053A">
        <w:rPr>
          <w:rFonts w:asciiTheme="majorHAnsi" w:hAnsiTheme="majorHAnsi"/>
        </w:rPr>
        <w:t>two centres</w:t>
      </w:r>
      <w:r w:rsidR="00DE3348">
        <w:rPr>
          <w:rFonts w:asciiTheme="majorHAnsi" w:hAnsiTheme="majorHAnsi"/>
        </w:rPr>
        <w:t xml:space="preserve"> that are </w:t>
      </w:r>
      <w:r w:rsidR="00D31414" w:rsidRPr="005A053A">
        <w:rPr>
          <w:rFonts w:asciiTheme="majorHAnsi" w:hAnsiTheme="majorHAnsi"/>
        </w:rPr>
        <w:t xml:space="preserve">tracking </w:t>
      </w:r>
      <w:r w:rsidR="00DE3348">
        <w:rPr>
          <w:rFonts w:asciiTheme="majorHAnsi" w:hAnsiTheme="majorHAnsi"/>
        </w:rPr>
        <w:t xml:space="preserve">cumulative </w:t>
      </w:r>
      <w:r w:rsidR="00D31414" w:rsidRPr="005A053A">
        <w:rPr>
          <w:rFonts w:asciiTheme="majorHAnsi" w:hAnsiTheme="majorHAnsi"/>
        </w:rPr>
        <w:t>benefits report a measured net cost of £255 million</w:t>
      </w:r>
      <w:r w:rsidR="00815AB9">
        <w:rPr>
          <w:rFonts w:asciiTheme="majorHAnsi" w:hAnsiTheme="majorHAnsi"/>
        </w:rPr>
        <w:t>’</w:t>
      </w:r>
      <w:r w:rsidR="00D31414" w:rsidRPr="005A053A">
        <w:rPr>
          <w:rFonts w:asciiTheme="majorHAnsi" w:hAnsiTheme="majorHAnsi"/>
        </w:rPr>
        <w:t>.</w:t>
      </w:r>
      <w:r w:rsidR="00DE3348">
        <w:rPr>
          <w:rFonts w:asciiTheme="majorHAnsi" w:hAnsiTheme="majorHAnsi"/>
        </w:rPr>
        <w:t xml:space="preserve"> </w:t>
      </w:r>
      <w:r w:rsidR="00DE3348">
        <w:rPr>
          <w:rStyle w:val="EndnoteReference"/>
          <w:rFonts w:asciiTheme="majorHAnsi" w:hAnsiTheme="majorHAnsi"/>
        </w:rPr>
        <w:endnoteReference w:id="7"/>
      </w:r>
    </w:p>
    <w:p w:rsidR="00482EEE" w:rsidRDefault="00482EEE" w:rsidP="00B03D73">
      <w:pPr>
        <w:pStyle w:val="NoSpacing"/>
        <w:rPr>
          <w:rFonts w:asciiTheme="majorHAnsi" w:hAnsiTheme="majorHAnsi"/>
        </w:rPr>
      </w:pPr>
    </w:p>
    <w:p w:rsidR="00482EEE" w:rsidRDefault="00B139E1" w:rsidP="00B03D73">
      <w:pPr>
        <w:pStyle w:val="NoSpacing"/>
        <w:rPr>
          <w:rFonts w:asciiTheme="majorHAnsi" w:hAnsiTheme="majorHAnsi"/>
          <w:bCs/>
        </w:rPr>
      </w:pPr>
      <w:r w:rsidRPr="005A053A">
        <w:rPr>
          <w:rFonts w:asciiTheme="majorHAnsi" w:hAnsiTheme="majorHAnsi"/>
        </w:rPr>
        <w:t xml:space="preserve">The NAO acknowledged that ‘the services provided are currently overly customized to meet the needs of individual departmental customers and more complex than the spending watchdog expected’. </w:t>
      </w:r>
      <w:r w:rsidR="005339FD" w:rsidRPr="005A053A">
        <w:rPr>
          <w:rFonts w:asciiTheme="majorHAnsi" w:hAnsiTheme="majorHAnsi"/>
        </w:rPr>
        <w:t xml:space="preserve">The </w:t>
      </w:r>
      <w:r w:rsidR="002F3495" w:rsidRPr="005A053A">
        <w:rPr>
          <w:rFonts w:asciiTheme="majorHAnsi" w:hAnsiTheme="majorHAnsi"/>
        </w:rPr>
        <w:t xml:space="preserve">underlying reason for the high level of departmental customisation is due to the historical development of the departments </w:t>
      </w:r>
      <w:r w:rsidR="00840C36" w:rsidRPr="005A053A">
        <w:rPr>
          <w:rFonts w:asciiTheme="majorHAnsi" w:hAnsiTheme="majorHAnsi"/>
        </w:rPr>
        <w:t>to match the needs of their customers</w:t>
      </w:r>
      <w:r w:rsidR="00482EEE">
        <w:rPr>
          <w:rFonts w:asciiTheme="majorHAnsi" w:hAnsiTheme="majorHAnsi"/>
        </w:rPr>
        <w:t>/ users</w:t>
      </w:r>
      <w:r w:rsidR="00840C36" w:rsidRPr="005A053A">
        <w:rPr>
          <w:rFonts w:asciiTheme="majorHAnsi" w:hAnsiTheme="majorHAnsi"/>
        </w:rPr>
        <w:t xml:space="preserve"> </w:t>
      </w:r>
      <w:r w:rsidR="002F3495" w:rsidRPr="005A053A">
        <w:rPr>
          <w:rFonts w:asciiTheme="majorHAnsi" w:hAnsiTheme="majorHAnsi"/>
        </w:rPr>
        <w:t xml:space="preserve">but the NAO did not consider this important.  NAO stated that </w:t>
      </w:r>
      <w:r w:rsidR="00FD2520" w:rsidRPr="005A053A">
        <w:rPr>
          <w:rFonts w:asciiTheme="majorHAnsi" w:hAnsiTheme="majorHAnsi"/>
        </w:rPr>
        <w:t>‘the software systems used in the centres have added complexity and cost; and that, as the use of the centres has been voluntary, departments have struggled to roll-out shared services fully across all their business units and arm’s length bodies’.</w:t>
      </w:r>
      <w:r w:rsidR="00815AB9">
        <w:rPr>
          <w:rStyle w:val="EndnoteReference"/>
          <w:rFonts w:asciiTheme="majorHAnsi" w:hAnsiTheme="majorHAnsi"/>
        </w:rPr>
        <w:endnoteReference w:id="8"/>
      </w:r>
      <w:r w:rsidR="00F51751" w:rsidRPr="005A053A">
        <w:rPr>
          <w:rFonts w:asciiTheme="majorHAnsi" w:hAnsiTheme="majorHAnsi"/>
        </w:rPr>
        <w:t xml:space="preserve"> </w:t>
      </w:r>
      <w:r w:rsidR="00815AB9">
        <w:rPr>
          <w:rFonts w:asciiTheme="majorHAnsi" w:hAnsiTheme="majorHAnsi"/>
        </w:rPr>
        <w:t xml:space="preserve"> </w:t>
      </w:r>
      <w:r w:rsidR="002F3495" w:rsidRPr="005A053A">
        <w:rPr>
          <w:rFonts w:asciiTheme="majorHAnsi" w:hAnsiTheme="majorHAnsi"/>
        </w:rPr>
        <w:t>The NAO concluded that t</w:t>
      </w:r>
      <w:r w:rsidR="00322622" w:rsidRPr="005A053A">
        <w:rPr>
          <w:rFonts w:asciiTheme="majorHAnsi" w:hAnsiTheme="majorHAnsi"/>
          <w:bCs/>
        </w:rPr>
        <w:t xml:space="preserve">he initiative for government departments to share back-office functions suffered from an approach which made participation voluntary and </w:t>
      </w:r>
      <w:r w:rsidR="00322622" w:rsidRPr="005A053A">
        <w:rPr>
          <w:rFonts w:asciiTheme="majorHAnsi" w:hAnsiTheme="majorHAnsi"/>
          <w:bCs/>
        </w:rPr>
        <w:lastRenderedPageBreak/>
        <w:t>tailored services to meet the differing needs of individual departments. The result was over complexity, reduced flexibility and a failure to cut costs.</w:t>
      </w:r>
      <w:r w:rsidR="002F3495" w:rsidRPr="005A053A">
        <w:rPr>
          <w:rFonts w:asciiTheme="majorHAnsi" w:hAnsiTheme="majorHAnsi"/>
          <w:bCs/>
        </w:rPr>
        <w:t xml:space="preserve">  </w:t>
      </w:r>
    </w:p>
    <w:p w:rsidR="00482EEE" w:rsidRDefault="00322622" w:rsidP="00482EEE">
      <w:pPr>
        <w:pStyle w:val="NoSpacing"/>
        <w:ind w:left="720"/>
        <w:rPr>
          <w:rFonts w:asciiTheme="majorHAnsi" w:hAnsiTheme="majorHAnsi"/>
          <w:bCs/>
        </w:rPr>
      </w:pPr>
      <w:r w:rsidRPr="005A053A">
        <w:rPr>
          <w:rFonts w:asciiTheme="majorHAnsi" w:hAnsiTheme="majorHAnsi"/>
          <w:bCs/>
        </w:rPr>
        <w:t>"The new Cabinet Office strategy on shared services acknowledges these issues but, if it is to achieve value for money, it must learn the lessons from past implementation. Only in this way can the sharing of back-office functions have a realistic prospect of contributing towards the government’s drive to cut public spending in the long term."</w:t>
      </w:r>
      <w:r w:rsidR="00815AB9">
        <w:rPr>
          <w:rFonts w:asciiTheme="majorHAnsi" w:hAnsiTheme="majorHAnsi"/>
          <w:bCs/>
        </w:rPr>
        <w:t xml:space="preserve"> </w:t>
      </w:r>
      <w:r w:rsidR="00B021C6" w:rsidRPr="005A053A">
        <w:rPr>
          <w:rFonts w:asciiTheme="majorHAnsi" w:hAnsiTheme="majorHAnsi"/>
          <w:bCs/>
        </w:rPr>
        <w:t>(</w:t>
      </w:r>
      <w:proofErr w:type="spellStart"/>
      <w:r w:rsidRPr="005A053A">
        <w:rPr>
          <w:rFonts w:asciiTheme="majorHAnsi" w:hAnsiTheme="majorHAnsi"/>
          <w:bCs/>
        </w:rPr>
        <w:t>Amyas</w:t>
      </w:r>
      <w:proofErr w:type="spellEnd"/>
      <w:r w:rsidRPr="005A053A">
        <w:rPr>
          <w:rFonts w:asciiTheme="majorHAnsi" w:hAnsiTheme="majorHAnsi"/>
          <w:bCs/>
        </w:rPr>
        <w:t xml:space="preserve"> Morse, </w:t>
      </w:r>
      <w:r w:rsidR="00B021C6" w:rsidRPr="005A053A">
        <w:rPr>
          <w:rFonts w:asciiTheme="majorHAnsi" w:hAnsiTheme="majorHAnsi"/>
          <w:bCs/>
        </w:rPr>
        <w:t>H</w:t>
      </w:r>
      <w:r w:rsidRPr="005A053A">
        <w:rPr>
          <w:rFonts w:asciiTheme="majorHAnsi" w:hAnsiTheme="majorHAnsi"/>
          <w:bCs/>
        </w:rPr>
        <w:t>ead of the National Audit Office, 7 March 2012</w:t>
      </w:r>
      <w:r w:rsidR="00B021C6" w:rsidRPr="005A053A">
        <w:rPr>
          <w:rFonts w:asciiTheme="majorHAnsi" w:hAnsiTheme="majorHAnsi"/>
          <w:bCs/>
        </w:rPr>
        <w:t xml:space="preserve">)  </w:t>
      </w:r>
      <w:r w:rsidR="00815AB9">
        <w:rPr>
          <w:rStyle w:val="EndnoteReference"/>
          <w:rFonts w:asciiTheme="majorHAnsi" w:hAnsiTheme="majorHAnsi"/>
          <w:bCs/>
        </w:rPr>
        <w:endnoteReference w:id="9"/>
      </w:r>
    </w:p>
    <w:p w:rsidR="004C67EA" w:rsidRDefault="004C67EA" w:rsidP="00B03D73">
      <w:pPr>
        <w:pStyle w:val="NoSpacing"/>
        <w:rPr>
          <w:rFonts w:asciiTheme="majorHAnsi" w:hAnsiTheme="majorHAnsi"/>
          <w:bCs/>
        </w:rPr>
      </w:pPr>
    </w:p>
    <w:p w:rsidR="00322622" w:rsidRPr="005A053A" w:rsidRDefault="00B021C6" w:rsidP="00B03D73">
      <w:pPr>
        <w:pStyle w:val="NoSpacing"/>
        <w:rPr>
          <w:rFonts w:asciiTheme="majorHAnsi" w:hAnsiTheme="majorHAnsi"/>
        </w:rPr>
      </w:pPr>
      <w:r w:rsidRPr="005A053A">
        <w:rPr>
          <w:rFonts w:asciiTheme="majorHAnsi" w:hAnsiTheme="majorHAnsi"/>
          <w:bCs/>
        </w:rPr>
        <w:t xml:space="preserve">This </w:t>
      </w:r>
      <w:r w:rsidR="00815AB9">
        <w:rPr>
          <w:rFonts w:asciiTheme="majorHAnsi" w:hAnsiTheme="majorHAnsi"/>
          <w:bCs/>
        </w:rPr>
        <w:t xml:space="preserve">shows </w:t>
      </w:r>
      <w:r w:rsidRPr="005A053A">
        <w:rPr>
          <w:rFonts w:asciiTheme="majorHAnsi" w:hAnsiTheme="majorHAnsi"/>
          <w:bCs/>
        </w:rPr>
        <w:t xml:space="preserve">a difference in perception </w:t>
      </w:r>
      <w:r w:rsidR="005B4433">
        <w:rPr>
          <w:rFonts w:asciiTheme="majorHAnsi" w:hAnsiTheme="majorHAnsi"/>
          <w:bCs/>
        </w:rPr>
        <w:t>about</w:t>
      </w:r>
      <w:r w:rsidRPr="005A053A">
        <w:rPr>
          <w:rFonts w:asciiTheme="majorHAnsi" w:hAnsiTheme="majorHAnsi"/>
          <w:bCs/>
        </w:rPr>
        <w:t xml:space="preserve"> how shared services should operate within government.  Individual departments, on the basis of experience, ha</w:t>
      </w:r>
      <w:r w:rsidR="00B44174">
        <w:rPr>
          <w:rFonts w:asciiTheme="majorHAnsi" w:hAnsiTheme="majorHAnsi"/>
          <w:bCs/>
        </w:rPr>
        <w:t>d</w:t>
      </w:r>
      <w:r w:rsidRPr="005A053A">
        <w:rPr>
          <w:rFonts w:asciiTheme="majorHAnsi" w:hAnsiTheme="majorHAnsi"/>
          <w:bCs/>
        </w:rPr>
        <w:t xml:space="preserve"> identified their needs within a shared services system.  However, this </w:t>
      </w:r>
      <w:r w:rsidR="00B44174">
        <w:rPr>
          <w:rFonts w:asciiTheme="majorHAnsi" w:hAnsiTheme="majorHAnsi"/>
          <w:bCs/>
        </w:rPr>
        <w:t>was</w:t>
      </w:r>
      <w:r w:rsidRPr="005A053A">
        <w:rPr>
          <w:rFonts w:asciiTheme="majorHAnsi" w:hAnsiTheme="majorHAnsi"/>
          <w:bCs/>
        </w:rPr>
        <w:t xml:space="preserve"> not necessarily the cheapest option.  From the NAO perspective, departments need to reorganise themselves so that their own tailored needs do not dominate the overall service. </w:t>
      </w:r>
      <w:r w:rsidR="00384186" w:rsidRPr="005A053A">
        <w:rPr>
          <w:rFonts w:asciiTheme="majorHAnsi" w:hAnsiTheme="majorHAnsi"/>
          <w:bCs/>
        </w:rPr>
        <w:t xml:space="preserve"> NAO further criticises individual departments for not operating as ‘intelligent customers’, arguing that ‘</w:t>
      </w:r>
      <w:r w:rsidR="00592421" w:rsidRPr="005A053A">
        <w:rPr>
          <w:rFonts w:asciiTheme="majorHAnsi" w:hAnsiTheme="majorHAnsi"/>
        </w:rPr>
        <w:t xml:space="preserve">they will need to build in-house capability with enough business and technical understanding to manage the services and work with the centres to achieve efficiencies’. </w:t>
      </w:r>
    </w:p>
    <w:p w:rsidR="00A06D25" w:rsidRPr="005A053A" w:rsidRDefault="00A06D25" w:rsidP="00B03D73">
      <w:pPr>
        <w:pStyle w:val="NoSpacing"/>
        <w:rPr>
          <w:rFonts w:asciiTheme="majorHAnsi" w:hAnsiTheme="majorHAnsi"/>
          <w:u w:val="single"/>
        </w:rPr>
      </w:pPr>
    </w:p>
    <w:p w:rsidR="004C67EA" w:rsidRDefault="00A06D25" w:rsidP="00B03D73">
      <w:pPr>
        <w:pStyle w:val="NoSpacing"/>
        <w:rPr>
          <w:rFonts w:asciiTheme="majorHAnsi" w:eastAsia="Times New Roman" w:hAnsiTheme="majorHAnsi" w:cs="Arial"/>
          <w:lang w:eastAsia="en-GB"/>
        </w:rPr>
      </w:pPr>
      <w:r w:rsidRPr="00C830D8">
        <w:rPr>
          <w:rFonts w:asciiTheme="majorHAnsi" w:hAnsiTheme="majorHAnsi"/>
        </w:rPr>
        <w:t xml:space="preserve">Throughout the </w:t>
      </w:r>
      <w:r w:rsidR="001A0BF7">
        <w:rPr>
          <w:rFonts w:asciiTheme="majorHAnsi" w:hAnsiTheme="majorHAnsi"/>
        </w:rPr>
        <w:t xml:space="preserve">Cabinet Office </w:t>
      </w:r>
      <w:r w:rsidRPr="00C830D8">
        <w:rPr>
          <w:rFonts w:asciiTheme="majorHAnsi" w:hAnsiTheme="majorHAnsi"/>
        </w:rPr>
        <w:t>Strategic Plan</w:t>
      </w:r>
      <w:r w:rsidR="005B4433">
        <w:rPr>
          <w:rFonts w:asciiTheme="majorHAnsi" w:hAnsiTheme="majorHAnsi"/>
        </w:rPr>
        <w:t xml:space="preserve"> (</w:t>
      </w:r>
      <w:r w:rsidRPr="00C830D8">
        <w:rPr>
          <w:rFonts w:asciiTheme="majorHAnsi" w:hAnsiTheme="majorHAnsi"/>
        </w:rPr>
        <w:t>December 2012</w:t>
      </w:r>
      <w:r w:rsidR="005B4433">
        <w:rPr>
          <w:rFonts w:asciiTheme="majorHAnsi" w:hAnsiTheme="majorHAnsi"/>
        </w:rPr>
        <w:t>)</w:t>
      </w:r>
      <w:r w:rsidRPr="00C830D8">
        <w:rPr>
          <w:rFonts w:asciiTheme="majorHAnsi" w:hAnsiTheme="majorHAnsi"/>
        </w:rPr>
        <w:t xml:space="preserve"> there is no mention of the losses behind the ‘lessons and experiences’</w:t>
      </w:r>
      <w:r w:rsidR="00815AB9">
        <w:rPr>
          <w:rFonts w:asciiTheme="majorHAnsi" w:hAnsiTheme="majorHAnsi"/>
        </w:rPr>
        <w:t xml:space="preserve">, </w:t>
      </w:r>
      <w:r w:rsidRPr="00C830D8">
        <w:rPr>
          <w:rFonts w:asciiTheme="majorHAnsi" w:hAnsiTheme="majorHAnsi"/>
        </w:rPr>
        <w:t xml:space="preserve">documented in the </w:t>
      </w:r>
      <w:r w:rsidR="00815AB9">
        <w:rPr>
          <w:rFonts w:asciiTheme="majorHAnsi" w:hAnsiTheme="majorHAnsi"/>
        </w:rPr>
        <w:t xml:space="preserve">(2012) </w:t>
      </w:r>
      <w:r w:rsidRPr="00C830D8">
        <w:rPr>
          <w:rFonts w:asciiTheme="majorHAnsi" w:hAnsiTheme="majorHAnsi"/>
        </w:rPr>
        <w:t>NAO Report</w:t>
      </w:r>
      <w:r w:rsidR="00815AB9">
        <w:rPr>
          <w:rFonts w:asciiTheme="majorHAnsi" w:hAnsiTheme="majorHAnsi"/>
        </w:rPr>
        <w:t xml:space="preserve">, </w:t>
      </w:r>
      <w:r w:rsidR="005B4433">
        <w:rPr>
          <w:rFonts w:asciiTheme="majorHAnsi" w:hAnsiTheme="majorHAnsi"/>
        </w:rPr>
        <w:t xml:space="preserve">which are </w:t>
      </w:r>
      <w:r w:rsidRPr="00C830D8">
        <w:rPr>
          <w:rFonts w:asciiTheme="majorHAnsi" w:hAnsiTheme="majorHAnsi"/>
        </w:rPr>
        <w:t xml:space="preserve">being used as a foundation for future improvements </w:t>
      </w:r>
      <w:r w:rsidR="005B4433">
        <w:rPr>
          <w:rFonts w:asciiTheme="majorHAnsi" w:hAnsiTheme="majorHAnsi"/>
        </w:rPr>
        <w:t>in</w:t>
      </w:r>
      <w:r w:rsidRPr="00C830D8">
        <w:rPr>
          <w:rFonts w:asciiTheme="majorHAnsi" w:hAnsiTheme="majorHAnsi"/>
        </w:rPr>
        <w:t xml:space="preserve"> the Shares Services Programme</w:t>
      </w:r>
      <w:r w:rsidRPr="005A053A">
        <w:rPr>
          <w:rFonts w:asciiTheme="majorHAnsi" w:hAnsiTheme="majorHAnsi"/>
        </w:rPr>
        <w:t xml:space="preserve">. </w:t>
      </w:r>
      <w:r w:rsidR="00815AB9">
        <w:rPr>
          <w:rFonts w:asciiTheme="majorHAnsi" w:hAnsiTheme="majorHAnsi"/>
        </w:rPr>
        <w:t xml:space="preserve"> </w:t>
      </w:r>
      <w:r w:rsidRPr="005A053A">
        <w:rPr>
          <w:rFonts w:asciiTheme="majorHAnsi" w:hAnsiTheme="majorHAnsi"/>
        </w:rPr>
        <w:t xml:space="preserve">The </w:t>
      </w:r>
      <w:r w:rsidR="005B4433">
        <w:rPr>
          <w:rFonts w:asciiTheme="majorHAnsi" w:hAnsiTheme="majorHAnsi"/>
        </w:rPr>
        <w:t xml:space="preserve">Strategic </w:t>
      </w:r>
      <w:r w:rsidRPr="005A053A">
        <w:rPr>
          <w:rFonts w:asciiTheme="majorHAnsi" w:hAnsiTheme="majorHAnsi"/>
        </w:rPr>
        <w:t>Plan claims that</w:t>
      </w:r>
      <w:r w:rsidRPr="005A053A">
        <w:rPr>
          <w:rFonts w:asciiTheme="majorHAnsi" w:eastAsia="Times New Roman" w:hAnsiTheme="majorHAnsi" w:cs="Arial"/>
          <w:lang w:eastAsia="en-GB"/>
        </w:rPr>
        <w:t xml:space="preserve"> it aims to ‘deliver a significant reduction in costs while raising the customer experience [and] it will look to achieve this through consolidation of volumes and services, standardisation of processes and leverage of IT, buildings and people assets’.</w:t>
      </w:r>
      <w:r w:rsidR="00815AB9">
        <w:rPr>
          <w:rStyle w:val="EndnoteReference"/>
          <w:rFonts w:asciiTheme="majorHAnsi" w:eastAsia="Times New Roman" w:hAnsiTheme="majorHAnsi" w:cs="Arial"/>
          <w:lang w:eastAsia="en-GB"/>
        </w:rPr>
        <w:endnoteReference w:id="10"/>
      </w:r>
      <w:r w:rsidR="00815AB9">
        <w:rPr>
          <w:rFonts w:asciiTheme="majorHAnsi" w:eastAsia="Times New Roman" w:hAnsiTheme="majorHAnsi" w:cs="Arial"/>
          <w:lang w:eastAsia="en-GB"/>
        </w:rPr>
        <w:t xml:space="preserve">  </w:t>
      </w:r>
      <w:r w:rsidRPr="005A053A">
        <w:rPr>
          <w:rFonts w:asciiTheme="majorHAnsi" w:eastAsia="Times New Roman" w:hAnsiTheme="majorHAnsi" w:cs="Arial"/>
          <w:lang w:eastAsia="en-GB"/>
        </w:rPr>
        <w:t xml:space="preserve"> However, comparative analysis of the NAO Reports and the Shared Services programme development from 2004 (</w:t>
      </w:r>
      <w:r w:rsidR="00815AB9">
        <w:rPr>
          <w:rFonts w:asciiTheme="majorHAnsi" w:eastAsia="Times New Roman" w:hAnsiTheme="majorHAnsi" w:cs="Arial"/>
          <w:lang w:eastAsia="en-GB"/>
        </w:rPr>
        <w:t xml:space="preserve">the </w:t>
      </w:r>
      <w:r w:rsidRPr="005A053A">
        <w:rPr>
          <w:rFonts w:asciiTheme="majorHAnsi" w:eastAsia="Times New Roman" w:hAnsiTheme="majorHAnsi" w:cs="Arial"/>
          <w:lang w:eastAsia="en-GB"/>
        </w:rPr>
        <w:t xml:space="preserve">year of </w:t>
      </w:r>
      <w:proofErr w:type="spellStart"/>
      <w:r w:rsidRPr="005A053A">
        <w:rPr>
          <w:rFonts w:asciiTheme="majorHAnsi" w:eastAsia="Times New Roman" w:hAnsiTheme="majorHAnsi" w:cs="Arial"/>
          <w:lang w:eastAsia="en-GB"/>
        </w:rPr>
        <w:t>Gershon</w:t>
      </w:r>
      <w:proofErr w:type="spellEnd"/>
      <w:r w:rsidRPr="005A053A">
        <w:rPr>
          <w:rFonts w:asciiTheme="majorHAnsi" w:eastAsia="Times New Roman" w:hAnsiTheme="majorHAnsi" w:cs="Arial"/>
          <w:lang w:eastAsia="en-GB"/>
        </w:rPr>
        <w:t xml:space="preserve"> Review) until </w:t>
      </w:r>
      <w:r w:rsidR="00815AB9">
        <w:rPr>
          <w:rFonts w:asciiTheme="majorHAnsi" w:eastAsia="Times New Roman" w:hAnsiTheme="majorHAnsi" w:cs="Arial"/>
          <w:lang w:eastAsia="en-GB"/>
        </w:rPr>
        <w:t>the p</w:t>
      </w:r>
      <w:r w:rsidRPr="005A053A">
        <w:rPr>
          <w:rFonts w:asciiTheme="majorHAnsi" w:eastAsia="Times New Roman" w:hAnsiTheme="majorHAnsi" w:cs="Arial"/>
          <w:lang w:eastAsia="en-GB"/>
        </w:rPr>
        <w:t xml:space="preserve">resent shows that not only is the </w:t>
      </w:r>
      <w:r w:rsidR="001A0BF7">
        <w:rPr>
          <w:rFonts w:asciiTheme="majorHAnsi" w:eastAsia="Times New Roman" w:hAnsiTheme="majorHAnsi" w:cs="Arial"/>
          <w:lang w:eastAsia="en-GB"/>
        </w:rPr>
        <w:t>shared services p</w:t>
      </w:r>
      <w:r w:rsidRPr="005A053A">
        <w:rPr>
          <w:rFonts w:asciiTheme="majorHAnsi" w:eastAsia="Times New Roman" w:hAnsiTheme="majorHAnsi" w:cs="Arial"/>
          <w:lang w:eastAsia="en-GB"/>
        </w:rPr>
        <w:t>rogramme no</w:t>
      </w:r>
      <w:r w:rsidR="00C71A38">
        <w:rPr>
          <w:rFonts w:asciiTheme="majorHAnsi" w:eastAsia="Times New Roman" w:hAnsiTheme="majorHAnsi" w:cs="Arial"/>
          <w:lang w:eastAsia="en-GB"/>
        </w:rPr>
        <w:t>t</w:t>
      </w:r>
      <w:r w:rsidRPr="005A053A">
        <w:rPr>
          <w:rFonts w:asciiTheme="majorHAnsi" w:eastAsia="Times New Roman" w:hAnsiTheme="majorHAnsi" w:cs="Arial"/>
          <w:lang w:eastAsia="en-GB"/>
        </w:rPr>
        <w:t xml:space="preserve"> </w:t>
      </w:r>
      <w:r w:rsidR="00C71A38">
        <w:rPr>
          <w:rFonts w:asciiTheme="majorHAnsi" w:eastAsia="Times New Roman" w:hAnsiTheme="majorHAnsi" w:cs="Arial"/>
          <w:lang w:eastAsia="en-GB"/>
        </w:rPr>
        <w:t>‘</w:t>
      </w:r>
      <w:r w:rsidRPr="005A053A">
        <w:rPr>
          <w:rFonts w:asciiTheme="majorHAnsi" w:eastAsia="Times New Roman" w:hAnsiTheme="majorHAnsi" w:cs="Arial"/>
          <w:lang w:eastAsia="en-GB"/>
        </w:rPr>
        <w:t>value for money</w:t>
      </w:r>
      <w:r w:rsidR="00C71A38">
        <w:rPr>
          <w:rFonts w:asciiTheme="majorHAnsi" w:eastAsia="Times New Roman" w:hAnsiTheme="majorHAnsi" w:cs="Arial"/>
          <w:lang w:eastAsia="en-GB"/>
        </w:rPr>
        <w:t>’</w:t>
      </w:r>
      <w:r w:rsidRPr="005A053A">
        <w:rPr>
          <w:rFonts w:asciiTheme="majorHAnsi" w:eastAsia="Times New Roman" w:hAnsiTheme="majorHAnsi" w:cs="Arial"/>
          <w:lang w:eastAsia="en-GB"/>
        </w:rPr>
        <w:t xml:space="preserve"> but that very few lessons have been learned in almost a decade. </w:t>
      </w:r>
    </w:p>
    <w:p w:rsidR="004C67EA" w:rsidRDefault="004C67EA" w:rsidP="00B03D73">
      <w:pPr>
        <w:pStyle w:val="NoSpacing"/>
        <w:rPr>
          <w:rFonts w:asciiTheme="majorHAnsi" w:eastAsia="Times New Roman" w:hAnsiTheme="majorHAnsi" w:cs="Arial"/>
          <w:lang w:eastAsia="en-GB"/>
        </w:rPr>
      </w:pPr>
    </w:p>
    <w:p w:rsidR="00A06D25" w:rsidRPr="005A053A" w:rsidRDefault="00A06D2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Consolidation of services brought little more than financial losses and over-complication of software and services delivery alike</w:t>
      </w:r>
      <w:r w:rsidR="00C71A38">
        <w:rPr>
          <w:rFonts w:asciiTheme="majorHAnsi" w:eastAsia="Times New Roman" w:hAnsiTheme="majorHAnsi" w:cs="Arial"/>
          <w:lang w:eastAsia="en-GB"/>
        </w:rPr>
        <w:t>.  S</w:t>
      </w:r>
      <w:r w:rsidRPr="005A053A">
        <w:rPr>
          <w:rFonts w:asciiTheme="majorHAnsi" w:eastAsia="Times New Roman" w:hAnsiTheme="majorHAnsi" w:cs="Arial"/>
          <w:lang w:eastAsia="en-GB"/>
        </w:rPr>
        <w:t xml:space="preserve">tandardisation that often involved outsourcing to foreign MNEs (e.g. ATOS, </w:t>
      </w:r>
      <w:proofErr w:type="spellStart"/>
      <w:r w:rsidRPr="005A053A">
        <w:rPr>
          <w:rFonts w:asciiTheme="majorHAnsi" w:eastAsia="Times New Roman" w:hAnsiTheme="majorHAnsi" w:cs="Arial"/>
          <w:lang w:eastAsia="en-GB"/>
        </w:rPr>
        <w:t>Arvato</w:t>
      </w:r>
      <w:proofErr w:type="spellEnd"/>
      <w:r w:rsidRPr="005A053A">
        <w:rPr>
          <w:rFonts w:asciiTheme="majorHAnsi" w:eastAsia="Times New Roman" w:hAnsiTheme="majorHAnsi" w:cs="Arial"/>
          <w:lang w:eastAsia="en-GB"/>
        </w:rPr>
        <w:t xml:space="preserve">, and </w:t>
      </w:r>
      <w:proofErr w:type="spellStart"/>
      <w:r w:rsidRPr="005A053A">
        <w:rPr>
          <w:rFonts w:asciiTheme="majorHAnsi" w:eastAsia="Times New Roman" w:hAnsiTheme="majorHAnsi" w:cs="Arial"/>
          <w:lang w:eastAsia="en-GB"/>
        </w:rPr>
        <w:t>Steria</w:t>
      </w:r>
      <w:proofErr w:type="spellEnd"/>
      <w:r w:rsidRPr="005A053A">
        <w:rPr>
          <w:rFonts w:asciiTheme="majorHAnsi" w:eastAsia="Times New Roman" w:hAnsiTheme="majorHAnsi" w:cs="Arial"/>
          <w:lang w:eastAsia="en-GB"/>
        </w:rPr>
        <w:t>) brought further expenses</w:t>
      </w:r>
      <w:r w:rsidR="00C71A38">
        <w:rPr>
          <w:rFonts w:asciiTheme="majorHAnsi" w:eastAsia="Times New Roman" w:hAnsiTheme="majorHAnsi" w:cs="Arial"/>
          <w:lang w:eastAsia="en-GB"/>
        </w:rPr>
        <w:t xml:space="preserve">.  The quality of </w:t>
      </w:r>
      <w:r w:rsidRPr="005A053A">
        <w:rPr>
          <w:rFonts w:asciiTheme="majorHAnsi" w:eastAsia="Times New Roman" w:hAnsiTheme="majorHAnsi" w:cs="Arial"/>
          <w:lang w:eastAsia="en-GB"/>
        </w:rPr>
        <w:t>service</w:t>
      </w:r>
      <w:r w:rsidR="00C71A38">
        <w:rPr>
          <w:rFonts w:asciiTheme="majorHAnsi" w:eastAsia="Times New Roman" w:hAnsiTheme="majorHAnsi" w:cs="Arial"/>
          <w:lang w:eastAsia="en-GB"/>
        </w:rPr>
        <w:t xml:space="preserve">s also fell, </w:t>
      </w:r>
      <w:r w:rsidRPr="005A053A">
        <w:rPr>
          <w:rFonts w:asciiTheme="majorHAnsi" w:eastAsia="Times New Roman" w:hAnsiTheme="majorHAnsi" w:cs="Arial"/>
          <w:lang w:eastAsia="en-GB"/>
        </w:rPr>
        <w:t>including deaths and suicides of disability benefit claimants and increased volume of mental health problems linked directly to financial insecurity caused by (potential) benefit loss.</w:t>
      </w:r>
      <w:r w:rsidR="00EC3157">
        <w:rPr>
          <w:rStyle w:val="EndnoteReference"/>
          <w:rFonts w:asciiTheme="majorHAnsi" w:eastAsia="Times New Roman" w:hAnsiTheme="majorHAnsi" w:cs="Arial"/>
          <w:lang w:eastAsia="en-GB"/>
        </w:rPr>
        <w:endnoteReference w:id="11"/>
      </w:r>
      <w:r w:rsidR="00EC3157">
        <w:rPr>
          <w:rFonts w:asciiTheme="majorHAnsi" w:eastAsia="Times New Roman" w:hAnsiTheme="majorHAnsi" w:cs="Arial"/>
          <w:lang w:eastAsia="en-GB"/>
        </w:rPr>
        <w:t xml:space="preserve"> </w:t>
      </w:r>
      <w:r w:rsidRPr="005A053A">
        <w:rPr>
          <w:rFonts w:asciiTheme="majorHAnsi" w:eastAsia="Times New Roman" w:hAnsiTheme="majorHAnsi" w:cs="Arial"/>
          <w:lang w:eastAsia="en-GB"/>
        </w:rPr>
        <w:t>Moreover, instead of ‘raising leverage of people assets and experience’, there are plans for increasing divestment/outsourcing of shared services to external/foreign suppliers. The latter raises concerns about private and personal data sharing of the Departments and their customers alike and potential job losses due to external supply of services.</w:t>
      </w:r>
    </w:p>
    <w:p w:rsidR="00CD4B7C" w:rsidRPr="005A053A" w:rsidRDefault="00CD4B7C" w:rsidP="00B03D73">
      <w:pPr>
        <w:pStyle w:val="NoSpacing"/>
        <w:rPr>
          <w:rFonts w:asciiTheme="majorHAnsi" w:eastAsia="Times New Roman" w:hAnsiTheme="majorHAnsi" w:cs="Arial"/>
          <w:lang w:eastAsia="en-GB"/>
        </w:rPr>
      </w:pPr>
    </w:p>
    <w:p w:rsidR="004219E9" w:rsidRDefault="00C830D8" w:rsidP="004219E9">
      <w:pPr>
        <w:pStyle w:val="NoSpacing"/>
        <w:rPr>
          <w:rFonts w:asciiTheme="majorHAnsi" w:hAnsiTheme="majorHAnsi"/>
          <w:bCs/>
        </w:rPr>
      </w:pPr>
      <w:r>
        <w:rPr>
          <w:rFonts w:asciiTheme="majorHAnsi" w:hAnsiTheme="majorHAnsi"/>
        </w:rPr>
        <w:t>T</w:t>
      </w:r>
      <w:r w:rsidR="00BF539A" w:rsidRPr="00C830D8">
        <w:rPr>
          <w:rFonts w:asciiTheme="majorHAnsi" w:hAnsiTheme="majorHAnsi"/>
        </w:rPr>
        <w:t>he evidence from</w:t>
      </w:r>
      <w:r w:rsidR="00C510D1" w:rsidRPr="00C830D8">
        <w:rPr>
          <w:rFonts w:asciiTheme="majorHAnsi" w:hAnsiTheme="majorHAnsi"/>
        </w:rPr>
        <w:t xml:space="preserve"> the targets and objectives</w:t>
      </w:r>
      <w:r w:rsidR="00BF539A" w:rsidRPr="00C830D8">
        <w:rPr>
          <w:rFonts w:asciiTheme="majorHAnsi" w:hAnsiTheme="majorHAnsi"/>
        </w:rPr>
        <w:t xml:space="preserve"> set in </w:t>
      </w:r>
      <w:r w:rsidR="00815AB9">
        <w:rPr>
          <w:rFonts w:asciiTheme="majorHAnsi" w:hAnsiTheme="majorHAnsi"/>
        </w:rPr>
        <w:t xml:space="preserve">the </w:t>
      </w:r>
      <w:r w:rsidR="00C510D1" w:rsidRPr="00C830D8">
        <w:rPr>
          <w:rFonts w:asciiTheme="majorHAnsi" w:hAnsiTheme="majorHAnsi"/>
        </w:rPr>
        <w:t xml:space="preserve">2008 and 2012 </w:t>
      </w:r>
      <w:r w:rsidR="00815AB9">
        <w:rPr>
          <w:rFonts w:asciiTheme="majorHAnsi" w:hAnsiTheme="majorHAnsi"/>
        </w:rPr>
        <w:t xml:space="preserve">NAO </w:t>
      </w:r>
      <w:r w:rsidR="00C510D1" w:rsidRPr="00C830D8">
        <w:rPr>
          <w:rFonts w:asciiTheme="majorHAnsi" w:hAnsiTheme="majorHAnsi"/>
        </w:rPr>
        <w:t xml:space="preserve">Reports </w:t>
      </w:r>
      <w:r>
        <w:rPr>
          <w:rFonts w:asciiTheme="majorHAnsi" w:hAnsiTheme="majorHAnsi"/>
        </w:rPr>
        <w:t xml:space="preserve">show that few targets were met and lessons were not learnt.  </w:t>
      </w:r>
      <w:r w:rsidR="00BF539A" w:rsidRPr="00C830D8">
        <w:rPr>
          <w:rFonts w:asciiTheme="majorHAnsi" w:hAnsiTheme="majorHAnsi"/>
        </w:rPr>
        <w:t>Nevertheless, the Cabinet Office continue</w:t>
      </w:r>
      <w:r>
        <w:rPr>
          <w:rFonts w:asciiTheme="majorHAnsi" w:hAnsiTheme="majorHAnsi"/>
        </w:rPr>
        <w:t>d</w:t>
      </w:r>
      <w:r w:rsidR="00BF539A" w:rsidRPr="00C830D8">
        <w:rPr>
          <w:rFonts w:asciiTheme="majorHAnsi" w:hAnsiTheme="majorHAnsi"/>
        </w:rPr>
        <w:t xml:space="preserve"> to</w:t>
      </w:r>
      <w:r>
        <w:rPr>
          <w:rFonts w:asciiTheme="majorHAnsi" w:hAnsiTheme="majorHAnsi"/>
        </w:rPr>
        <w:t xml:space="preserve"> promote </w:t>
      </w:r>
      <w:r w:rsidR="001A0BF7">
        <w:rPr>
          <w:rFonts w:asciiTheme="majorHAnsi" w:hAnsiTheme="majorHAnsi"/>
        </w:rPr>
        <w:t>shared services</w:t>
      </w:r>
      <w:r w:rsidR="00BF539A" w:rsidRPr="00C830D8">
        <w:rPr>
          <w:rFonts w:asciiTheme="majorHAnsi" w:hAnsiTheme="majorHAnsi"/>
        </w:rPr>
        <w:t xml:space="preserve"> </w:t>
      </w:r>
      <w:r>
        <w:rPr>
          <w:rFonts w:asciiTheme="majorHAnsi" w:hAnsiTheme="majorHAnsi"/>
        </w:rPr>
        <w:t xml:space="preserve">more widely </w:t>
      </w:r>
      <w:r w:rsidR="00BF539A" w:rsidRPr="00C830D8">
        <w:rPr>
          <w:rFonts w:asciiTheme="majorHAnsi" w:hAnsiTheme="majorHAnsi"/>
        </w:rPr>
        <w:t xml:space="preserve">despite the evidence </w:t>
      </w:r>
      <w:r>
        <w:rPr>
          <w:rFonts w:asciiTheme="majorHAnsi" w:hAnsiTheme="majorHAnsi"/>
        </w:rPr>
        <w:t>showing that there had been few positive changes,</w:t>
      </w:r>
      <w:r w:rsidR="00BF539A" w:rsidRPr="00C830D8">
        <w:rPr>
          <w:rFonts w:asciiTheme="majorHAnsi" w:hAnsiTheme="majorHAnsi"/>
        </w:rPr>
        <w:t xml:space="preserve"> no savings, and </w:t>
      </w:r>
      <w:r w:rsidR="00EC3157">
        <w:rPr>
          <w:rFonts w:asciiTheme="majorHAnsi" w:hAnsiTheme="majorHAnsi"/>
        </w:rPr>
        <w:t xml:space="preserve">increasing </w:t>
      </w:r>
      <w:r w:rsidR="00BF539A" w:rsidRPr="00C830D8">
        <w:rPr>
          <w:rFonts w:asciiTheme="majorHAnsi" w:hAnsiTheme="majorHAnsi"/>
        </w:rPr>
        <w:t xml:space="preserve">costs. </w:t>
      </w:r>
      <w:r w:rsidR="004219E9" w:rsidRPr="005A053A">
        <w:rPr>
          <w:rFonts w:asciiTheme="majorHAnsi" w:hAnsiTheme="majorHAnsi"/>
        </w:rPr>
        <w:t>The next Review or ‘</w:t>
      </w:r>
      <w:r w:rsidR="004219E9" w:rsidRPr="005A053A">
        <w:rPr>
          <w:rFonts w:asciiTheme="majorHAnsi" w:hAnsiTheme="majorHAnsi"/>
          <w:bCs/>
        </w:rPr>
        <w:t xml:space="preserve">Update on the Next Generation Shared Services Strategy’ by NAO will be published in </w:t>
      </w:r>
      <w:proofErr w:type="gramStart"/>
      <w:r w:rsidR="004219E9" w:rsidRPr="005A053A">
        <w:rPr>
          <w:rFonts w:asciiTheme="majorHAnsi" w:hAnsiTheme="majorHAnsi"/>
          <w:bCs/>
        </w:rPr>
        <w:t>Spring</w:t>
      </w:r>
      <w:proofErr w:type="gramEnd"/>
      <w:r w:rsidR="004219E9" w:rsidRPr="005A053A">
        <w:rPr>
          <w:rFonts w:asciiTheme="majorHAnsi" w:hAnsiTheme="majorHAnsi"/>
          <w:bCs/>
        </w:rPr>
        <w:t xml:space="preserve"> 2014. </w:t>
      </w:r>
    </w:p>
    <w:p w:rsidR="00C35F96" w:rsidRDefault="00C35F96" w:rsidP="00B03D73">
      <w:pPr>
        <w:pStyle w:val="NoSpacing"/>
        <w:rPr>
          <w:rFonts w:asciiTheme="majorHAnsi" w:hAnsiTheme="majorHAnsi"/>
        </w:rPr>
      </w:pPr>
    </w:p>
    <w:p w:rsidR="00C71A38" w:rsidRPr="004219E9" w:rsidRDefault="004C67EA" w:rsidP="00C71A38">
      <w:pPr>
        <w:pStyle w:val="NoSpacing"/>
        <w:rPr>
          <w:rFonts w:asciiTheme="majorHAnsi" w:hAnsiTheme="majorHAnsi"/>
          <w:b/>
          <w:u w:val="single"/>
        </w:rPr>
      </w:pPr>
      <w:r>
        <w:rPr>
          <w:rFonts w:asciiTheme="majorHAnsi" w:hAnsiTheme="majorHAnsi"/>
          <w:b/>
          <w:u w:val="single"/>
        </w:rPr>
        <w:br w:type="column"/>
      </w:r>
      <w:proofErr w:type="gramStart"/>
      <w:r w:rsidR="00C71A38" w:rsidRPr="004219E9">
        <w:rPr>
          <w:rFonts w:asciiTheme="majorHAnsi" w:hAnsiTheme="majorHAnsi"/>
          <w:b/>
          <w:u w:val="single"/>
        </w:rPr>
        <w:lastRenderedPageBreak/>
        <w:t>Table 1.</w:t>
      </w:r>
      <w:proofErr w:type="gramEnd"/>
      <w:r w:rsidR="00C71A38" w:rsidRPr="004219E9">
        <w:rPr>
          <w:rFonts w:asciiTheme="majorHAnsi" w:hAnsiTheme="majorHAnsi"/>
          <w:b/>
          <w:u w:val="single"/>
        </w:rPr>
        <w:t xml:space="preserve"> Summary of the </w:t>
      </w:r>
      <w:r w:rsidR="00B44174">
        <w:rPr>
          <w:rFonts w:asciiTheme="majorHAnsi" w:hAnsiTheme="majorHAnsi"/>
          <w:b/>
          <w:u w:val="single"/>
        </w:rPr>
        <w:t xml:space="preserve">costs of the </w:t>
      </w:r>
      <w:r w:rsidR="004219E9">
        <w:rPr>
          <w:rFonts w:asciiTheme="majorHAnsi" w:hAnsiTheme="majorHAnsi"/>
          <w:b/>
          <w:u w:val="single"/>
        </w:rPr>
        <w:t>Shared Services Programme</w:t>
      </w:r>
    </w:p>
    <w:p w:rsidR="004219E9" w:rsidRDefault="004219E9" w:rsidP="00C71A38">
      <w:pPr>
        <w:pStyle w:val="NoSpacing"/>
        <w:rPr>
          <w:rFonts w:asciiTheme="majorHAnsi" w:hAnsiTheme="majorHAnsi"/>
          <w:u w:val="single"/>
        </w:rPr>
      </w:pPr>
    </w:p>
    <w:tbl>
      <w:tblPr>
        <w:tblStyle w:val="TableGrid"/>
        <w:tblW w:w="0" w:type="auto"/>
        <w:tblLook w:val="04A0" w:firstRow="1" w:lastRow="0" w:firstColumn="1" w:lastColumn="0" w:noHBand="0" w:noVBand="1"/>
      </w:tblPr>
      <w:tblGrid>
        <w:gridCol w:w="2063"/>
        <w:gridCol w:w="2507"/>
        <w:gridCol w:w="2334"/>
        <w:gridCol w:w="2338"/>
      </w:tblGrid>
      <w:tr w:rsidR="00E77E26" w:rsidRPr="005A053A" w:rsidTr="00E77E26">
        <w:tc>
          <w:tcPr>
            <w:tcW w:w="2063" w:type="dxa"/>
          </w:tcPr>
          <w:p w:rsidR="00E77E26" w:rsidRPr="00C830D8" w:rsidRDefault="00E77E26" w:rsidP="00BE35B4">
            <w:pPr>
              <w:pStyle w:val="NoSpacing"/>
              <w:rPr>
                <w:rFonts w:asciiTheme="majorHAnsi" w:hAnsiTheme="majorHAnsi"/>
                <w:b/>
              </w:rPr>
            </w:pPr>
            <w:r>
              <w:rPr>
                <w:rFonts w:asciiTheme="majorHAnsi" w:hAnsiTheme="majorHAnsi"/>
                <w:b/>
              </w:rPr>
              <w:t>Time period</w:t>
            </w:r>
          </w:p>
        </w:tc>
        <w:tc>
          <w:tcPr>
            <w:tcW w:w="2507" w:type="dxa"/>
          </w:tcPr>
          <w:p w:rsidR="00E77E26" w:rsidRPr="00C830D8" w:rsidRDefault="00E77E26" w:rsidP="00BE35B4">
            <w:pPr>
              <w:pStyle w:val="NoSpacing"/>
              <w:rPr>
                <w:rFonts w:asciiTheme="majorHAnsi" w:hAnsiTheme="majorHAnsi"/>
                <w:b/>
              </w:rPr>
            </w:pPr>
            <w:r w:rsidRPr="00C830D8">
              <w:rPr>
                <w:rFonts w:asciiTheme="majorHAnsi" w:hAnsiTheme="majorHAnsi"/>
                <w:b/>
              </w:rPr>
              <w:t>Expenditure</w:t>
            </w:r>
          </w:p>
        </w:tc>
        <w:tc>
          <w:tcPr>
            <w:tcW w:w="2334" w:type="dxa"/>
          </w:tcPr>
          <w:p w:rsidR="00E77E26" w:rsidRPr="00C830D8" w:rsidRDefault="00E77E26" w:rsidP="00BE35B4">
            <w:pPr>
              <w:pStyle w:val="NoSpacing"/>
              <w:rPr>
                <w:rFonts w:asciiTheme="majorHAnsi" w:hAnsiTheme="majorHAnsi"/>
                <w:b/>
              </w:rPr>
            </w:pPr>
            <w:r w:rsidRPr="00C830D8">
              <w:rPr>
                <w:rFonts w:asciiTheme="majorHAnsi" w:hAnsiTheme="majorHAnsi"/>
                <w:b/>
              </w:rPr>
              <w:t>Savings</w:t>
            </w:r>
          </w:p>
        </w:tc>
        <w:tc>
          <w:tcPr>
            <w:tcW w:w="2338" w:type="dxa"/>
          </w:tcPr>
          <w:p w:rsidR="00E77E26" w:rsidRPr="00C830D8" w:rsidRDefault="00E77E26" w:rsidP="00BE35B4">
            <w:pPr>
              <w:pStyle w:val="NoSpacing"/>
              <w:rPr>
                <w:rFonts w:asciiTheme="majorHAnsi" w:hAnsiTheme="majorHAnsi"/>
                <w:b/>
              </w:rPr>
            </w:pPr>
            <w:r w:rsidRPr="00C830D8">
              <w:rPr>
                <w:rFonts w:asciiTheme="majorHAnsi" w:hAnsiTheme="majorHAnsi"/>
                <w:b/>
              </w:rPr>
              <w:t>Net cost</w:t>
            </w:r>
          </w:p>
        </w:tc>
      </w:tr>
      <w:tr w:rsidR="00E77E26" w:rsidRPr="005A053A" w:rsidTr="00E77E26">
        <w:tc>
          <w:tcPr>
            <w:tcW w:w="2063" w:type="dxa"/>
          </w:tcPr>
          <w:p w:rsidR="00E77E26" w:rsidRPr="005A053A" w:rsidRDefault="00E77E26" w:rsidP="00BE35B4">
            <w:pPr>
              <w:pStyle w:val="NoSpacing"/>
              <w:rPr>
                <w:rFonts w:asciiTheme="majorHAnsi" w:hAnsiTheme="majorHAnsi"/>
              </w:rPr>
            </w:pPr>
            <w:r>
              <w:rPr>
                <w:rFonts w:asciiTheme="majorHAnsi" w:hAnsiTheme="majorHAnsi"/>
              </w:rPr>
              <w:t>7 years evolving shared services</w:t>
            </w:r>
            <w:r w:rsidR="00EC3157">
              <w:rPr>
                <w:rFonts w:asciiTheme="majorHAnsi" w:hAnsiTheme="majorHAnsi"/>
              </w:rPr>
              <w:t xml:space="preserve"> (2005-12)</w:t>
            </w:r>
          </w:p>
        </w:tc>
        <w:tc>
          <w:tcPr>
            <w:tcW w:w="2507" w:type="dxa"/>
          </w:tcPr>
          <w:p w:rsidR="00E77E26" w:rsidRPr="005A053A" w:rsidRDefault="00E77E26" w:rsidP="00EC3157">
            <w:pPr>
              <w:pStyle w:val="NoSpacing"/>
              <w:rPr>
                <w:rFonts w:asciiTheme="majorHAnsi" w:hAnsiTheme="majorHAnsi"/>
              </w:rPr>
            </w:pPr>
            <w:r w:rsidRPr="005A053A">
              <w:rPr>
                <w:rFonts w:asciiTheme="majorHAnsi" w:eastAsia="Times New Roman" w:hAnsiTheme="majorHAnsi" w:cs="Arial"/>
                <w:lang w:eastAsia="en-GB"/>
              </w:rPr>
              <w:t>£1.4 billion spent to deliver the core back-office functions of human resources, finance, procurement and payroll</w:t>
            </w:r>
            <w:r>
              <w:rPr>
                <w:rFonts w:asciiTheme="majorHAnsi" w:eastAsia="Times New Roman" w:hAnsiTheme="majorHAnsi" w:cs="Arial"/>
                <w:lang w:eastAsia="en-GB"/>
              </w:rPr>
              <w:t xml:space="preserve"> services </w:t>
            </w:r>
            <w:proofErr w:type="gramStart"/>
            <w:r>
              <w:rPr>
                <w:rFonts w:asciiTheme="majorHAnsi" w:eastAsia="Times New Roman" w:hAnsiTheme="majorHAnsi" w:cs="Arial"/>
                <w:lang w:eastAsia="en-GB"/>
              </w:rPr>
              <w:t xml:space="preserve">in </w:t>
            </w:r>
            <w:r w:rsidRPr="005A053A">
              <w:rPr>
                <w:rFonts w:asciiTheme="majorHAnsi" w:hAnsiTheme="majorHAnsi"/>
              </w:rPr>
              <w:t xml:space="preserve"> five</w:t>
            </w:r>
            <w:proofErr w:type="gramEnd"/>
            <w:r w:rsidRPr="005A053A">
              <w:rPr>
                <w:rFonts w:asciiTheme="majorHAnsi" w:hAnsiTheme="majorHAnsi"/>
              </w:rPr>
              <w:t xml:space="preserve"> shared service centres</w:t>
            </w:r>
            <w:r w:rsidR="00EC3157">
              <w:rPr>
                <w:rFonts w:asciiTheme="majorHAnsi" w:hAnsiTheme="majorHAnsi"/>
              </w:rPr>
              <w:t>.  (Estimated cost was £0.9 billion)</w:t>
            </w:r>
          </w:p>
        </w:tc>
        <w:tc>
          <w:tcPr>
            <w:tcW w:w="2334" w:type="dxa"/>
          </w:tcPr>
          <w:p w:rsidR="00E77E26" w:rsidRPr="005A053A" w:rsidRDefault="00E77E26" w:rsidP="00E77E26">
            <w:pPr>
              <w:pStyle w:val="NoSpacing"/>
              <w:rPr>
                <w:rFonts w:asciiTheme="majorHAnsi" w:hAnsiTheme="majorHAnsi"/>
              </w:rPr>
            </w:pPr>
            <w:r w:rsidRPr="005A053A">
              <w:rPr>
                <w:rFonts w:asciiTheme="majorHAnsi" w:hAnsiTheme="majorHAnsi"/>
              </w:rPr>
              <w:t>£159m</w:t>
            </w:r>
            <w:r>
              <w:rPr>
                <w:rFonts w:asciiTheme="majorHAnsi" w:hAnsiTheme="majorHAnsi"/>
              </w:rPr>
              <w:t xml:space="preserve"> of pl</w:t>
            </w:r>
            <w:r w:rsidRPr="005A053A">
              <w:rPr>
                <w:rFonts w:asciiTheme="majorHAnsi" w:hAnsiTheme="majorHAnsi"/>
              </w:rPr>
              <w:t>anned savings by end 2010-11</w:t>
            </w:r>
          </w:p>
        </w:tc>
        <w:tc>
          <w:tcPr>
            <w:tcW w:w="2338" w:type="dxa"/>
          </w:tcPr>
          <w:p w:rsidR="00E77E26" w:rsidRPr="005A053A" w:rsidRDefault="00E77E26" w:rsidP="00E77E26">
            <w:pPr>
              <w:pStyle w:val="NoSpacing"/>
              <w:rPr>
                <w:rFonts w:asciiTheme="majorHAnsi" w:eastAsia="Times New Roman" w:hAnsiTheme="majorHAnsi" w:cs="Arial"/>
                <w:lang w:eastAsia="en-GB"/>
              </w:rPr>
            </w:pPr>
            <w:r w:rsidRPr="005A053A">
              <w:rPr>
                <w:rFonts w:asciiTheme="majorHAnsi" w:hAnsiTheme="majorHAnsi"/>
              </w:rPr>
              <w:t>£255m</w:t>
            </w:r>
            <w:r>
              <w:rPr>
                <w:rFonts w:asciiTheme="majorHAnsi" w:hAnsiTheme="majorHAnsi"/>
              </w:rPr>
              <w:t xml:space="preserve"> is the </w:t>
            </w:r>
            <w:r w:rsidRPr="005A053A">
              <w:rPr>
                <w:rFonts w:asciiTheme="majorHAnsi" w:hAnsiTheme="majorHAnsi"/>
              </w:rPr>
              <w:t xml:space="preserve">net cost of </w:t>
            </w:r>
            <w:r>
              <w:rPr>
                <w:rFonts w:asciiTheme="majorHAnsi" w:hAnsiTheme="majorHAnsi"/>
              </w:rPr>
              <w:t xml:space="preserve">the two Centres that are </w:t>
            </w:r>
            <w:r w:rsidRPr="005A053A">
              <w:rPr>
                <w:rFonts w:asciiTheme="majorHAnsi" w:hAnsiTheme="majorHAnsi"/>
              </w:rPr>
              <w:t>tracking benefits</w:t>
            </w:r>
            <w:r>
              <w:rPr>
                <w:rFonts w:asciiTheme="majorHAnsi" w:hAnsiTheme="majorHAnsi"/>
              </w:rPr>
              <w:t xml:space="preserve">. </w:t>
            </w:r>
            <w:r w:rsidRPr="005A053A">
              <w:rPr>
                <w:rFonts w:asciiTheme="majorHAnsi" w:eastAsia="Times New Roman" w:hAnsiTheme="majorHAnsi" w:cs="Arial"/>
                <w:lang w:eastAsia="en-GB"/>
              </w:rPr>
              <w:t>One Centre broke-even within five years</w:t>
            </w:r>
            <w:r>
              <w:rPr>
                <w:rFonts w:asciiTheme="majorHAnsi" w:eastAsia="Times New Roman" w:hAnsiTheme="majorHAnsi" w:cs="Arial"/>
                <w:lang w:eastAsia="en-GB"/>
              </w:rPr>
              <w:t>.</w:t>
            </w:r>
          </w:p>
          <w:p w:rsidR="00E77E26" w:rsidRPr="005A053A" w:rsidRDefault="00E77E26" w:rsidP="00BE35B4">
            <w:pPr>
              <w:pStyle w:val="NoSpacing"/>
              <w:rPr>
                <w:rFonts w:asciiTheme="majorHAnsi" w:hAnsiTheme="majorHAnsi"/>
              </w:rPr>
            </w:pPr>
          </w:p>
        </w:tc>
      </w:tr>
    </w:tbl>
    <w:p w:rsidR="004219E9" w:rsidRDefault="004219E9" w:rsidP="00B03D73">
      <w:pPr>
        <w:pStyle w:val="NoSpacing"/>
        <w:rPr>
          <w:rFonts w:asciiTheme="majorHAnsi" w:hAnsiTheme="majorHAnsi"/>
        </w:rPr>
      </w:pPr>
    </w:p>
    <w:p w:rsidR="006B56F7" w:rsidRPr="005A053A" w:rsidRDefault="004219E9" w:rsidP="00B03D73">
      <w:pPr>
        <w:pStyle w:val="NoSpacing"/>
        <w:rPr>
          <w:rFonts w:asciiTheme="majorHAnsi" w:hAnsiTheme="majorHAnsi"/>
        </w:rPr>
      </w:pPr>
      <w:r>
        <w:rPr>
          <w:rFonts w:asciiTheme="majorHAnsi" w:hAnsiTheme="majorHAnsi"/>
        </w:rPr>
        <w:t>Although th</w:t>
      </w:r>
      <w:r w:rsidR="00C830D8">
        <w:rPr>
          <w:rFonts w:asciiTheme="majorHAnsi" w:hAnsiTheme="majorHAnsi"/>
        </w:rPr>
        <w:t xml:space="preserve">e </w:t>
      </w:r>
      <w:r w:rsidR="00893E64" w:rsidRPr="005A053A">
        <w:rPr>
          <w:rFonts w:asciiTheme="majorHAnsi" w:hAnsiTheme="majorHAnsi"/>
        </w:rPr>
        <w:t>NAO Report (2012) findings</w:t>
      </w:r>
      <w:r w:rsidR="00EC2001" w:rsidRPr="005A053A">
        <w:rPr>
          <w:rFonts w:asciiTheme="majorHAnsi" w:hAnsiTheme="majorHAnsi"/>
        </w:rPr>
        <w:t xml:space="preserve"> are critical of the programme implementation</w:t>
      </w:r>
      <w:r w:rsidR="00EC3157">
        <w:rPr>
          <w:rFonts w:asciiTheme="majorHAnsi" w:hAnsiTheme="majorHAnsi"/>
        </w:rPr>
        <w:t xml:space="preserve">, they did </w:t>
      </w:r>
      <w:r w:rsidR="00EC2001" w:rsidRPr="005A053A">
        <w:rPr>
          <w:rFonts w:asciiTheme="majorHAnsi" w:hAnsiTheme="majorHAnsi"/>
        </w:rPr>
        <w:t xml:space="preserve">not provide the full picture. The seven main </w:t>
      </w:r>
      <w:r w:rsidR="001A0BF7">
        <w:rPr>
          <w:rFonts w:asciiTheme="majorHAnsi" w:hAnsiTheme="majorHAnsi"/>
        </w:rPr>
        <w:t xml:space="preserve">NAO </w:t>
      </w:r>
      <w:r w:rsidR="00EC2001" w:rsidRPr="005A053A">
        <w:rPr>
          <w:rFonts w:asciiTheme="majorHAnsi" w:hAnsiTheme="majorHAnsi"/>
        </w:rPr>
        <w:t xml:space="preserve">Report findings fail to </w:t>
      </w:r>
      <w:r w:rsidR="00C830D8">
        <w:rPr>
          <w:rFonts w:asciiTheme="majorHAnsi" w:hAnsiTheme="majorHAnsi"/>
        </w:rPr>
        <w:t>show that i</w:t>
      </w:r>
      <w:r w:rsidR="00EC2001" w:rsidRPr="005A053A">
        <w:rPr>
          <w:rFonts w:asciiTheme="majorHAnsi" w:hAnsiTheme="majorHAnsi"/>
        </w:rPr>
        <w:t xml:space="preserve">t is the policy </w:t>
      </w:r>
      <w:r w:rsidR="00A06D25" w:rsidRPr="005A053A">
        <w:rPr>
          <w:rFonts w:asciiTheme="majorHAnsi" w:hAnsiTheme="majorHAnsi"/>
        </w:rPr>
        <w:t xml:space="preserve">approach itself </w:t>
      </w:r>
      <w:r w:rsidR="00EC2001" w:rsidRPr="005A053A">
        <w:rPr>
          <w:rFonts w:asciiTheme="majorHAnsi" w:hAnsiTheme="majorHAnsi"/>
        </w:rPr>
        <w:t xml:space="preserve">that is the problem. </w:t>
      </w:r>
      <w:r w:rsidR="00893E64" w:rsidRPr="005A053A">
        <w:rPr>
          <w:rFonts w:asciiTheme="majorHAnsi" w:hAnsiTheme="majorHAnsi"/>
        </w:rPr>
        <w:t xml:space="preserve"> </w:t>
      </w:r>
    </w:p>
    <w:p w:rsidR="009C6AAA" w:rsidRDefault="009C6AAA" w:rsidP="00B03D73">
      <w:pPr>
        <w:pStyle w:val="NoSpacing"/>
        <w:rPr>
          <w:rFonts w:asciiTheme="majorHAnsi" w:hAnsiTheme="majorHAnsi"/>
        </w:rPr>
      </w:pPr>
    </w:p>
    <w:p w:rsidR="004219E9" w:rsidRPr="004219E9" w:rsidRDefault="004219E9" w:rsidP="00B03D73">
      <w:pPr>
        <w:pStyle w:val="NoSpacing"/>
        <w:rPr>
          <w:rFonts w:asciiTheme="majorHAnsi" w:hAnsiTheme="majorHAnsi"/>
          <w:b/>
          <w:u w:val="single"/>
        </w:rPr>
      </w:pPr>
      <w:r w:rsidRPr="004219E9">
        <w:rPr>
          <w:rFonts w:asciiTheme="majorHAnsi" w:hAnsiTheme="majorHAnsi"/>
          <w:b/>
          <w:u w:val="single"/>
        </w:rPr>
        <w:t xml:space="preserve">Table 2: NAO report findings </w:t>
      </w:r>
      <w:r w:rsidR="00867A9A">
        <w:rPr>
          <w:rFonts w:asciiTheme="majorHAnsi" w:hAnsiTheme="majorHAnsi"/>
          <w:b/>
          <w:u w:val="single"/>
        </w:rPr>
        <w:t xml:space="preserve">compared with </w:t>
      </w:r>
      <w:proofErr w:type="gramStart"/>
      <w:r w:rsidR="00867A9A">
        <w:rPr>
          <w:rFonts w:asciiTheme="majorHAnsi" w:hAnsiTheme="majorHAnsi"/>
          <w:b/>
          <w:u w:val="single"/>
        </w:rPr>
        <w:t xml:space="preserve">additional  </w:t>
      </w:r>
      <w:r w:rsidRPr="004219E9">
        <w:rPr>
          <w:rFonts w:asciiTheme="majorHAnsi" w:hAnsiTheme="majorHAnsi"/>
          <w:b/>
          <w:u w:val="single"/>
        </w:rPr>
        <w:t>issues</w:t>
      </w:r>
      <w:proofErr w:type="gramEnd"/>
    </w:p>
    <w:p w:rsidR="004219E9" w:rsidRPr="005A053A" w:rsidRDefault="004219E9" w:rsidP="00B03D73">
      <w:pPr>
        <w:pStyle w:val="NoSpacing"/>
        <w:rPr>
          <w:rFonts w:asciiTheme="majorHAnsi" w:hAnsiTheme="majorHAnsi"/>
        </w:rPr>
      </w:pPr>
    </w:p>
    <w:tbl>
      <w:tblPr>
        <w:tblStyle w:val="TableGrid"/>
        <w:tblW w:w="9747" w:type="dxa"/>
        <w:tblLook w:val="04A0" w:firstRow="1" w:lastRow="0" w:firstColumn="1" w:lastColumn="0" w:noHBand="0" w:noVBand="1"/>
      </w:tblPr>
      <w:tblGrid>
        <w:gridCol w:w="534"/>
        <w:gridCol w:w="2835"/>
        <w:gridCol w:w="2835"/>
        <w:gridCol w:w="3543"/>
      </w:tblGrid>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t>No</w:t>
            </w:r>
          </w:p>
        </w:tc>
        <w:tc>
          <w:tcPr>
            <w:tcW w:w="2835" w:type="dxa"/>
          </w:tcPr>
          <w:p w:rsidR="005F0A75" w:rsidRPr="005A053A" w:rsidRDefault="005F0A75" w:rsidP="00B03D73">
            <w:pPr>
              <w:pStyle w:val="NoSpacing"/>
              <w:rPr>
                <w:rFonts w:asciiTheme="majorHAnsi" w:hAnsiTheme="majorHAnsi"/>
              </w:rPr>
            </w:pPr>
            <w:r w:rsidRPr="005A053A">
              <w:rPr>
                <w:rFonts w:asciiTheme="majorHAnsi" w:hAnsiTheme="majorHAnsi"/>
              </w:rPr>
              <w:t xml:space="preserve">Findings </w:t>
            </w:r>
          </w:p>
        </w:tc>
        <w:tc>
          <w:tcPr>
            <w:tcW w:w="2835" w:type="dxa"/>
          </w:tcPr>
          <w:p w:rsidR="005F0A75" w:rsidRPr="005A053A" w:rsidRDefault="005F0A75" w:rsidP="00B03D73">
            <w:pPr>
              <w:pStyle w:val="NoSpacing"/>
              <w:rPr>
                <w:rFonts w:asciiTheme="majorHAnsi" w:hAnsiTheme="majorHAnsi"/>
              </w:rPr>
            </w:pPr>
            <w:r w:rsidRPr="005A053A">
              <w:rPr>
                <w:rFonts w:asciiTheme="majorHAnsi" w:hAnsiTheme="majorHAnsi"/>
              </w:rPr>
              <w:t xml:space="preserve">Validity </w:t>
            </w:r>
          </w:p>
        </w:tc>
        <w:tc>
          <w:tcPr>
            <w:tcW w:w="3543" w:type="dxa"/>
          </w:tcPr>
          <w:p w:rsidR="005F0A75" w:rsidRPr="005A053A" w:rsidRDefault="005F0A75" w:rsidP="00B03D73">
            <w:pPr>
              <w:pStyle w:val="NoSpacing"/>
              <w:rPr>
                <w:rFonts w:asciiTheme="majorHAnsi" w:hAnsiTheme="majorHAnsi"/>
              </w:rPr>
            </w:pPr>
            <w:r w:rsidRPr="005A053A">
              <w:rPr>
                <w:rFonts w:asciiTheme="majorHAnsi" w:hAnsiTheme="majorHAnsi"/>
              </w:rPr>
              <w:t xml:space="preserve">Examples </w:t>
            </w:r>
          </w:p>
        </w:tc>
      </w:tr>
      <w:tr w:rsidR="005F0A75" w:rsidRPr="005A053A" w:rsidTr="004219E9">
        <w:tc>
          <w:tcPr>
            <w:tcW w:w="534"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1</w:t>
            </w: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‘Departments have invested significant cost and effort in implementing shared services’.</w:t>
            </w:r>
          </w:p>
          <w:p w:rsidR="005F0A75" w:rsidRPr="005A053A" w:rsidRDefault="005F0A75" w:rsidP="00B03D73">
            <w:pPr>
              <w:pStyle w:val="NoSpacing"/>
              <w:rPr>
                <w:rFonts w:asciiTheme="majorHAnsi" w:hAnsiTheme="majorHAnsi"/>
              </w:rPr>
            </w:pP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 xml:space="preserve">True. </w:t>
            </w:r>
          </w:p>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 xml:space="preserve">They followed Government instructions. </w:t>
            </w:r>
          </w:p>
          <w:p w:rsidR="005F0A75" w:rsidRPr="005A053A" w:rsidRDefault="005F0A75" w:rsidP="00B03D73">
            <w:pPr>
              <w:pStyle w:val="NoSpacing"/>
              <w:rPr>
                <w:rFonts w:asciiTheme="majorHAnsi" w:hAnsiTheme="majorHAnsi"/>
              </w:rPr>
            </w:pPr>
          </w:p>
        </w:tc>
        <w:tc>
          <w:tcPr>
            <w:tcW w:w="3543" w:type="dxa"/>
          </w:tcPr>
          <w:p w:rsidR="009528A1" w:rsidRPr="005A053A" w:rsidRDefault="009528A1" w:rsidP="00B03D73">
            <w:pPr>
              <w:pStyle w:val="NoSpacing"/>
              <w:rPr>
                <w:rFonts w:asciiTheme="majorHAnsi" w:hAnsiTheme="majorHAnsi"/>
              </w:rPr>
            </w:pPr>
            <w:r w:rsidRPr="005A053A">
              <w:rPr>
                <w:rFonts w:asciiTheme="majorHAnsi" w:hAnsiTheme="majorHAnsi"/>
              </w:rPr>
              <w:t xml:space="preserve">£1.4 spent to date on 5 shared services centres </w:t>
            </w:r>
          </w:p>
          <w:p w:rsidR="009528A1" w:rsidRPr="005A053A" w:rsidRDefault="009528A1" w:rsidP="00B03D73">
            <w:pPr>
              <w:pStyle w:val="NoSpacing"/>
              <w:rPr>
                <w:rFonts w:asciiTheme="majorHAnsi" w:hAnsiTheme="majorHAnsi"/>
              </w:rPr>
            </w:pPr>
            <w:r w:rsidRPr="005A053A">
              <w:rPr>
                <w:rFonts w:asciiTheme="majorHAnsi" w:hAnsiTheme="majorHAnsi"/>
              </w:rPr>
              <w:t>Only 1 broke even within 5 years</w:t>
            </w:r>
          </w:p>
        </w:tc>
      </w:tr>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t>2</w:t>
            </w: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hAnsiTheme="majorHAnsi"/>
              </w:rPr>
              <w:t>Departments have not realised the planned benefits.</w:t>
            </w:r>
          </w:p>
          <w:p w:rsidR="005F0A75" w:rsidRPr="005A053A" w:rsidRDefault="005F0A75" w:rsidP="00B03D73">
            <w:pPr>
              <w:pStyle w:val="NoSpacing"/>
              <w:rPr>
                <w:rFonts w:asciiTheme="majorHAnsi" w:hAnsiTheme="majorHAnsi"/>
              </w:rPr>
            </w:pP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 xml:space="preserve">True. </w:t>
            </w:r>
          </w:p>
          <w:p w:rsidR="005F0A75" w:rsidRPr="005A053A" w:rsidRDefault="00C16686"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The plan was deeply flawed, did not account for losses, and overestimated the benefits.</w:t>
            </w:r>
          </w:p>
          <w:p w:rsidR="005F0A75" w:rsidRPr="005A053A" w:rsidRDefault="005F0A75" w:rsidP="00B03D73">
            <w:pPr>
              <w:pStyle w:val="NoSpacing"/>
              <w:rPr>
                <w:rFonts w:asciiTheme="majorHAnsi" w:hAnsiTheme="majorHAnsi"/>
              </w:rPr>
            </w:pPr>
          </w:p>
        </w:tc>
        <w:tc>
          <w:tcPr>
            <w:tcW w:w="3543" w:type="dxa"/>
          </w:tcPr>
          <w:p w:rsidR="00C16686" w:rsidRPr="005A053A" w:rsidRDefault="00C16686" w:rsidP="00EC3157">
            <w:pPr>
              <w:pStyle w:val="NoSpacing"/>
              <w:rPr>
                <w:rFonts w:asciiTheme="majorHAnsi" w:hAnsiTheme="majorHAnsi"/>
                <w:bCs/>
              </w:rPr>
            </w:pPr>
            <w:r w:rsidRPr="005A053A">
              <w:rPr>
                <w:rFonts w:asciiTheme="majorHAnsi" w:hAnsiTheme="majorHAnsi"/>
              </w:rPr>
              <w:t>£2 billion capita contact: Savings could be just £128 million – not the £400 million to £600 million quoted frequently elsewhere. In fact, to reach £300 million to £400 million of savings per year the Cabinet Office “assumes that all ISSCs (independent shared service centres) and departments using them reach upper quartile performance across transactional and retained functions”.</w:t>
            </w:r>
            <w:r w:rsidR="00EC3157">
              <w:rPr>
                <w:rFonts w:asciiTheme="majorHAnsi" w:hAnsiTheme="majorHAnsi"/>
              </w:rPr>
              <w:t xml:space="preserve"> </w:t>
            </w:r>
            <w:r w:rsidR="00EC3157">
              <w:rPr>
                <w:rStyle w:val="EndnoteReference"/>
                <w:rFonts w:asciiTheme="majorHAnsi" w:hAnsiTheme="majorHAnsi"/>
              </w:rPr>
              <w:endnoteReference w:id="12"/>
            </w:r>
            <w:r w:rsidR="00EC3157">
              <w:rPr>
                <w:rFonts w:asciiTheme="majorHAnsi" w:hAnsiTheme="majorHAnsi"/>
              </w:rPr>
              <w:t xml:space="preserve">   </w:t>
            </w:r>
          </w:p>
        </w:tc>
      </w:tr>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t>3</w:t>
            </w: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Most customers of shared service centres have not driven benefits.</w:t>
            </w: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 xml:space="preserve">True. </w:t>
            </w:r>
            <w:r w:rsidR="00AF3A6A" w:rsidRPr="005A053A">
              <w:rPr>
                <w:rFonts w:asciiTheme="majorHAnsi" w:eastAsia="Times New Roman" w:hAnsiTheme="majorHAnsi" w:cs="Arial"/>
                <w:lang w:eastAsia="en-GB"/>
              </w:rPr>
              <w:t>According to NAO reports potential benefits specified in the government plan were exaggerated.</w:t>
            </w:r>
          </w:p>
        </w:tc>
        <w:tc>
          <w:tcPr>
            <w:tcW w:w="3543" w:type="dxa"/>
          </w:tcPr>
          <w:p w:rsidR="00C16686" w:rsidRPr="005A053A" w:rsidRDefault="00C16686" w:rsidP="00B03D73">
            <w:pPr>
              <w:pStyle w:val="NoSpacing"/>
              <w:rPr>
                <w:rFonts w:asciiTheme="majorHAnsi" w:hAnsiTheme="majorHAnsi"/>
              </w:rPr>
            </w:pPr>
            <w:r w:rsidRPr="005A053A">
              <w:rPr>
                <w:rFonts w:asciiTheme="majorHAnsi" w:hAnsiTheme="majorHAnsi"/>
              </w:rPr>
              <w:t xml:space="preserve">Very short deadlines </w:t>
            </w:r>
          </w:p>
          <w:p w:rsidR="00C16686" w:rsidRPr="005A053A" w:rsidRDefault="00C16686" w:rsidP="00B03D73">
            <w:pPr>
              <w:pStyle w:val="NoSpacing"/>
              <w:rPr>
                <w:rFonts w:asciiTheme="majorHAnsi" w:hAnsiTheme="majorHAnsi"/>
              </w:rPr>
            </w:pPr>
            <w:r w:rsidRPr="005A053A">
              <w:rPr>
                <w:rFonts w:asciiTheme="majorHAnsi" w:hAnsiTheme="majorHAnsi"/>
              </w:rPr>
              <w:t>No training for staff</w:t>
            </w:r>
          </w:p>
          <w:p w:rsidR="00C16686" w:rsidRPr="005A053A" w:rsidRDefault="00C16686" w:rsidP="00B03D73">
            <w:pPr>
              <w:pStyle w:val="NoSpacing"/>
              <w:rPr>
                <w:rFonts w:asciiTheme="majorHAnsi" w:hAnsiTheme="majorHAnsi"/>
              </w:rPr>
            </w:pPr>
            <w:r w:rsidRPr="005A053A">
              <w:rPr>
                <w:rFonts w:asciiTheme="majorHAnsi" w:hAnsiTheme="majorHAnsi"/>
              </w:rPr>
              <w:t>Job cuts i.e. less capacity</w:t>
            </w:r>
          </w:p>
          <w:p w:rsidR="00AF3A6A" w:rsidRPr="005A053A" w:rsidRDefault="00C16686" w:rsidP="00B03D73">
            <w:pPr>
              <w:pStyle w:val="NoSpacing"/>
              <w:rPr>
                <w:rFonts w:asciiTheme="majorHAnsi" w:hAnsiTheme="majorHAnsi"/>
              </w:rPr>
            </w:pPr>
            <w:r w:rsidRPr="005A053A">
              <w:rPr>
                <w:rFonts w:asciiTheme="majorHAnsi" w:hAnsiTheme="majorHAnsi"/>
              </w:rPr>
              <w:t>No clear guidelines for implementation</w:t>
            </w:r>
          </w:p>
        </w:tc>
      </w:tr>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t>4</w:t>
            </w:r>
          </w:p>
        </w:tc>
        <w:tc>
          <w:tcPr>
            <w:tcW w:w="2835" w:type="dxa"/>
          </w:tcPr>
          <w:p w:rsidR="005F0A75" w:rsidRPr="005A053A" w:rsidRDefault="005F0A75" w:rsidP="00B03D73">
            <w:pPr>
              <w:pStyle w:val="NoSpacing"/>
              <w:rPr>
                <w:rFonts w:asciiTheme="majorHAnsi" w:hAnsiTheme="majorHAnsi"/>
              </w:rPr>
            </w:pPr>
            <w:r w:rsidRPr="005A053A">
              <w:rPr>
                <w:rFonts w:asciiTheme="majorHAnsi" w:eastAsia="Times New Roman" w:hAnsiTheme="majorHAnsi" w:cs="Arial"/>
                <w:lang w:eastAsia="en-GB"/>
              </w:rPr>
              <w:t>The services provided are overly customised</w:t>
            </w:r>
          </w:p>
        </w:tc>
        <w:tc>
          <w:tcPr>
            <w:tcW w:w="2835" w:type="dxa"/>
          </w:tcPr>
          <w:p w:rsidR="005F0A75" w:rsidRPr="00C830D8" w:rsidRDefault="005F0A75" w:rsidP="00EC3157">
            <w:pPr>
              <w:pStyle w:val="NoSpacing"/>
              <w:rPr>
                <w:rFonts w:asciiTheme="majorHAnsi" w:hAnsiTheme="majorHAnsi"/>
                <w:b/>
              </w:rPr>
            </w:pPr>
            <w:r w:rsidRPr="00C830D8">
              <w:rPr>
                <w:rFonts w:asciiTheme="majorHAnsi" w:eastAsia="Times New Roman" w:hAnsiTheme="majorHAnsi" w:cs="Arial"/>
                <w:b/>
                <w:lang w:eastAsia="en-GB"/>
              </w:rPr>
              <w:t xml:space="preserve">True. It is an inevitable consequence of running services for a complex </w:t>
            </w:r>
            <w:r w:rsidR="007B245D" w:rsidRPr="00C830D8">
              <w:rPr>
                <w:rFonts w:asciiTheme="majorHAnsi" w:eastAsia="Times New Roman" w:hAnsiTheme="majorHAnsi" w:cs="Arial"/>
                <w:b/>
                <w:lang w:eastAsia="en-GB"/>
              </w:rPr>
              <w:t>and diverse cohort of customers and it saves money</w:t>
            </w:r>
          </w:p>
        </w:tc>
        <w:tc>
          <w:tcPr>
            <w:tcW w:w="3543" w:type="dxa"/>
          </w:tcPr>
          <w:p w:rsidR="005F0A75" w:rsidRPr="00C830D8" w:rsidRDefault="005F0A75" w:rsidP="00EC3157">
            <w:pPr>
              <w:pStyle w:val="NoSpacing"/>
              <w:rPr>
                <w:rFonts w:asciiTheme="majorHAnsi" w:hAnsiTheme="majorHAnsi"/>
                <w:b/>
              </w:rPr>
            </w:pPr>
            <w:r w:rsidRPr="00C830D8">
              <w:rPr>
                <w:rFonts w:asciiTheme="majorHAnsi" w:eastAsia="Times New Roman" w:hAnsiTheme="majorHAnsi" w:cs="Arial"/>
                <w:b/>
                <w:lang w:eastAsia="en-GB"/>
              </w:rPr>
              <w:t>Such over-customisation</w:t>
            </w:r>
            <w:r w:rsidR="00EC3157">
              <w:rPr>
                <w:rFonts w:asciiTheme="majorHAnsi" w:eastAsia="Times New Roman" w:hAnsiTheme="majorHAnsi" w:cs="Arial"/>
                <w:b/>
                <w:lang w:eastAsia="en-GB"/>
              </w:rPr>
              <w:t>,</w:t>
            </w:r>
            <w:r w:rsidRPr="00C830D8">
              <w:rPr>
                <w:rFonts w:asciiTheme="majorHAnsi" w:eastAsia="Times New Roman" w:hAnsiTheme="majorHAnsi" w:cs="Arial"/>
                <w:b/>
                <w:lang w:eastAsia="en-GB"/>
              </w:rPr>
              <w:t xml:space="preserve"> though</w:t>
            </w:r>
            <w:r w:rsidR="00EC3157">
              <w:rPr>
                <w:rFonts w:asciiTheme="majorHAnsi" w:eastAsia="Times New Roman" w:hAnsiTheme="majorHAnsi" w:cs="Arial"/>
                <w:b/>
                <w:lang w:eastAsia="en-GB"/>
              </w:rPr>
              <w:t xml:space="preserve"> </w:t>
            </w:r>
            <w:r w:rsidRPr="00C830D8">
              <w:rPr>
                <w:rFonts w:asciiTheme="majorHAnsi" w:eastAsia="Times New Roman" w:hAnsiTheme="majorHAnsi" w:cs="Arial"/>
                <w:b/>
                <w:lang w:eastAsia="en-GB"/>
              </w:rPr>
              <w:t xml:space="preserve"> contrary to the vision stipulated in the government plan</w:t>
            </w:r>
            <w:r w:rsidR="00EC3157">
              <w:rPr>
                <w:rFonts w:asciiTheme="majorHAnsi" w:eastAsia="Times New Roman" w:hAnsiTheme="majorHAnsi" w:cs="Arial"/>
                <w:b/>
                <w:lang w:eastAsia="en-GB"/>
              </w:rPr>
              <w:t xml:space="preserve">, </w:t>
            </w:r>
            <w:r w:rsidRPr="00C830D8">
              <w:rPr>
                <w:rFonts w:asciiTheme="majorHAnsi" w:eastAsia="Times New Roman" w:hAnsiTheme="majorHAnsi" w:cs="Arial"/>
                <w:b/>
                <w:lang w:eastAsia="en-GB"/>
              </w:rPr>
              <w:t xml:space="preserve"> saves money i.e. 15-20% annually - as experience of DECC shows.</w:t>
            </w:r>
          </w:p>
        </w:tc>
      </w:tr>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t>5</w:t>
            </w:r>
          </w:p>
        </w:tc>
        <w:tc>
          <w:tcPr>
            <w:tcW w:w="2835" w:type="dxa"/>
          </w:tcPr>
          <w:p w:rsidR="005F0A75" w:rsidRPr="005A053A" w:rsidRDefault="005F0A75" w:rsidP="00B03D73">
            <w:pPr>
              <w:pStyle w:val="NoSpacing"/>
              <w:rPr>
                <w:rFonts w:asciiTheme="majorHAnsi" w:hAnsiTheme="majorHAnsi"/>
              </w:rPr>
            </w:pPr>
            <w:r w:rsidRPr="005A053A">
              <w:rPr>
                <w:rFonts w:asciiTheme="majorHAnsi" w:hAnsiTheme="majorHAnsi"/>
              </w:rPr>
              <w:t>The software systems used in the Centres have added complexity and cost’</w:t>
            </w:r>
          </w:p>
        </w:tc>
        <w:tc>
          <w:tcPr>
            <w:tcW w:w="2835" w:type="dxa"/>
          </w:tcPr>
          <w:p w:rsidR="005F0A75" w:rsidRPr="00C830D8" w:rsidRDefault="005F0A75" w:rsidP="00B03D73">
            <w:pPr>
              <w:pStyle w:val="NoSpacing"/>
              <w:rPr>
                <w:rFonts w:asciiTheme="majorHAnsi" w:eastAsia="Times New Roman" w:hAnsiTheme="majorHAnsi" w:cs="Arial"/>
                <w:b/>
                <w:lang w:eastAsia="en-GB"/>
              </w:rPr>
            </w:pPr>
            <w:r w:rsidRPr="00C830D8">
              <w:rPr>
                <w:rFonts w:asciiTheme="majorHAnsi" w:eastAsia="Times New Roman" w:hAnsiTheme="majorHAnsi" w:cs="Arial"/>
                <w:b/>
                <w:lang w:eastAsia="en-GB"/>
              </w:rPr>
              <w:t>True and false. As above, the added complexity does not automatically add cost.</w:t>
            </w:r>
          </w:p>
          <w:p w:rsidR="005F0A75" w:rsidRPr="00C830D8" w:rsidRDefault="005F0A75" w:rsidP="00B03D73">
            <w:pPr>
              <w:pStyle w:val="NoSpacing"/>
              <w:rPr>
                <w:rFonts w:asciiTheme="majorHAnsi" w:hAnsiTheme="majorHAnsi"/>
                <w:b/>
              </w:rPr>
            </w:pPr>
          </w:p>
        </w:tc>
        <w:tc>
          <w:tcPr>
            <w:tcW w:w="3543" w:type="dxa"/>
          </w:tcPr>
          <w:p w:rsidR="005F0A75" w:rsidRPr="005A053A" w:rsidRDefault="003A25BC" w:rsidP="00B03D73">
            <w:pPr>
              <w:pStyle w:val="NoSpacing"/>
              <w:rPr>
                <w:rFonts w:asciiTheme="majorHAnsi" w:hAnsiTheme="majorHAnsi"/>
              </w:rPr>
            </w:pPr>
            <w:r w:rsidRPr="005A053A">
              <w:rPr>
                <w:rFonts w:asciiTheme="majorHAnsi" w:hAnsiTheme="majorHAnsi"/>
              </w:rPr>
              <w:lastRenderedPageBreak/>
              <w:t>Complexity saves money: as above.</w:t>
            </w:r>
          </w:p>
        </w:tc>
      </w:tr>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lastRenderedPageBreak/>
              <w:t>6</w:t>
            </w:r>
          </w:p>
        </w:tc>
        <w:tc>
          <w:tcPr>
            <w:tcW w:w="2835" w:type="dxa"/>
          </w:tcPr>
          <w:p w:rsidR="005F0A75" w:rsidRPr="005A053A" w:rsidRDefault="005F0A75" w:rsidP="00B03D73">
            <w:pPr>
              <w:pStyle w:val="NoSpacing"/>
              <w:rPr>
                <w:rFonts w:asciiTheme="majorHAnsi" w:hAnsiTheme="majorHAnsi"/>
              </w:rPr>
            </w:pPr>
            <w:r w:rsidRPr="005A053A">
              <w:rPr>
                <w:rFonts w:asciiTheme="majorHAnsi" w:eastAsia="Times New Roman" w:hAnsiTheme="majorHAnsi" w:cs="Arial"/>
                <w:lang w:eastAsia="en-GB"/>
              </w:rPr>
              <w:t>The Cabinet Office and Civil Service Steering Board could have done more to ensure shared services were implemented appropriately’.</w:t>
            </w:r>
          </w:p>
        </w:tc>
        <w:tc>
          <w:tcPr>
            <w:tcW w:w="2835" w:type="dxa"/>
          </w:tcPr>
          <w:p w:rsidR="005F0A75" w:rsidRPr="00C830D8" w:rsidRDefault="005F0A75" w:rsidP="00B03D73">
            <w:pPr>
              <w:pStyle w:val="NoSpacing"/>
              <w:rPr>
                <w:rFonts w:asciiTheme="majorHAnsi" w:eastAsia="Times New Roman" w:hAnsiTheme="majorHAnsi" w:cs="Arial"/>
                <w:b/>
                <w:lang w:eastAsia="en-GB"/>
              </w:rPr>
            </w:pPr>
            <w:r w:rsidRPr="00C830D8">
              <w:rPr>
                <w:rFonts w:asciiTheme="majorHAnsi" w:eastAsia="Times New Roman" w:hAnsiTheme="majorHAnsi" w:cs="Arial"/>
                <w:b/>
                <w:lang w:eastAsia="en-GB"/>
              </w:rPr>
              <w:t xml:space="preserve">True but not necessary. Evidence from various departments shows that most problems resulted from poorly designed policy, little consultation with experts from within the departments, and little time given to departments to seek appropriate solutions to their internal issues (if there were any). </w:t>
            </w:r>
          </w:p>
          <w:p w:rsidR="005F0A75" w:rsidRPr="00C830D8" w:rsidRDefault="005F0A75" w:rsidP="00B03D73">
            <w:pPr>
              <w:pStyle w:val="NoSpacing"/>
              <w:rPr>
                <w:rFonts w:asciiTheme="majorHAnsi" w:hAnsiTheme="majorHAnsi"/>
                <w:b/>
              </w:rPr>
            </w:pPr>
          </w:p>
        </w:tc>
        <w:tc>
          <w:tcPr>
            <w:tcW w:w="3543" w:type="dxa"/>
          </w:tcPr>
          <w:p w:rsidR="00796618" w:rsidRPr="005A053A" w:rsidRDefault="00796618" w:rsidP="00B03D73">
            <w:pPr>
              <w:pStyle w:val="NoSpacing"/>
              <w:rPr>
                <w:rFonts w:asciiTheme="majorHAnsi" w:hAnsiTheme="majorHAnsi"/>
              </w:rPr>
            </w:pPr>
            <w:r w:rsidRPr="005A053A">
              <w:rPr>
                <w:rFonts w:asciiTheme="majorHAnsi" w:hAnsiTheme="majorHAnsi"/>
              </w:rPr>
              <w:t xml:space="preserve">Better guidelines could have been provided. Better consultation with department and engagement with in-house experts who understand the nuances of specific services should have been facilitated </w:t>
            </w:r>
          </w:p>
          <w:p w:rsidR="00796618" w:rsidRPr="005A053A" w:rsidRDefault="00796618" w:rsidP="00B03D73">
            <w:pPr>
              <w:pStyle w:val="NoSpacing"/>
              <w:rPr>
                <w:rFonts w:asciiTheme="majorHAnsi" w:hAnsiTheme="majorHAnsi"/>
              </w:rPr>
            </w:pPr>
            <w:r w:rsidRPr="005A053A">
              <w:rPr>
                <w:rFonts w:asciiTheme="majorHAnsi" w:hAnsiTheme="majorHAnsi"/>
              </w:rPr>
              <w:t xml:space="preserve">Decision-making power over implementation and spending should be shared with departments – not taken away from them. </w:t>
            </w:r>
          </w:p>
          <w:p w:rsidR="00796618" w:rsidRPr="005A053A" w:rsidRDefault="00796618" w:rsidP="00B03D73">
            <w:pPr>
              <w:pStyle w:val="NoSpacing"/>
              <w:rPr>
                <w:rFonts w:asciiTheme="majorHAnsi" w:hAnsiTheme="majorHAnsi"/>
              </w:rPr>
            </w:pPr>
          </w:p>
        </w:tc>
      </w:tr>
      <w:tr w:rsidR="005F0A75" w:rsidRPr="005A053A" w:rsidTr="004219E9">
        <w:tc>
          <w:tcPr>
            <w:tcW w:w="534" w:type="dxa"/>
          </w:tcPr>
          <w:p w:rsidR="005F0A75" w:rsidRPr="005A053A" w:rsidRDefault="005F0A75" w:rsidP="00B03D73">
            <w:pPr>
              <w:pStyle w:val="NoSpacing"/>
              <w:rPr>
                <w:rFonts w:asciiTheme="majorHAnsi" w:hAnsiTheme="majorHAnsi"/>
              </w:rPr>
            </w:pPr>
            <w:r w:rsidRPr="005A053A">
              <w:rPr>
                <w:rFonts w:asciiTheme="majorHAnsi" w:hAnsiTheme="majorHAnsi"/>
              </w:rPr>
              <w:t>7</w:t>
            </w:r>
          </w:p>
        </w:tc>
        <w:tc>
          <w:tcPr>
            <w:tcW w:w="2835" w:type="dxa"/>
          </w:tcPr>
          <w:p w:rsidR="005F0A75" w:rsidRPr="005A053A" w:rsidRDefault="005F0A75" w:rsidP="00B03D73">
            <w:pPr>
              <w:pStyle w:val="NoSpacing"/>
              <w:rPr>
                <w:rFonts w:asciiTheme="majorHAnsi" w:eastAsia="Times New Roman" w:hAnsiTheme="majorHAnsi" w:cs="Arial"/>
                <w:lang w:eastAsia="en-GB"/>
              </w:rPr>
            </w:pPr>
            <w:r w:rsidRPr="005A053A">
              <w:rPr>
                <w:rFonts w:asciiTheme="majorHAnsi" w:eastAsia="Times New Roman" w:hAnsiTheme="majorHAnsi" w:cs="Arial"/>
                <w:lang w:eastAsia="en-GB"/>
              </w:rPr>
              <w:t xml:space="preserve">Departments have struggled to fully roll-out shared services across all their business units and arm’s-length bodies. </w:t>
            </w:r>
          </w:p>
          <w:p w:rsidR="005F0A75" w:rsidRPr="005A053A" w:rsidRDefault="005F0A75" w:rsidP="00B03D73">
            <w:pPr>
              <w:pStyle w:val="NoSpacing"/>
              <w:rPr>
                <w:rFonts w:asciiTheme="majorHAnsi" w:eastAsia="Times New Roman" w:hAnsiTheme="majorHAnsi" w:cs="Arial"/>
                <w:lang w:eastAsia="en-GB"/>
              </w:rPr>
            </w:pPr>
          </w:p>
        </w:tc>
        <w:tc>
          <w:tcPr>
            <w:tcW w:w="2835" w:type="dxa"/>
          </w:tcPr>
          <w:p w:rsidR="005F0A75" w:rsidRPr="00C17878" w:rsidRDefault="005F0A75" w:rsidP="00B03D73">
            <w:pPr>
              <w:pStyle w:val="NoSpacing"/>
              <w:rPr>
                <w:rFonts w:asciiTheme="majorHAnsi" w:eastAsia="Times New Roman" w:hAnsiTheme="majorHAnsi" w:cs="Arial"/>
                <w:lang w:eastAsia="en-GB"/>
              </w:rPr>
            </w:pPr>
            <w:r w:rsidRPr="00C17878">
              <w:rPr>
                <w:rFonts w:asciiTheme="majorHAnsi" w:eastAsia="Times New Roman" w:hAnsiTheme="majorHAnsi" w:cs="Arial"/>
                <w:lang w:eastAsia="en-GB"/>
              </w:rPr>
              <w:t xml:space="preserve">True but not necessary. </w:t>
            </w:r>
          </w:p>
        </w:tc>
        <w:tc>
          <w:tcPr>
            <w:tcW w:w="3543" w:type="dxa"/>
          </w:tcPr>
          <w:p w:rsidR="00FE74F2" w:rsidRPr="00C17878" w:rsidRDefault="00FE74F2" w:rsidP="00B03D73">
            <w:pPr>
              <w:pStyle w:val="NoSpacing"/>
              <w:rPr>
                <w:rFonts w:asciiTheme="majorHAnsi" w:eastAsia="Times New Roman" w:hAnsiTheme="majorHAnsi" w:cs="Arial"/>
                <w:lang w:eastAsia="en-GB"/>
              </w:rPr>
            </w:pPr>
            <w:r w:rsidRPr="00C17878">
              <w:rPr>
                <w:rFonts w:asciiTheme="majorHAnsi" w:eastAsia="Times New Roman" w:hAnsiTheme="majorHAnsi" w:cs="Arial"/>
                <w:lang w:eastAsia="en-GB"/>
              </w:rPr>
              <w:t>As above plus</w:t>
            </w:r>
            <w:r w:rsidR="00EC3157">
              <w:rPr>
                <w:rFonts w:asciiTheme="majorHAnsi" w:eastAsia="Times New Roman" w:hAnsiTheme="majorHAnsi" w:cs="Arial"/>
                <w:lang w:eastAsia="en-GB"/>
              </w:rPr>
              <w:t xml:space="preserve">, </w:t>
            </w:r>
            <w:r w:rsidRPr="00C17878">
              <w:rPr>
                <w:rFonts w:asciiTheme="majorHAnsi" w:eastAsia="Times New Roman" w:hAnsiTheme="majorHAnsi" w:cs="Arial"/>
                <w:lang w:eastAsia="en-GB"/>
              </w:rPr>
              <w:t>there is no research to show that it is possible to ‘roll-out shared services across business units’ in a standardised manner nor there is evidence to show that such standardisation is beneficial. On the other hand, cases such as ATOS and their standardised fitness-for-work assessment process show how dangerous such systems can be.</w:t>
            </w:r>
          </w:p>
          <w:p w:rsidR="005F0A75" w:rsidRPr="005A053A" w:rsidRDefault="005F0A75" w:rsidP="00B03D73">
            <w:pPr>
              <w:pStyle w:val="NoSpacing"/>
              <w:rPr>
                <w:rFonts w:asciiTheme="majorHAnsi" w:hAnsiTheme="majorHAnsi"/>
              </w:rPr>
            </w:pPr>
          </w:p>
        </w:tc>
      </w:tr>
    </w:tbl>
    <w:p w:rsidR="002913D1" w:rsidRPr="00CA435D" w:rsidRDefault="002913D1" w:rsidP="00CA435D">
      <w:pPr>
        <w:pStyle w:val="Heading1"/>
        <w:numPr>
          <w:ilvl w:val="0"/>
          <w:numId w:val="35"/>
        </w:numPr>
        <w:rPr>
          <w:color w:val="000000" w:themeColor="text1"/>
          <w:sz w:val="24"/>
          <w:szCs w:val="24"/>
        </w:rPr>
      </w:pPr>
      <w:bookmarkStart w:id="2" w:name="_Toc382569406"/>
      <w:r w:rsidRPr="00CA435D">
        <w:rPr>
          <w:color w:val="000000" w:themeColor="text1"/>
          <w:sz w:val="24"/>
          <w:szCs w:val="24"/>
        </w:rPr>
        <w:t>Problems faced by individual departments</w:t>
      </w:r>
      <w:bookmarkEnd w:id="2"/>
      <w:r w:rsidRPr="00CA435D">
        <w:rPr>
          <w:color w:val="000000" w:themeColor="text1"/>
          <w:sz w:val="24"/>
          <w:szCs w:val="24"/>
        </w:rPr>
        <w:t xml:space="preserve"> </w:t>
      </w:r>
    </w:p>
    <w:p w:rsidR="00CA435D" w:rsidRDefault="00CA435D" w:rsidP="00B03D73">
      <w:pPr>
        <w:pStyle w:val="NoSpacing"/>
        <w:rPr>
          <w:rFonts w:asciiTheme="majorHAnsi" w:hAnsiTheme="majorHAnsi"/>
        </w:rPr>
      </w:pPr>
    </w:p>
    <w:p w:rsidR="002913D1" w:rsidRDefault="00B70AEA" w:rsidP="00B03D73">
      <w:pPr>
        <w:pStyle w:val="NoSpacing"/>
        <w:rPr>
          <w:rFonts w:asciiTheme="majorHAnsi" w:hAnsiTheme="majorHAnsi"/>
        </w:rPr>
      </w:pPr>
      <w:r>
        <w:rPr>
          <w:rFonts w:asciiTheme="majorHAnsi" w:hAnsiTheme="majorHAnsi"/>
        </w:rPr>
        <w:t>This section will highlight some of the problems faced by individual departments.  These include:</w:t>
      </w:r>
    </w:p>
    <w:p w:rsidR="00B70AEA" w:rsidRDefault="00B70AEA" w:rsidP="004E08F8">
      <w:pPr>
        <w:pStyle w:val="NoSpacing"/>
        <w:numPr>
          <w:ilvl w:val="0"/>
          <w:numId w:val="39"/>
        </w:numPr>
        <w:rPr>
          <w:rFonts w:asciiTheme="majorHAnsi" w:hAnsiTheme="majorHAnsi"/>
        </w:rPr>
      </w:pPr>
      <w:r>
        <w:rPr>
          <w:rFonts w:asciiTheme="majorHAnsi" w:hAnsiTheme="majorHAnsi"/>
        </w:rPr>
        <w:t>Department for Transport;</w:t>
      </w:r>
    </w:p>
    <w:p w:rsidR="00B70AEA" w:rsidRDefault="00B70AEA" w:rsidP="004E08F8">
      <w:pPr>
        <w:pStyle w:val="NoSpacing"/>
        <w:numPr>
          <w:ilvl w:val="0"/>
          <w:numId w:val="39"/>
        </w:numPr>
        <w:rPr>
          <w:rFonts w:asciiTheme="majorHAnsi" w:hAnsiTheme="majorHAnsi"/>
        </w:rPr>
      </w:pPr>
      <w:r>
        <w:rPr>
          <w:rFonts w:asciiTheme="majorHAnsi" w:hAnsiTheme="majorHAnsi"/>
        </w:rPr>
        <w:t>DWP;</w:t>
      </w:r>
    </w:p>
    <w:p w:rsidR="005474FF" w:rsidRDefault="00B70AEA" w:rsidP="004E08F8">
      <w:pPr>
        <w:pStyle w:val="NoSpacing"/>
        <w:numPr>
          <w:ilvl w:val="0"/>
          <w:numId w:val="39"/>
        </w:numPr>
        <w:rPr>
          <w:rFonts w:asciiTheme="majorHAnsi" w:hAnsiTheme="majorHAnsi"/>
        </w:rPr>
      </w:pPr>
      <w:r>
        <w:rPr>
          <w:rFonts w:asciiTheme="majorHAnsi" w:hAnsiTheme="majorHAnsi"/>
        </w:rPr>
        <w:t>NHS Scotland</w:t>
      </w:r>
      <w:r w:rsidR="005474FF">
        <w:rPr>
          <w:rFonts w:asciiTheme="majorHAnsi" w:hAnsiTheme="majorHAnsi"/>
        </w:rPr>
        <w:t>.</w:t>
      </w:r>
    </w:p>
    <w:p w:rsidR="00B70AEA" w:rsidRDefault="00B70AEA" w:rsidP="00B03D73">
      <w:pPr>
        <w:pStyle w:val="NoSpacing"/>
        <w:rPr>
          <w:rFonts w:asciiTheme="majorHAnsi" w:hAnsiTheme="majorHAnsi"/>
        </w:rPr>
      </w:pPr>
    </w:p>
    <w:p w:rsidR="004219E9" w:rsidRPr="004219E9" w:rsidRDefault="004219E9" w:rsidP="00B03D73">
      <w:pPr>
        <w:pStyle w:val="NoSpacing"/>
        <w:rPr>
          <w:rFonts w:asciiTheme="majorHAnsi" w:hAnsiTheme="majorHAnsi"/>
          <w:u w:val="single"/>
        </w:rPr>
      </w:pPr>
      <w:r w:rsidRPr="004219E9">
        <w:rPr>
          <w:rFonts w:asciiTheme="majorHAnsi" w:hAnsiTheme="majorHAnsi"/>
          <w:u w:val="single"/>
        </w:rPr>
        <w:t>Department for Transport</w:t>
      </w:r>
    </w:p>
    <w:p w:rsidR="004219E9" w:rsidRPr="00E9712F" w:rsidRDefault="004219E9" w:rsidP="004219E9">
      <w:pPr>
        <w:pStyle w:val="NoSpacing"/>
        <w:rPr>
          <w:rFonts w:asciiTheme="majorHAnsi" w:hAnsiTheme="majorHAnsi"/>
        </w:rPr>
      </w:pPr>
      <w:r w:rsidRPr="00E9712F">
        <w:rPr>
          <w:rFonts w:asciiTheme="majorHAnsi" w:hAnsiTheme="majorHAnsi"/>
        </w:rPr>
        <w:t xml:space="preserve">The Department for Transport (DFT) was one of the first government departments to implement the Shared Services Transformation Programme in April 2005 following an 11 month review which aimed to establish ‘an in-house centralised Shared  Services Centre in Swansea to provide the Department and its six executive agencies with support services for human resources, payroll, and finance’ </w:t>
      </w:r>
      <w:r w:rsidR="00CC160F">
        <w:rPr>
          <w:rStyle w:val="EndnoteReference"/>
          <w:rFonts w:asciiTheme="majorHAnsi" w:hAnsiTheme="majorHAnsi"/>
        </w:rPr>
        <w:endnoteReference w:id="13"/>
      </w:r>
      <w:r w:rsidRPr="00E9712F">
        <w:rPr>
          <w:rFonts w:asciiTheme="majorHAnsi" w:hAnsiTheme="majorHAnsi"/>
        </w:rPr>
        <w:t xml:space="preserve"> The Report concluded that ‘significant changes to the assumptions underpinning initial estimation of costs, inadequate contract management and poor initial implementation of the Programme have meant that the Programme as originally envisaged will not achieve value for money’ and would cost £81.1 million to the Department up to 2015. Furthermore, even if the Department ‘were to achieve additional savings of £50 million a year there would be a net benefit of £84.4 up to 2015, less any additional set-up costs’</w:t>
      </w:r>
      <w:r>
        <w:rPr>
          <w:rFonts w:asciiTheme="majorHAnsi" w:hAnsiTheme="majorHAnsi"/>
        </w:rPr>
        <w:t>,</w:t>
      </w:r>
      <w:r w:rsidRPr="00E9712F">
        <w:rPr>
          <w:rFonts w:asciiTheme="majorHAnsi" w:hAnsiTheme="majorHAnsi"/>
        </w:rPr>
        <w:t xml:space="preserve"> which would allow to break even by 2012-13 at the earliest. </w:t>
      </w:r>
    </w:p>
    <w:p w:rsidR="004219E9" w:rsidRDefault="004219E9" w:rsidP="004219E9">
      <w:pPr>
        <w:pStyle w:val="NoSpacing"/>
        <w:rPr>
          <w:rFonts w:asciiTheme="majorHAnsi" w:hAnsiTheme="majorHAnsi"/>
        </w:rPr>
      </w:pPr>
    </w:p>
    <w:p w:rsidR="004219E9" w:rsidRDefault="004219E9" w:rsidP="004219E9">
      <w:pPr>
        <w:pStyle w:val="NoSpacing"/>
        <w:rPr>
          <w:rFonts w:asciiTheme="majorHAnsi" w:hAnsiTheme="majorHAnsi"/>
        </w:rPr>
      </w:pPr>
      <w:r w:rsidRPr="00E9712F">
        <w:rPr>
          <w:rFonts w:asciiTheme="majorHAnsi" w:hAnsiTheme="majorHAnsi"/>
        </w:rPr>
        <w:t>The Report also highlighted that generally the plan was unrealistic and there were problems with</w:t>
      </w:r>
      <w:r>
        <w:rPr>
          <w:rFonts w:asciiTheme="majorHAnsi" w:hAnsiTheme="majorHAnsi"/>
        </w:rPr>
        <w:t>:</w:t>
      </w:r>
    </w:p>
    <w:p w:rsidR="004219E9" w:rsidRDefault="004219E9" w:rsidP="00CC160F">
      <w:pPr>
        <w:pStyle w:val="NoSpacing"/>
        <w:rPr>
          <w:rFonts w:asciiTheme="majorHAnsi" w:hAnsiTheme="majorHAnsi"/>
        </w:rPr>
      </w:pPr>
      <w:r w:rsidRPr="00E9712F">
        <w:rPr>
          <w:rFonts w:asciiTheme="majorHAnsi" w:hAnsiTheme="majorHAnsi"/>
        </w:rPr>
        <w:lastRenderedPageBreak/>
        <w:t>1</w:t>
      </w:r>
      <w:r w:rsidR="00CC160F">
        <w:rPr>
          <w:rFonts w:asciiTheme="majorHAnsi" w:hAnsiTheme="majorHAnsi"/>
        </w:rPr>
        <w:t>.</w:t>
      </w:r>
      <w:r w:rsidRPr="00E9712F">
        <w:rPr>
          <w:rFonts w:asciiTheme="majorHAnsi" w:hAnsiTheme="majorHAnsi"/>
        </w:rPr>
        <w:t xml:space="preserve"> </w:t>
      </w:r>
      <w:r w:rsidR="00CC160F">
        <w:rPr>
          <w:rFonts w:asciiTheme="majorHAnsi" w:hAnsiTheme="majorHAnsi"/>
        </w:rPr>
        <w:t>I</w:t>
      </w:r>
      <w:r w:rsidRPr="00E9712F">
        <w:rPr>
          <w:rFonts w:asciiTheme="majorHAnsi" w:hAnsiTheme="majorHAnsi"/>
        </w:rPr>
        <w:t>mplementation</w:t>
      </w:r>
      <w:r w:rsidR="00867A9A">
        <w:rPr>
          <w:rFonts w:asciiTheme="majorHAnsi" w:hAnsiTheme="majorHAnsi"/>
        </w:rPr>
        <w:t>;</w:t>
      </w:r>
      <w:r w:rsidRPr="00E9712F">
        <w:rPr>
          <w:rFonts w:asciiTheme="majorHAnsi" w:hAnsiTheme="majorHAnsi"/>
        </w:rPr>
        <w:t xml:space="preserve"> </w:t>
      </w:r>
    </w:p>
    <w:p w:rsidR="004219E9" w:rsidRDefault="004219E9" w:rsidP="00CC160F">
      <w:pPr>
        <w:pStyle w:val="NoSpacing"/>
        <w:rPr>
          <w:rFonts w:asciiTheme="majorHAnsi" w:hAnsiTheme="majorHAnsi"/>
        </w:rPr>
      </w:pPr>
      <w:r w:rsidRPr="00E9712F">
        <w:rPr>
          <w:rFonts w:asciiTheme="majorHAnsi" w:hAnsiTheme="majorHAnsi"/>
        </w:rPr>
        <w:t>2</w:t>
      </w:r>
      <w:r w:rsidR="00CC160F">
        <w:rPr>
          <w:rFonts w:asciiTheme="majorHAnsi" w:hAnsiTheme="majorHAnsi"/>
        </w:rPr>
        <w:t>.</w:t>
      </w:r>
      <w:r w:rsidRPr="00E9712F">
        <w:rPr>
          <w:rFonts w:asciiTheme="majorHAnsi" w:hAnsiTheme="majorHAnsi"/>
        </w:rPr>
        <w:t xml:space="preserve"> </w:t>
      </w:r>
      <w:r w:rsidR="00CC160F">
        <w:rPr>
          <w:rFonts w:asciiTheme="majorHAnsi" w:hAnsiTheme="majorHAnsi"/>
        </w:rPr>
        <w:t>M</w:t>
      </w:r>
      <w:r w:rsidRPr="00E9712F">
        <w:rPr>
          <w:rFonts w:asciiTheme="majorHAnsi" w:hAnsiTheme="majorHAnsi"/>
        </w:rPr>
        <w:t>anagement control of the private service supplier (IMB) which resulted in overpayments (£54</w:t>
      </w:r>
      <w:r>
        <w:rPr>
          <w:rFonts w:asciiTheme="majorHAnsi" w:hAnsiTheme="majorHAnsi"/>
        </w:rPr>
        <w:t xml:space="preserve"> million</w:t>
      </w:r>
      <w:r w:rsidRPr="00E9712F">
        <w:rPr>
          <w:rFonts w:asciiTheme="majorHAnsi" w:hAnsiTheme="majorHAnsi"/>
        </w:rPr>
        <w:t xml:space="preserve"> out of total £72 million to contractors by March 2008 alone), and</w:t>
      </w:r>
      <w:r w:rsidR="00867A9A">
        <w:rPr>
          <w:rFonts w:asciiTheme="majorHAnsi" w:hAnsiTheme="majorHAnsi"/>
        </w:rPr>
        <w:t>;</w:t>
      </w:r>
    </w:p>
    <w:p w:rsidR="004219E9" w:rsidRDefault="004219E9" w:rsidP="00CC160F">
      <w:pPr>
        <w:pStyle w:val="NoSpacing"/>
        <w:rPr>
          <w:rFonts w:asciiTheme="majorHAnsi" w:hAnsiTheme="majorHAnsi"/>
        </w:rPr>
      </w:pPr>
      <w:r w:rsidRPr="00E9712F">
        <w:rPr>
          <w:rFonts w:asciiTheme="majorHAnsi" w:hAnsiTheme="majorHAnsi"/>
        </w:rPr>
        <w:t>3</w:t>
      </w:r>
      <w:r w:rsidR="00CC160F">
        <w:rPr>
          <w:rFonts w:asciiTheme="majorHAnsi" w:hAnsiTheme="majorHAnsi"/>
        </w:rPr>
        <w:t>.</w:t>
      </w:r>
      <w:r w:rsidRPr="00E9712F">
        <w:rPr>
          <w:rFonts w:asciiTheme="majorHAnsi" w:hAnsiTheme="majorHAnsi"/>
        </w:rPr>
        <w:t xml:space="preserve"> </w:t>
      </w:r>
      <w:r w:rsidR="00CC160F">
        <w:rPr>
          <w:rFonts w:asciiTheme="majorHAnsi" w:hAnsiTheme="majorHAnsi"/>
        </w:rPr>
        <w:t>L</w:t>
      </w:r>
      <w:r w:rsidRPr="00E9712F">
        <w:rPr>
          <w:rFonts w:asciiTheme="majorHAnsi" w:hAnsiTheme="majorHAnsi"/>
        </w:rPr>
        <w:t>ack of clear specification of the new IT system needed</w:t>
      </w:r>
      <w:r w:rsidR="00CC160F">
        <w:rPr>
          <w:rFonts w:asciiTheme="majorHAnsi" w:hAnsiTheme="majorHAnsi"/>
        </w:rPr>
        <w:t xml:space="preserve">. </w:t>
      </w:r>
      <w:r w:rsidR="00CC160F">
        <w:rPr>
          <w:rStyle w:val="EndnoteReference"/>
          <w:rFonts w:asciiTheme="majorHAnsi" w:hAnsiTheme="majorHAnsi"/>
        </w:rPr>
        <w:endnoteReference w:id="14"/>
      </w:r>
      <w:r w:rsidRPr="00E9712F">
        <w:rPr>
          <w:rFonts w:asciiTheme="majorHAnsi" w:hAnsiTheme="majorHAnsi"/>
        </w:rPr>
        <w:t xml:space="preserve">  </w:t>
      </w:r>
    </w:p>
    <w:p w:rsidR="00867A9A" w:rsidRPr="00E9712F" w:rsidRDefault="00867A9A" w:rsidP="004219E9">
      <w:pPr>
        <w:pStyle w:val="NoSpacing"/>
        <w:rPr>
          <w:rFonts w:asciiTheme="majorHAnsi" w:hAnsiTheme="majorHAnsi"/>
        </w:rPr>
      </w:pPr>
    </w:p>
    <w:p w:rsidR="004219E9" w:rsidRPr="00E9712F" w:rsidRDefault="004219E9" w:rsidP="004219E9">
      <w:pPr>
        <w:pStyle w:val="NoSpacing"/>
        <w:rPr>
          <w:rFonts w:asciiTheme="majorHAnsi" w:hAnsiTheme="majorHAnsi"/>
        </w:rPr>
      </w:pPr>
      <w:r w:rsidRPr="00E9712F">
        <w:rPr>
          <w:rFonts w:asciiTheme="majorHAnsi" w:hAnsiTheme="majorHAnsi"/>
        </w:rPr>
        <w:t>By 2007, some of these problems were addressed and partially resolved by bringing in experienced civil servants i.e. experts in and from their particular industry, and contractors who helped with system transfer</w:t>
      </w:r>
      <w:r w:rsidR="00CC160F">
        <w:rPr>
          <w:rFonts w:asciiTheme="majorHAnsi" w:hAnsiTheme="majorHAnsi"/>
        </w:rPr>
        <w:t xml:space="preserve">. </w:t>
      </w:r>
      <w:r w:rsidR="00CC160F">
        <w:rPr>
          <w:rStyle w:val="EndnoteReference"/>
          <w:rFonts w:asciiTheme="majorHAnsi" w:hAnsiTheme="majorHAnsi"/>
        </w:rPr>
        <w:endnoteReference w:id="15"/>
      </w:r>
      <w:r w:rsidR="00CC160F">
        <w:rPr>
          <w:rFonts w:asciiTheme="majorHAnsi" w:hAnsiTheme="majorHAnsi"/>
        </w:rPr>
        <w:t xml:space="preserve"> </w:t>
      </w:r>
      <w:r w:rsidRPr="00E9712F">
        <w:rPr>
          <w:rFonts w:asciiTheme="majorHAnsi" w:hAnsiTheme="majorHAnsi"/>
        </w:rPr>
        <w:t>However, in 2008 the Programme was forecast to cost over £120 million against the gross saving of £40</w:t>
      </w:r>
      <w:r w:rsidR="000423A2">
        <w:rPr>
          <w:rFonts w:asciiTheme="majorHAnsi" w:hAnsiTheme="majorHAnsi"/>
        </w:rPr>
        <w:t>.1million</w:t>
      </w:r>
      <w:r w:rsidRPr="00E9712F">
        <w:rPr>
          <w:rFonts w:asciiTheme="majorHAnsi" w:hAnsiTheme="majorHAnsi"/>
        </w:rPr>
        <w:t xml:space="preserve"> to March 2015</w:t>
      </w:r>
      <w:r w:rsidR="000423A2">
        <w:rPr>
          <w:rFonts w:asciiTheme="majorHAnsi" w:hAnsiTheme="majorHAnsi"/>
        </w:rPr>
        <w:t>, resulting in a negative net present value of -£81.1 million</w:t>
      </w:r>
      <w:r w:rsidRPr="00E9712F">
        <w:rPr>
          <w:rFonts w:asciiTheme="majorHAnsi" w:hAnsiTheme="majorHAnsi"/>
        </w:rPr>
        <w:t>.</w:t>
      </w:r>
      <w:r w:rsidR="00867A9A">
        <w:rPr>
          <w:rFonts w:asciiTheme="majorHAnsi" w:hAnsiTheme="majorHAnsi"/>
        </w:rPr>
        <w:t xml:space="preserve">  By 2012, the losses were -£24 million.</w:t>
      </w:r>
    </w:p>
    <w:p w:rsidR="000423A2" w:rsidRDefault="000423A2" w:rsidP="00B03D73">
      <w:pPr>
        <w:pStyle w:val="NoSpacing"/>
        <w:rPr>
          <w:rFonts w:asciiTheme="majorHAnsi" w:hAnsiTheme="majorHAnsi"/>
        </w:rPr>
      </w:pPr>
    </w:p>
    <w:p w:rsidR="004219E9" w:rsidRPr="00867A9A" w:rsidRDefault="000423A2" w:rsidP="00B03D73">
      <w:pPr>
        <w:pStyle w:val="NoSpacing"/>
        <w:rPr>
          <w:rFonts w:asciiTheme="majorHAnsi" w:hAnsiTheme="majorHAnsi"/>
          <w:b/>
        </w:rPr>
      </w:pPr>
      <w:r w:rsidRPr="00867A9A">
        <w:rPr>
          <w:rFonts w:asciiTheme="majorHAnsi" w:hAnsiTheme="majorHAnsi"/>
          <w:b/>
        </w:rPr>
        <w:t xml:space="preserve">Table 3: </w:t>
      </w:r>
      <w:proofErr w:type="spellStart"/>
      <w:r w:rsidRPr="00867A9A">
        <w:rPr>
          <w:rFonts w:asciiTheme="majorHAnsi" w:hAnsiTheme="majorHAnsi"/>
          <w:b/>
        </w:rPr>
        <w:t>DfT</w:t>
      </w:r>
      <w:proofErr w:type="spellEnd"/>
      <w:r w:rsidRPr="00867A9A">
        <w:rPr>
          <w:rFonts w:asciiTheme="majorHAnsi" w:hAnsiTheme="majorHAnsi"/>
          <w:b/>
        </w:rPr>
        <w:t xml:space="preserve"> First Shared Service centre, expenditure and savings for period 2005-15</w:t>
      </w:r>
    </w:p>
    <w:p w:rsidR="004219E9" w:rsidRDefault="004219E9" w:rsidP="004219E9">
      <w:pPr>
        <w:pStyle w:val="NoSpacing"/>
        <w:rPr>
          <w:rFonts w:asciiTheme="majorHAnsi" w:hAnsiTheme="majorHAnsi"/>
          <w:u w:val="single"/>
        </w:rPr>
      </w:pPr>
    </w:p>
    <w:tbl>
      <w:tblPr>
        <w:tblStyle w:val="TableGrid"/>
        <w:tblW w:w="0" w:type="auto"/>
        <w:tblLook w:val="04A0" w:firstRow="1" w:lastRow="0" w:firstColumn="1" w:lastColumn="0" w:noHBand="0" w:noVBand="1"/>
      </w:tblPr>
      <w:tblGrid>
        <w:gridCol w:w="1809"/>
        <w:gridCol w:w="2268"/>
        <w:gridCol w:w="2127"/>
        <w:gridCol w:w="2551"/>
      </w:tblGrid>
      <w:tr w:rsidR="000423A2" w:rsidRPr="005A053A" w:rsidTr="000423A2">
        <w:tc>
          <w:tcPr>
            <w:tcW w:w="1809" w:type="dxa"/>
          </w:tcPr>
          <w:p w:rsidR="000423A2" w:rsidRDefault="000423A2" w:rsidP="00BE35B4">
            <w:pPr>
              <w:pStyle w:val="NoSpacing"/>
              <w:rPr>
                <w:rFonts w:asciiTheme="majorHAnsi" w:hAnsiTheme="majorHAnsi"/>
                <w:b/>
              </w:rPr>
            </w:pPr>
          </w:p>
        </w:tc>
        <w:tc>
          <w:tcPr>
            <w:tcW w:w="2268" w:type="dxa"/>
          </w:tcPr>
          <w:p w:rsidR="000423A2" w:rsidRPr="00C830D8" w:rsidRDefault="000423A2" w:rsidP="00BE35B4">
            <w:pPr>
              <w:pStyle w:val="NoSpacing"/>
              <w:rPr>
                <w:rFonts w:asciiTheme="majorHAnsi" w:hAnsiTheme="majorHAnsi"/>
                <w:b/>
              </w:rPr>
            </w:pPr>
            <w:r w:rsidRPr="00C830D8">
              <w:rPr>
                <w:rFonts w:asciiTheme="majorHAnsi" w:hAnsiTheme="majorHAnsi"/>
                <w:b/>
              </w:rPr>
              <w:t>Expenditure</w:t>
            </w:r>
          </w:p>
        </w:tc>
        <w:tc>
          <w:tcPr>
            <w:tcW w:w="2127" w:type="dxa"/>
          </w:tcPr>
          <w:p w:rsidR="000423A2" w:rsidRPr="00C830D8" w:rsidRDefault="000423A2" w:rsidP="00BE35B4">
            <w:pPr>
              <w:pStyle w:val="NoSpacing"/>
              <w:rPr>
                <w:rFonts w:asciiTheme="majorHAnsi" w:hAnsiTheme="majorHAnsi"/>
                <w:b/>
              </w:rPr>
            </w:pPr>
            <w:r w:rsidRPr="00C830D8">
              <w:rPr>
                <w:rFonts w:asciiTheme="majorHAnsi" w:hAnsiTheme="majorHAnsi"/>
                <w:b/>
              </w:rPr>
              <w:t>Savings</w:t>
            </w:r>
          </w:p>
        </w:tc>
        <w:tc>
          <w:tcPr>
            <w:tcW w:w="2551" w:type="dxa"/>
          </w:tcPr>
          <w:p w:rsidR="000423A2" w:rsidRPr="00C830D8" w:rsidRDefault="000423A2" w:rsidP="00261AA7">
            <w:pPr>
              <w:pStyle w:val="NoSpacing"/>
              <w:rPr>
                <w:rFonts w:asciiTheme="majorHAnsi" w:hAnsiTheme="majorHAnsi"/>
                <w:b/>
              </w:rPr>
            </w:pPr>
            <w:r w:rsidRPr="00C830D8">
              <w:rPr>
                <w:rFonts w:asciiTheme="majorHAnsi" w:hAnsiTheme="majorHAnsi"/>
                <w:b/>
              </w:rPr>
              <w:t xml:space="preserve">Net </w:t>
            </w:r>
            <w:r>
              <w:rPr>
                <w:rFonts w:asciiTheme="majorHAnsi" w:hAnsiTheme="majorHAnsi"/>
                <w:b/>
              </w:rPr>
              <w:t>present value</w:t>
            </w:r>
          </w:p>
        </w:tc>
      </w:tr>
      <w:tr w:rsidR="000423A2" w:rsidRPr="005A053A" w:rsidTr="000423A2">
        <w:tc>
          <w:tcPr>
            <w:tcW w:w="1809" w:type="dxa"/>
          </w:tcPr>
          <w:p w:rsidR="000423A2" w:rsidRDefault="000423A2" w:rsidP="00261AA7">
            <w:pPr>
              <w:pStyle w:val="NoSpacing"/>
              <w:rPr>
                <w:rFonts w:asciiTheme="majorHAnsi" w:hAnsiTheme="majorHAnsi"/>
              </w:rPr>
            </w:pPr>
            <w:r>
              <w:rPr>
                <w:rFonts w:asciiTheme="majorHAnsi" w:hAnsiTheme="majorHAnsi"/>
              </w:rPr>
              <w:t>Business Case in 2005</w:t>
            </w:r>
          </w:p>
        </w:tc>
        <w:tc>
          <w:tcPr>
            <w:tcW w:w="2268" w:type="dxa"/>
          </w:tcPr>
          <w:p w:rsidR="000423A2" w:rsidRPr="005A053A" w:rsidRDefault="000423A2" w:rsidP="00261AA7">
            <w:pPr>
              <w:pStyle w:val="NoSpacing"/>
              <w:rPr>
                <w:rFonts w:asciiTheme="majorHAnsi" w:hAnsiTheme="majorHAnsi"/>
              </w:rPr>
            </w:pPr>
            <w:r>
              <w:rPr>
                <w:rFonts w:asciiTheme="majorHAnsi" w:hAnsiTheme="majorHAnsi"/>
              </w:rPr>
              <w:t>£55.4 m</w:t>
            </w:r>
          </w:p>
        </w:tc>
        <w:tc>
          <w:tcPr>
            <w:tcW w:w="2127" w:type="dxa"/>
          </w:tcPr>
          <w:p w:rsidR="000423A2" w:rsidRPr="005A053A" w:rsidRDefault="000423A2" w:rsidP="00261AA7">
            <w:pPr>
              <w:pStyle w:val="NoSpacing"/>
              <w:rPr>
                <w:rFonts w:asciiTheme="majorHAnsi" w:hAnsiTheme="majorHAnsi"/>
              </w:rPr>
            </w:pPr>
            <w:r>
              <w:rPr>
                <w:rFonts w:asciiTheme="majorHAnsi" w:hAnsiTheme="majorHAnsi"/>
              </w:rPr>
              <w:t>£112.4</w:t>
            </w:r>
          </w:p>
        </w:tc>
        <w:tc>
          <w:tcPr>
            <w:tcW w:w="2551" w:type="dxa"/>
          </w:tcPr>
          <w:p w:rsidR="000423A2" w:rsidRPr="005A053A" w:rsidRDefault="000423A2" w:rsidP="00BE35B4">
            <w:pPr>
              <w:pStyle w:val="NoSpacing"/>
              <w:rPr>
                <w:rFonts w:asciiTheme="majorHAnsi" w:hAnsiTheme="majorHAnsi"/>
              </w:rPr>
            </w:pPr>
            <w:r>
              <w:rPr>
                <w:rFonts w:asciiTheme="majorHAnsi" w:hAnsiTheme="majorHAnsi"/>
              </w:rPr>
              <w:t>£57m</w:t>
            </w:r>
          </w:p>
        </w:tc>
      </w:tr>
      <w:tr w:rsidR="000423A2" w:rsidRPr="005A053A" w:rsidTr="000423A2">
        <w:tc>
          <w:tcPr>
            <w:tcW w:w="1809" w:type="dxa"/>
          </w:tcPr>
          <w:p w:rsidR="000423A2" w:rsidRDefault="000423A2" w:rsidP="00261AA7">
            <w:pPr>
              <w:pStyle w:val="NoSpacing"/>
              <w:rPr>
                <w:rFonts w:asciiTheme="majorHAnsi" w:hAnsiTheme="majorHAnsi"/>
              </w:rPr>
            </w:pPr>
            <w:r>
              <w:rPr>
                <w:rFonts w:asciiTheme="majorHAnsi" w:hAnsiTheme="majorHAnsi"/>
              </w:rPr>
              <w:t xml:space="preserve">Interim business case </w:t>
            </w:r>
          </w:p>
        </w:tc>
        <w:tc>
          <w:tcPr>
            <w:tcW w:w="2268" w:type="dxa"/>
          </w:tcPr>
          <w:p w:rsidR="000423A2" w:rsidRDefault="000423A2" w:rsidP="00BE35B4">
            <w:pPr>
              <w:pStyle w:val="NoSpacing"/>
              <w:rPr>
                <w:rFonts w:asciiTheme="majorHAnsi" w:hAnsiTheme="majorHAnsi"/>
              </w:rPr>
            </w:pPr>
            <w:r>
              <w:rPr>
                <w:rFonts w:asciiTheme="majorHAnsi" w:hAnsiTheme="majorHAnsi"/>
              </w:rPr>
              <w:t>£70.4 m</w:t>
            </w:r>
          </w:p>
        </w:tc>
        <w:tc>
          <w:tcPr>
            <w:tcW w:w="2127" w:type="dxa"/>
          </w:tcPr>
          <w:p w:rsidR="000423A2" w:rsidRDefault="000423A2" w:rsidP="00261AA7">
            <w:pPr>
              <w:pStyle w:val="NoSpacing"/>
              <w:rPr>
                <w:rFonts w:asciiTheme="majorHAnsi" w:hAnsiTheme="majorHAnsi"/>
              </w:rPr>
            </w:pPr>
            <w:r>
              <w:rPr>
                <w:rFonts w:asciiTheme="majorHAnsi" w:hAnsiTheme="majorHAnsi"/>
              </w:rPr>
              <w:t>£107.5</w:t>
            </w:r>
          </w:p>
        </w:tc>
        <w:tc>
          <w:tcPr>
            <w:tcW w:w="2551" w:type="dxa"/>
          </w:tcPr>
          <w:p w:rsidR="000423A2" w:rsidRPr="005A053A" w:rsidRDefault="000423A2" w:rsidP="00BE35B4">
            <w:pPr>
              <w:pStyle w:val="NoSpacing"/>
              <w:rPr>
                <w:rFonts w:asciiTheme="majorHAnsi" w:hAnsiTheme="majorHAnsi"/>
              </w:rPr>
            </w:pPr>
            <w:r>
              <w:rPr>
                <w:rFonts w:asciiTheme="majorHAnsi" w:hAnsiTheme="majorHAnsi"/>
              </w:rPr>
              <w:t>£37.1m</w:t>
            </w:r>
          </w:p>
        </w:tc>
      </w:tr>
      <w:tr w:rsidR="000423A2" w:rsidRPr="005A053A" w:rsidTr="000423A2">
        <w:tc>
          <w:tcPr>
            <w:tcW w:w="1809" w:type="dxa"/>
          </w:tcPr>
          <w:p w:rsidR="000423A2" w:rsidRDefault="000423A2" w:rsidP="00261AA7">
            <w:pPr>
              <w:pStyle w:val="NoSpacing"/>
              <w:rPr>
                <w:rFonts w:asciiTheme="majorHAnsi" w:hAnsiTheme="majorHAnsi"/>
              </w:rPr>
            </w:pPr>
            <w:r>
              <w:rPr>
                <w:rFonts w:asciiTheme="majorHAnsi" w:hAnsiTheme="majorHAnsi"/>
              </w:rPr>
              <w:t>March 2008</w:t>
            </w:r>
          </w:p>
          <w:p w:rsidR="000423A2" w:rsidRDefault="000423A2" w:rsidP="00261AA7">
            <w:pPr>
              <w:pStyle w:val="NoSpacing"/>
              <w:rPr>
                <w:rFonts w:asciiTheme="majorHAnsi" w:hAnsiTheme="majorHAnsi"/>
              </w:rPr>
            </w:pPr>
          </w:p>
        </w:tc>
        <w:tc>
          <w:tcPr>
            <w:tcW w:w="2268" w:type="dxa"/>
          </w:tcPr>
          <w:p w:rsidR="000423A2" w:rsidRDefault="000423A2" w:rsidP="00BE35B4">
            <w:pPr>
              <w:pStyle w:val="NoSpacing"/>
              <w:rPr>
                <w:rFonts w:asciiTheme="majorHAnsi" w:hAnsiTheme="majorHAnsi"/>
              </w:rPr>
            </w:pPr>
            <w:r>
              <w:rPr>
                <w:rFonts w:asciiTheme="majorHAnsi" w:hAnsiTheme="majorHAnsi"/>
              </w:rPr>
              <w:t>£121.2m</w:t>
            </w:r>
          </w:p>
        </w:tc>
        <w:tc>
          <w:tcPr>
            <w:tcW w:w="2127" w:type="dxa"/>
          </w:tcPr>
          <w:p w:rsidR="000423A2" w:rsidRDefault="000423A2" w:rsidP="00261AA7">
            <w:pPr>
              <w:pStyle w:val="NoSpacing"/>
              <w:rPr>
                <w:rFonts w:asciiTheme="majorHAnsi" w:hAnsiTheme="majorHAnsi"/>
              </w:rPr>
            </w:pPr>
            <w:r>
              <w:rPr>
                <w:rFonts w:asciiTheme="majorHAnsi" w:hAnsiTheme="majorHAnsi"/>
              </w:rPr>
              <w:t>£40.1</w:t>
            </w:r>
          </w:p>
        </w:tc>
        <w:tc>
          <w:tcPr>
            <w:tcW w:w="2551" w:type="dxa"/>
          </w:tcPr>
          <w:p w:rsidR="000423A2" w:rsidRPr="005A053A" w:rsidRDefault="000423A2" w:rsidP="00BE35B4">
            <w:pPr>
              <w:pStyle w:val="NoSpacing"/>
              <w:rPr>
                <w:rFonts w:asciiTheme="majorHAnsi" w:hAnsiTheme="majorHAnsi"/>
              </w:rPr>
            </w:pPr>
            <w:r>
              <w:rPr>
                <w:rFonts w:asciiTheme="majorHAnsi" w:hAnsiTheme="majorHAnsi"/>
              </w:rPr>
              <w:t>-£81.1m</w:t>
            </w:r>
          </w:p>
        </w:tc>
      </w:tr>
      <w:tr w:rsidR="000423A2" w:rsidRPr="005A053A" w:rsidTr="000423A2">
        <w:tc>
          <w:tcPr>
            <w:tcW w:w="1809" w:type="dxa"/>
          </w:tcPr>
          <w:p w:rsidR="000423A2" w:rsidRDefault="000423A2" w:rsidP="00261AA7">
            <w:pPr>
              <w:pStyle w:val="NoSpacing"/>
              <w:rPr>
                <w:rFonts w:asciiTheme="majorHAnsi" w:hAnsiTheme="majorHAnsi"/>
              </w:rPr>
            </w:pPr>
            <w:r>
              <w:rPr>
                <w:rFonts w:asciiTheme="majorHAnsi" w:hAnsiTheme="majorHAnsi"/>
              </w:rPr>
              <w:t>December 2012</w:t>
            </w:r>
          </w:p>
        </w:tc>
        <w:tc>
          <w:tcPr>
            <w:tcW w:w="2268" w:type="dxa"/>
          </w:tcPr>
          <w:p w:rsidR="000423A2" w:rsidRDefault="000423A2" w:rsidP="00BE35B4">
            <w:pPr>
              <w:pStyle w:val="NoSpacing"/>
              <w:rPr>
                <w:rFonts w:asciiTheme="majorHAnsi" w:hAnsiTheme="majorHAnsi"/>
              </w:rPr>
            </w:pPr>
            <w:r>
              <w:rPr>
                <w:rFonts w:asciiTheme="majorHAnsi" w:hAnsiTheme="majorHAnsi"/>
              </w:rPr>
              <w:t>£81 m</w:t>
            </w:r>
          </w:p>
        </w:tc>
        <w:tc>
          <w:tcPr>
            <w:tcW w:w="2127" w:type="dxa"/>
          </w:tcPr>
          <w:p w:rsidR="000423A2" w:rsidRDefault="000423A2" w:rsidP="00261AA7">
            <w:pPr>
              <w:pStyle w:val="NoSpacing"/>
              <w:rPr>
                <w:rFonts w:asciiTheme="majorHAnsi" w:hAnsiTheme="majorHAnsi"/>
              </w:rPr>
            </w:pPr>
            <w:r>
              <w:rPr>
                <w:rFonts w:asciiTheme="majorHAnsi" w:hAnsiTheme="majorHAnsi"/>
              </w:rPr>
              <w:t>£57 m</w:t>
            </w:r>
          </w:p>
        </w:tc>
        <w:tc>
          <w:tcPr>
            <w:tcW w:w="2551" w:type="dxa"/>
          </w:tcPr>
          <w:p w:rsidR="000423A2" w:rsidRDefault="000423A2" w:rsidP="00BE35B4">
            <w:pPr>
              <w:pStyle w:val="NoSpacing"/>
              <w:rPr>
                <w:rFonts w:asciiTheme="majorHAnsi" w:hAnsiTheme="majorHAnsi"/>
              </w:rPr>
            </w:pPr>
            <w:r>
              <w:rPr>
                <w:rFonts w:asciiTheme="majorHAnsi" w:hAnsiTheme="majorHAnsi"/>
              </w:rPr>
              <w:t>-£24m</w:t>
            </w:r>
          </w:p>
        </w:tc>
      </w:tr>
    </w:tbl>
    <w:p w:rsidR="004219E9" w:rsidRDefault="000423A2" w:rsidP="004219E9">
      <w:pPr>
        <w:pStyle w:val="NoSpacing"/>
        <w:rPr>
          <w:rFonts w:asciiTheme="majorHAnsi" w:hAnsiTheme="majorHAnsi"/>
        </w:rPr>
      </w:pPr>
      <w:r>
        <w:rPr>
          <w:rFonts w:asciiTheme="majorHAnsi" w:hAnsiTheme="majorHAnsi"/>
        </w:rPr>
        <w:t xml:space="preserve">Source: NAO Report </w:t>
      </w:r>
      <w:proofErr w:type="spellStart"/>
      <w:r>
        <w:rPr>
          <w:rFonts w:asciiTheme="majorHAnsi" w:hAnsiTheme="majorHAnsi"/>
        </w:rPr>
        <w:t>DfT</w:t>
      </w:r>
      <w:proofErr w:type="spellEnd"/>
      <w:r w:rsidR="001A0BF7">
        <w:rPr>
          <w:rFonts w:asciiTheme="majorHAnsi" w:hAnsiTheme="majorHAnsi"/>
        </w:rPr>
        <w:t xml:space="preserve"> 2008</w:t>
      </w:r>
    </w:p>
    <w:p w:rsidR="002913D1" w:rsidRDefault="002913D1" w:rsidP="00B03D73">
      <w:pPr>
        <w:pStyle w:val="NoSpacing"/>
        <w:rPr>
          <w:rFonts w:asciiTheme="majorHAnsi" w:hAnsiTheme="majorHAnsi"/>
        </w:rPr>
      </w:pPr>
    </w:p>
    <w:p w:rsidR="00B44174" w:rsidRDefault="000423A2" w:rsidP="00B44174">
      <w:pPr>
        <w:pStyle w:val="NoSpacing"/>
        <w:rPr>
          <w:rFonts w:asciiTheme="majorHAnsi" w:hAnsiTheme="majorHAnsi"/>
        </w:rPr>
      </w:pPr>
      <w:r>
        <w:rPr>
          <w:rFonts w:asciiTheme="majorHAnsi" w:hAnsiTheme="majorHAnsi"/>
        </w:rPr>
        <w:t xml:space="preserve">In April 2013, a second Shared Service Centre </w:t>
      </w:r>
      <w:r w:rsidR="001A0BF7">
        <w:rPr>
          <w:rFonts w:asciiTheme="majorHAnsi" w:hAnsiTheme="majorHAnsi"/>
        </w:rPr>
        <w:t>was</w:t>
      </w:r>
      <w:r>
        <w:rPr>
          <w:rFonts w:asciiTheme="majorHAnsi" w:hAnsiTheme="majorHAnsi"/>
        </w:rPr>
        <w:t xml:space="preserve"> planned, worth £2 billion. The contract was won by </w:t>
      </w:r>
      <w:proofErr w:type="spellStart"/>
      <w:r>
        <w:rPr>
          <w:rFonts w:asciiTheme="majorHAnsi" w:hAnsiTheme="majorHAnsi"/>
        </w:rPr>
        <w:t>Arvato</w:t>
      </w:r>
      <w:proofErr w:type="spellEnd"/>
      <w:r w:rsidR="00B44174">
        <w:rPr>
          <w:rFonts w:asciiTheme="majorHAnsi" w:hAnsiTheme="majorHAnsi"/>
        </w:rPr>
        <w:t xml:space="preserve"> and 75% of savings were expected to </w:t>
      </w:r>
      <w:r w:rsidR="00B44174" w:rsidRPr="005A053A">
        <w:rPr>
          <w:rFonts w:asciiTheme="majorHAnsi" w:hAnsiTheme="majorHAnsi"/>
          <w:bCs/>
        </w:rPr>
        <w:t>go to private sector</w:t>
      </w:r>
      <w:r w:rsidR="00B44174">
        <w:rPr>
          <w:rFonts w:asciiTheme="majorHAnsi" w:hAnsiTheme="majorHAnsi"/>
          <w:bCs/>
        </w:rPr>
        <w:t xml:space="preserve">. </w:t>
      </w:r>
      <w:r w:rsidR="00CC160F">
        <w:rPr>
          <w:rStyle w:val="EndnoteReference"/>
          <w:rFonts w:asciiTheme="majorHAnsi" w:hAnsiTheme="majorHAnsi"/>
          <w:bCs/>
        </w:rPr>
        <w:endnoteReference w:id="16"/>
      </w:r>
      <w:r w:rsidR="00CC160F">
        <w:rPr>
          <w:rFonts w:asciiTheme="majorHAnsi" w:hAnsiTheme="majorHAnsi"/>
          <w:bCs/>
        </w:rPr>
        <w:t xml:space="preserve">  </w:t>
      </w:r>
      <w:r w:rsidR="00B44174">
        <w:rPr>
          <w:rFonts w:asciiTheme="majorHAnsi" w:hAnsiTheme="majorHAnsi"/>
          <w:bCs/>
        </w:rPr>
        <w:t>However, s</w:t>
      </w:r>
      <w:r w:rsidR="00B44174" w:rsidRPr="005A053A">
        <w:rPr>
          <w:rFonts w:asciiTheme="majorHAnsi" w:hAnsiTheme="majorHAnsi"/>
        </w:rPr>
        <w:t xml:space="preserve">avings could be just £128 million </w:t>
      </w:r>
      <w:r w:rsidR="00B44174">
        <w:rPr>
          <w:rFonts w:asciiTheme="majorHAnsi" w:hAnsiTheme="majorHAnsi"/>
        </w:rPr>
        <w:t xml:space="preserve">and </w:t>
      </w:r>
      <w:r w:rsidR="00B44174" w:rsidRPr="005A053A">
        <w:rPr>
          <w:rFonts w:asciiTheme="majorHAnsi" w:hAnsiTheme="majorHAnsi"/>
        </w:rPr>
        <w:t xml:space="preserve">not the £400 million to £600 million quoted </w:t>
      </w:r>
      <w:r w:rsidR="00B44174">
        <w:rPr>
          <w:rFonts w:asciiTheme="majorHAnsi" w:hAnsiTheme="majorHAnsi"/>
        </w:rPr>
        <w:t xml:space="preserve">more </w:t>
      </w:r>
      <w:r w:rsidR="00B44174" w:rsidRPr="005A053A">
        <w:rPr>
          <w:rFonts w:asciiTheme="majorHAnsi" w:hAnsiTheme="majorHAnsi"/>
        </w:rPr>
        <w:t>frequently</w:t>
      </w:r>
      <w:r w:rsidR="00B44174">
        <w:rPr>
          <w:rFonts w:asciiTheme="majorHAnsi" w:hAnsiTheme="majorHAnsi"/>
        </w:rPr>
        <w:t>.</w:t>
      </w:r>
    </w:p>
    <w:p w:rsidR="00B44174" w:rsidRPr="005A053A" w:rsidRDefault="00B44174" w:rsidP="00B44174">
      <w:pPr>
        <w:pStyle w:val="NoSpacing"/>
        <w:rPr>
          <w:rFonts w:asciiTheme="majorHAnsi" w:hAnsiTheme="majorHAnsi"/>
          <w:bCs/>
        </w:rPr>
      </w:pPr>
      <w:r>
        <w:rPr>
          <w:rFonts w:asciiTheme="majorHAnsi" w:hAnsiTheme="majorHAnsi"/>
        </w:rPr>
        <w:t xml:space="preserve">In order to make savings of </w:t>
      </w:r>
      <w:r w:rsidRPr="005A053A">
        <w:rPr>
          <w:rFonts w:asciiTheme="majorHAnsi" w:hAnsiTheme="majorHAnsi"/>
        </w:rPr>
        <w:t>£300 million to £400 million per year the Cabinet Office “assumes that all ISSCs (independent shared service centres) and departments using them reach upper quartile performance across transactional and retained functions”.</w:t>
      </w:r>
      <w:r w:rsidR="00CC160F">
        <w:rPr>
          <w:rFonts w:asciiTheme="majorHAnsi" w:hAnsiTheme="majorHAnsi"/>
        </w:rPr>
        <w:t xml:space="preserve"> </w:t>
      </w:r>
      <w:r w:rsidR="00CC160F">
        <w:rPr>
          <w:rStyle w:val="EndnoteReference"/>
          <w:rFonts w:asciiTheme="majorHAnsi" w:hAnsiTheme="majorHAnsi"/>
        </w:rPr>
        <w:endnoteReference w:id="17"/>
      </w:r>
      <w:r w:rsidR="00CC160F">
        <w:rPr>
          <w:rFonts w:asciiTheme="majorHAnsi" w:hAnsiTheme="majorHAnsi"/>
        </w:rPr>
        <w:t xml:space="preserve">   </w:t>
      </w:r>
    </w:p>
    <w:p w:rsidR="000423A2" w:rsidRDefault="000423A2" w:rsidP="000423A2">
      <w:pPr>
        <w:pStyle w:val="NoSpacing"/>
        <w:rPr>
          <w:rFonts w:asciiTheme="majorHAnsi" w:hAnsiTheme="majorHAnsi"/>
          <w:bCs/>
        </w:rPr>
      </w:pPr>
    </w:p>
    <w:p w:rsidR="000423A2" w:rsidRPr="00B44174" w:rsidRDefault="000423A2" w:rsidP="000423A2">
      <w:pPr>
        <w:pStyle w:val="NoSpacing"/>
        <w:rPr>
          <w:rFonts w:asciiTheme="majorHAnsi" w:hAnsiTheme="majorHAnsi"/>
          <w:b/>
          <w:bCs/>
          <w:u w:val="single"/>
        </w:rPr>
      </w:pPr>
      <w:r w:rsidRPr="00B44174">
        <w:rPr>
          <w:rFonts w:asciiTheme="majorHAnsi" w:hAnsiTheme="majorHAnsi"/>
          <w:b/>
          <w:bCs/>
          <w:u w:val="single"/>
        </w:rPr>
        <w:t xml:space="preserve">Table 4: Second Shared Service </w:t>
      </w:r>
      <w:proofErr w:type="gramStart"/>
      <w:r w:rsidRPr="00B44174">
        <w:rPr>
          <w:rFonts w:asciiTheme="majorHAnsi" w:hAnsiTheme="majorHAnsi"/>
          <w:b/>
          <w:bCs/>
          <w:u w:val="single"/>
        </w:rPr>
        <w:t xml:space="preserve">Centre  </w:t>
      </w:r>
      <w:r w:rsidR="00CC160F">
        <w:rPr>
          <w:rFonts w:asciiTheme="majorHAnsi" w:hAnsiTheme="majorHAnsi"/>
          <w:b/>
          <w:bCs/>
          <w:u w:val="single"/>
        </w:rPr>
        <w:t>-</w:t>
      </w:r>
      <w:proofErr w:type="gramEnd"/>
      <w:r w:rsidR="00CC160F">
        <w:rPr>
          <w:rFonts w:asciiTheme="majorHAnsi" w:hAnsiTheme="majorHAnsi"/>
          <w:b/>
          <w:bCs/>
          <w:u w:val="single"/>
        </w:rPr>
        <w:t xml:space="preserve"> </w:t>
      </w:r>
      <w:r w:rsidRPr="00B44174">
        <w:rPr>
          <w:rFonts w:asciiTheme="majorHAnsi" w:hAnsiTheme="majorHAnsi"/>
          <w:b/>
          <w:bCs/>
          <w:u w:val="single"/>
        </w:rPr>
        <w:t>Seven years</w:t>
      </w:r>
    </w:p>
    <w:p w:rsidR="000423A2" w:rsidRDefault="000423A2" w:rsidP="000423A2">
      <w:pPr>
        <w:pStyle w:val="NoSpacing"/>
        <w:rPr>
          <w:rFonts w:asciiTheme="majorHAnsi" w:hAnsiTheme="majorHAnsi"/>
          <w:bCs/>
        </w:rPr>
      </w:pPr>
    </w:p>
    <w:tbl>
      <w:tblPr>
        <w:tblStyle w:val="TableGrid"/>
        <w:tblW w:w="0" w:type="auto"/>
        <w:tblLook w:val="04A0" w:firstRow="1" w:lastRow="0" w:firstColumn="1" w:lastColumn="0" w:noHBand="0" w:noVBand="1"/>
      </w:tblPr>
      <w:tblGrid>
        <w:gridCol w:w="2310"/>
        <w:gridCol w:w="2310"/>
        <w:gridCol w:w="2311"/>
        <w:gridCol w:w="2311"/>
      </w:tblGrid>
      <w:tr w:rsidR="000423A2" w:rsidTr="000423A2">
        <w:tc>
          <w:tcPr>
            <w:tcW w:w="2310" w:type="dxa"/>
          </w:tcPr>
          <w:p w:rsidR="000423A2" w:rsidRDefault="00B44174" w:rsidP="000423A2">
            <w:pPr>
              <w:pStyle w:val="NoSpacing"/>
              <w:rPr>
                <w:rFonts w:asciiTheme="majorHAnsi" w:hAnsiTheme="majorHAnsi"/>
                <w:bCs/>
              </w:rPr>
            </w:pPr>
            <w:r>
              <w:rPr>
                <w:rFonts w:asciiTheme="majorHAnsi" w:hAnsiTheme="majorHAnsi"/>
                <w:bCs/>
              </w:rPr>
              <w:t>2013-20</w:t>
            </w:r>
          </w:p>
        </w:tc>
        <w:tc>
          <w:tcPr>
            <w:tcW w:w="2310" w:type="dxa"/>
          </w:tcPr>
          <w:p w:rsidR="000423A2" w:rsidRDefault="000423A2" w:rsidP="000423A2">
            <w:pPr>
              <w:pStyle w:val="NoSpacing"/>
              <w:rPr>
                <w:rFonts w:asciiTheme="majorHAnsi" w:hAnsiTheme="majorHAnsi"/>
                <w:bCs/>
              </w:rPr>
            </w:pPr>
            <w:r>
              <w:rPr>
                <w:rFonts w:asciiTheme="majorHAnsi" w:hAnsiTheme="majorHAnsi"/>
                <w:bCs/>
              </w:rPr>
              <w:t>Expenditure</w:t>
            </w:r>
          </w:p>
        </w:tc>
        <w:tc>
          <w:tcPr>
            <w:tcW w:w="2311" w:type="dxa"/>
          </w:tcPr>
          <w:p w:rsidR="000423A2" w:rsidRDefault="00867A9A" w:rsidP="000423A2">
            <w:pPr>
              <w:pStyle w:val="NoSpacing"/>
              <w:rPr>
                <w:rFonts w:asciiTheme="majorHAnsi" w:hAnsiTheme="majorHAnsi"/>
                <w:bCs/>
              </w:rPr>
            </w:pPr>
            <w:r>
              <w:rPr>
                <w:rFonts w:asciiTheme="majorHAnsi" w:hAnsiTheme="majorHAnsi"/>
                <w:bCs/>
              </w:rPr>
              <w:t>Savings</w:t>
            </w:r>
          </w:p>
        </w:tc>
        <w:tc>
          <w:tcPr>
            <w:tcW w:w="2311" w:type="dxa"/>
          </w:tcPr>
          <w:p w:rsidR="000423A2" w:rsidRDefault="00867A9A" w:rsidP="000423A2">
            <w:pPr>
              <w:pStyle w:val="NoSpacing"/>
              <w:rPr>
                <w:rFonts w:asciiTheme="majorHAnsi" w:hAnsiTheme="majorHAnsi"/>
                <w:bCs/>
              </w:rPr>
            </w:pPr>
            <w:r>
              <w:rPr>
                <w:rFonts w:asciiTheme="majorHAnsi" w:hAnsiTheme="majorHAnsi"/>
                <w:bCs/>
              </w:rPr>
              <w:t>Loss</w:t>
            </w:r>
          </w:p>
        </w:tc>
      </w:tr>
      <w:tr w:rsidR="000423A2" w:rsidTr="000423A2">
        <w:tc>
          <w:tcPr>
            <w:tcW w:w="2310" w:type="dxa"/>
          </w:tcPr>
          <w:p w:rsidR="000423A2" w:rsidRDefault="000423A2" w:rsidP="000423A2">
            <w:pPr>
              <w:pStyle w:val="NoSpacing"/>
              <w:rPr>
                <w:rFonts w:asciiTheme="majorHAnsi" w:hAnsiTheme="majorHAnsi"/>
                <w:bCs/>
              </w:rPr>
            </w:pPr>
          </w:p>
        </w:tc>
        <w:tc>
          <w:tcPr>
            <w:tcW w:w="2310" w:type="dxa"/>
          </w:tcPr>
          <w:p w:rsidR="000423A2" w:rsidRDefault="000423A2" w:rsidP="000423A2">
            <w:pPr>
              <w:pStyle w:val="NoSpacing"/>
              <w:rPr>
                <w:rFonts w:asciiTheme="majorHAnsi" w:hAnsiTheme="majorHAnsi"/>
                <w:bCs/>
              </w:rPr>
            </w:pPr>
            <w:r>
              <w:rPr>
                <w:rFonts w:asciiTheme="majorHAnsi" w:hAnsiTheme="majorHAnsi"/>
                <w:bCs/>
              </w:rPr>
              <w:t>£2 billion</w:t>
            </w:r>
          </w:p>
        </w:tc>
        <w:tc>
          <w:tcPr>
            <w:tcW w:w="2311" w:type="dxa"/>
          </w:tcPr>
          <w:p w:rsidR="00867A9A" w:rsidRPr="00867A9A" w:rsidRDefault="00867A9A" w:rsidP="00867A9A">
            <w:pPr>
              <w:pStyle w:val="NoSpacing"/>
              <w:rPr>
                <w:rFonts w:asciiTheme="majorHAnsi" w:hAnsiTheme="majorHAnsi"/>
                <w:bCs/>
              </w:rPr>
            </w:pPr>
            <w:r w:rsidRPr="00867A9A">
              <w:rPr>
                <w:rFonts w:asciiTheme="majorHAnsi" w:hAnsiTheme="majorHAnsi"/>
                <w:bCs/>
              </w:rPr>
              <w:t xml:space="preserve">Expected savings </w:t>
            </w:r>
          </w:p>
          <w:p w:rsidR="00867A9A" w:rsidRPr="00867A9A" w:rsidRDefault="00867A9A" w:rsidP="00867A9A">
            <w:pPr>
              <w:pStyle w:val="NoSpacing"/>
              <w:rPr>
                <w:rFonts w:asciiTheme="majorHAnsi" w:hAnsiTheme="majorHAnsi"/>
                <w:bCs/>
              </w:rPr>
            </w:pPr>
            <w:proofErr w:type="gramStart"/>
            <w:r w:rsidRPr="00867A9A">
              <w:rPr>
                <w:rFonts w:asciiTheme="majorHAnsi" w:hAnsiTheme="majorHAnsi"/>
                <w:bCs/>
              </w:rPr>
              <w:t>just</w:t>
            </w:r>
            <w:proofErr w:type="gramEnd"/>
            <w:r w:rsidRPr="00867A9A">
              <w:rPr>
                <w:rFonts w:asciiTheme="majorHAnsi" w:hAnsiTheme="majorHAnsi"/>
                <w:bCs/>
              </w:rPr>
              <w:t xml:space="preserve"> £128 million – not the £400 million to £600 million quoted frequently elsewhere.</w:t>
            </w:r>
          </w:p>
          <w:p w:rsidR="000423A2" w:rsidRDefault="00867A9A" w:rsidP="00867A9A">
            <w:pPr>
              <w:pStyle w:val="NoSpacing"/>
              <w:rPr>
                <w:rFonts w:asciiTheme="majorHAnsi" w:hAnsiTheme="majorHAnsi"/>
                <w:bCs/>
              </w:rPr>
            </w:pPr>
            <w:r w:rsidRPr="00867A9A">
              <w:rPr>
                <w:rFonts w:asciiTheme="majorHAnsi" w:hAnsiTheme="majorHAnsi"/>
                <w:bCs/>
              </w:rPr>
              <w:t xml:space="preserve">£128 million x 7years = </w:t>
            </w:r>
            <w:r>
              <w:rPr>
                <w:rFonts w:asciiTheme="majorHAnsi" w:hAnsiTheme="majorHAnsi"/>
                <w:bCs/>
              </w:rPr>
              <w:t>£</w:t>
            </w:r>
            <w:r w:rsidRPr="00867A9A">
              <w:rPr>
                <w:rFonts w:asciiTheme="majorHAnsi" w:hAnsiTheme="majorHAnsi"/>
                <w:bCs/>
              </w:rPr>
              <w:t>896 million</w:t>
            </w:r>
          </w:p>
        </w:tc>
        <w:tc>
          <w:tcPr>
            <w:tcW w:w="2311" w:type="dxa"/>
          </w:tcPr>
          <w:p w:rsidR="000423A2" w:rsidRDefault="00867A9A" w:rsidP="000423A2">
            <w:pPr>
              <w:pStyle w:val="NoSpacing"/>
              <w:rPr>
                <w:rFonts w:asciiTheme="majorHAnsi" w:hAnsiTheme="majorHAnsi"/>
                <w:bCs/>
              </w:rPr>
            </w:pPr>
            <w:r w:rsidRPr="005A053A">
              <w:rPr>
                <w:rFonts w:asciiTheme="majorHAnsi" w:hAnsiTheme="majorHAnsi"/>
              </w:rPr>
              <w:t xml:space="preserve">Loss of </w:t>
            </w:r>
            <w:r>
              <w:rPr>
                <w:rFonts w:asciiTheme="majorHAnsi" w:hAnsiTheme="majorHAnsi"/>
              </w:rPr>
              <w:t>£</w:t>
            </w:r>
            <w:r w:rsidRPr="005A053A">
              <w:rPr>
                <w:rFonts w:asciiTheme="majorHAnsi" w:hAnsiTheme="majorHAnsi"/>
              </w:rPr>
              <w:t>1,104 billion</w:t>
            </w:r>
          </w:p>
        </w:tc>
      </w:tr>
    </w:tbl>
    <w:p w:rsidR="00867A9A" w:rsidRPr="00965C2C" w:rsidRDefault="00CC160F" w:rsidP="000423A2">
      <w:pPr>
        <w:pStyle w:val="NoSpacing"/>
        <w:rPr>
          <w:rFonts w:asciiTheme="majorHAnsi" w:hAnsiTheme="majorHAnsi"/>
          <w:sz w:val="20"/>
          <w:szCs w:val="20"/>
        </w:rPr>
      </w:pPr>
      <w:r w:rsidRPr="00965C2C">
        <w:rPr>
          <w:rFonts w:asciiTheme="majorHAnsi" w:hAnsiTheme="majorHAnsi"/>
          <w:sz w:val="20"/>
          <w:szCs w:val="20"/>
        </w:rPr>
        <w:t xml:space="preserve">Source: </w:t>
      </w:r>
      <w:r w:rsidR="005474FF" w:rsidRPr="00965C2C">
        <w:rPr>
          <w:rFonts w:asciiTheme="majorHAnsi" w:hAnsiTheme="majorHAnsi"/>
          <w:sz w:val="20"/>
          <w:szCs w:val="20"/>
        </w:rPr>
        <w:t xml:space="preserve">Du </w:t>
      </w:r>
      <w:proofErr w:type="spellStart"/>
      <w:r w:rsidR="005474FF" w:rsidRPr="00965C2C">
        <w:rPr>
          <w:rFonts w:asciiTheme="majorHAnsi" w:hAnsiTheme="majorHAnsi"/>
          <w:sz w:val="20"/>
          <w:szCs w:val="20"/>
        </w:rPr>
        <w:t>Preez</w:t>
      </w:r>
      <w:proofErr w:type="spellEnd"/>
      <w:r w:rsidR="005474FF" w:rsidRPr="00965C2C">
        <w:rPr>
          <w:rFonts w:asciiTheme="majorHAnsi" w:hAnsiTheme="majorHAnsi"/>
          <w:sz w:val="20"/>
          <w:szCs w:val="20"/>
        </w:rPr>
        <w:t xml:space="preserve">, </w:t>
      </w:r>
      <w:r w:rsidR="005474FF" w:rsidRPr="00965C2C">
        <w:rPr>
          <w:rFonts w:asciiTheme="majorHAnsi" w:hAnsiTheme="majorHAnsi"/>
          <w:sz w:val="20"/>
          <w:szCs w:val="20"/>
          <w:u w:val="single"/>
        </w:rPr>
        <w:t>Computerworld</w:t>
      </w:r>
      <w:r w:rsidR="005474FF" w:rsidRPr="00965C2C">
        <w:rPr>
          <w:rFonts w:asciiTheme="majorHAnsi" w:hAnsiTheme="majorHAnsi"/>
          <w:sz w:val="20"/>
          <w:szCs w:val="20"/>
        </w:rPr>
        <w:t xml:space="preserve"> </w:t>
      </w:r>
      <w:proofErr w:type="gramStart"/>
      <w:r w:rsidR="005474FF" w:rsidRPr="00965C2C">
        <w:rPr>
          <w:rFonts w:asciiTheme="majorHAnsi" w:hAnsiTheme="majorHAnsi"/>
          <w:sz w:val="20"/>
          <w:szCs w:val="20"/>
        </w:rPr>
        <w:t>UK  2</w:t>
      </w:r>
      <w:proofErr w:type="gramEnd"/>
      <w:r w:rsidR="005474FF" w:rsidRPr="00965C2C">
        <w:rPr>
          <w:rFonts w:asciiTheme="majorHAnsi" w:hAnsiTheme="majorHAnsi"/>
          <w:sz w:val="20"/>
          <w:szCs w:val="20"/>
        </w:rPr>
        <w:t xml:space="preserve"> April 2013</w:t>
      </w:r>
    </w:p>
    <w:p w:rsidR="00CC160F" w:rsidRDefault="00CC160F" w:rsidP="000423A2">
      <w:pPr>
        <w:pStyle w:val="NoSpacing"/>
        <w:rPr>
          <w:rFonts w:asciiTheme="majorHAnsi" w:hAnsiTheme="majorHAnsi"/>
        </w:rPr>
      </w:pPr>
    </w:p>
    <w:p w:rsidR="000423A2" w:rsidRPr="00401FB4" w:rsidRDefault="000423A2" w:rsidP="000423A2">
      <w:pPr>
        <w:pStyle w:val="NoSpacing"/>
        <w:rPr>
          <w:rFonts w:asciiTheme="majorHAnsi" w:hAnsiTheme="majorHAnsi"/>
        </w:rPr>
      </w:pPr>
      <w:r>
        <w:rPr>
          <w:rFonts w:asciiTheme="majorHAnsi" w:hAnsiTheme="majorHAnsi"/>
          <w:u w:val="single"/>
        </w:rPr>
        <w:t>DWP</w:t>
      </w:r>
      <w:r w:rsidR="00B44174">
        <w:rPr>
          <w:rFonts w:asciiTheme="majorHAnsi" w:hAnsiTheme="majorHAnsi"/>
          <w:u w:val="single"/>
        </w:rPr>
        <w:t xml:space="preserve"> </w:t>
      </w:r>
    </w:p>
    <w:p w:rsidR="00401FB4" w:rsidRDefault="00401FB4" w:rsidP="005B67A2">
      <w:pPr>
        <w:pStyle w:val="NoSpacing"/>
        <w:rPr>
          <w:rFonts w:ascii="Times New Roman" w:eastAsia="Times New Roman" w:hAnsi="Times New Roman" w:cs="Times New Roman"/>
          <w:sz w:val="24"/>
          <w:szCs w:val="24"/>
          <w:lang w:eastAsia="en-GB"/>
        </w:rPr>
      </w:pPr>
      <w:r w:rsidRPr="00401FB4">
        <w:rPr>
          <w:rFonts w:asciiTheme="majorHAnsi" w:hAnsiTheme="majorHAnsi"/>
        </w:rPr>
        <w:t xml:space="preserve">Fujitsu/ Oracle began to work with DWP in 2005 and </w:t>
      </w:r>
      <w:r>
        <w:rPr>
          <w:rFonts w:asciiTheme="majorHAnsi" w:hAnsiTheme="majorHAnsi"/>
        </w:rPr>
        <w:t>a year later</w:t>
      </w:r>
      <w:r w:rsidRPr="00401FB4">
        <w:rPr>
          <w:rFonts w:asciiTheme="majorHAnsi" w:hAnsiTheme="majorHAnsi"/>
        </w:rPr>
        <w:t xml:space="preserve">, the </w:t>
      </w:r>
      <w:r w:rsidR="000423A2" w:rsidRPr="00401FB4">
        <w:rPr>
          <w:rFonts w:asciiTheme="majorHAnsi" w:hAnsiTheme="majorHAnsi"/>
        </w:rPr>
        <w:t xml:space="preserve">DWP </w:t>
      </w:r>
      <w:r w:rsidR="005B67A2" w:rsidRPr="00401FB4">
        <w:rPr>
          <w:rFonts w:asciiTheme="majorHAnsi" w:hAnsiTheme="majorHAnsi"/>
        </w:rPr>
        <w:t>S</w:t>
      </w:r>
      <w:r w:rsidR="000423A2" w:rsidRPr="00401FB4">
        <w:rPr>
          <w:rFonts w:asciiTheme="majorHAnsi" w:hAnsiTheme="majorHAnsi"/>
        </w:rPr>
        <w:t xml:space="preserve">hared </w:t>
      </w:r>
      <w:r w:rsidR="005B67A2" w:rsidRPr="00401FB4">
        <w:rPr>
          <w:rFonts w:asciiTheme="majorHAnsi" w:hAnsiTheme="majorHAnsi"/>
        </w:rPr>
        <w:t>S</w:t>
      </w:r>
      <w:r w:rsidR="000423A2" w:rsidRPr="00401FB4">
        <w:rPr>
          <w:rFonts w:asciiTheme="majorHAnsi" w:hAnsiTheme="majorHAnsi"/>
        </w:rPr>
        <w:t>ervices centre</w:t>
      </w:r>
      <w:r w:rsidR="005B67A2" w:rsidRPr="00401FB4">
        <w:rPr>
          <w:rFonts w:asciiTheme="majorHAnsi" w:hAnsiTheme="majorHAnsi"/>
        </w:rPr>
        <w:t xml:space="preserve">, was </w:t>
      </w:r>
      <w:r w:rsidRPr="00401FB4">
        <w:rPr>
          <w:rFonts w:asciiTheme="majorHAnsi" w:hAnsiTheme="majorHAnsi"/>
        </w:rPr>
        <w:t xml:space="preserve">launched.  </w:t>
      </w:r>
      <w:r>
        <w:rPr>
          <w:rFonts w:asciiTheme="majorHAnsi" w:hAnsiTheme="majorHAnsi"/>
        </w:rPr>
        <w:t>Part of the implementation of the DW</w:t>
      </w:r>
      <w:r w:rsidR="001A0BF7">
        <w:rPr>
          <w:rFonts w:asciiTheme="majorHAnsi" w:hAnsiTheme="majorHAnsi"/>
        </w:rPr>
        <w:t>P</w:t>
      </w:r>
      <w:r>
        <w:rPr>
          <w:rFonts w:asciiTheme="majorHAnsi" w:hAnsiTheme="majorHAnsi"/>
        </w:rPr>
        <w:t xml:space="preserve"> Shared Services centre involved a reduction of staff from 4,500 to 1,300.  This was due to the installation of an E-Business Suite and an increase in the number of service lines operating together, which meant more work for a reduced workforce.  There were 24 physical sites of operation at the beginning of the scheme but these have now been reduced to 5.  </w:t>
      </w:r>
      <w:r w:rsidRPr="00401FB4">
        <w:rPr>
          <w:rFonts w:asciiTheme="majorHAnsi" w:hAnsiTheme="majorHAnsi"/>
        </w:rPr>
        <w:t xml:space="preserve">In 2009, DWP began to sell shared services to the Cabinet Office and in 2010 to the Department for Education.  </w:t>
      </w:r>
    </w:p>
    <w:p w:rsidR="00401FB4" w:rsidRPr="00401FB4" w:rsidRDefault="00401FB4" w:rsidP="005B67A2">
      <w:pPr>
        <w:pStyle w:val="NoSpacing"/>
        <w:rPr>
          <w:rFonts w:asciiTheme="majorHAnsi" w:eastAsia="Times New Roman" w:hAnsiTheme="majorHAnsi" w:cs="Times New Roman"/>
          <w:lang w:eastAsia="en-GB"/>
        </w:rPr>
      </w:pPr>
    </w:p>
    <w:p w:rsidR="00401FB4" w:rsidRPr="00401FB4" w:rsidRDefault="00401FB4" w:rsidP="005B67A2">
      <w:pPr>
        <w:pStyle w:val="NoSpacing"/>
        <w:rPr>
          <w:rFonts w:asciiTheme="majorHAnsi" w:hAnsiTheme="majorHAnsi"/>
        </w:rPr>
      </w:pPr>
      <w:r w:rsidRPr="00401FB4">
        <w:rPr>
          <w:rFonts w:asciiTheme="majorHAnsi" w:eastAsia="Times New Roman" w:hAnsiTheme="majorHAnsi" w:cs="Times New Roman"/>
          <w:lang w:eastAsia="en-GB"/>
        </w:rPr>
        <w:lastRenderedPageBreak/>
        <w:t>The implementation costs were £233 million.</w:t>
      </w:r>
      <w:r w:rsidRPr="00401FB4">
        <w:rPr>
          <w:rStyle w:val="EndnoteReference"/>
          <w:rFonts w:asciiTheme="majorHAnsi" w:eastAsia="Times New Roman" w:hAnsiTheme="majorHAnsi" w:cs="Times New Roman"/>
          <w:lang w:eastAsia="en-GB"/>
        </w:rPr>
        <w:endnoteReference w:id="18"/>
      </w:r>
      <w:r w:rsidRPr="00401FB4">
        <w:rPr>
          <w:rFonts w:asciiTheme="majorHAnsi" w:eastAsia="Times New Roman" w:hAnsiTheme="majorHAnsi" w:cs="Times New Roman"/>
          <w:lang w:eastAsia="en-GB"/>
        </w:rPr>
        <w:t xml:space="preserve"> </w:t>
      </w:r>
      <w:r w:rsidR="005474FF">
        <w:rPr>
          <w:rFonts w:asciiTheme="majorHAnsi" w:eastAsia="Times New Roman" w:hAnsiTheme="majorHAnsi" w:cs="Times New Roman"/>
          <w:lang w:eastAsia="en-GB"/>
        </w:rPr>
        <w:t xml:space="preserve"> </w:t>
      </w:r>
      <w:r w:rsidRPr="00401FB4">
        <w:rPr>
          <w:rFonts w:asciiTheme="majorHAnsi" w:eastAsia="Times New Roman" w:hAnsiTheme="majorHAnsi" w:cs="Times New Roman"/>
          <w:lang w:eastAsia="en-GB"/>
        </w:rPr>
        <w:t>The expected savings were £230 million but three Whitehall Shared Service centres required upgrading to Oracle which cost a total of £47m (£15.6 million per centre).    Therefore</w:t>
      </w:r>
      <w:r>
        <w:rPr>
          <w:rFonts w:asciiTheme="majorHAnsi" w:eastAsia="Times New Roman" w:hAnsiTheme="majorHAnsi" w:cs="Times New Roman"/>
          <w:lang w:eastAsia="en-GB"/>
        </w:rPr>
        <w:t xml:space="preserve">, </w:t>
      </w:r>
      <w:r w:rsidRPr="00401FB4">
        <w:rPr>
          <w:rFonts w:asciiTheme="majorHAnsi" w:eastAsia="Times New Roman" w:hAnsiTheme="majorHAnsi" w:cs="Times New Roman"/>
          <w:lang w:eastAsia="en-GB"/>
        </w:rPr>
        <w:t xml:space="preserve">the actual cost of the DWP Shared Service centre = </w:t>
      </w:r>
      <w:r w:rsidRPr="00401FB4">
        <w:rPr>
          <w:rFonts w:asciiTheme="majorHAnsi" w:hAnsiTheme="majorHAnsi"/>
        </w:rPr>
        <w:t xml:space="preserve">Implementation cost (£233m) + Upgrade cost (£15,6m) – (reported) savings (£230m) which results in a loss of £18 million. </w:t>
      </w:r>
      <w:r w:rsidR="005474FF">
        <w:rPr>
          <w:rStyle w:val="EndnoteReference"/>
          <w:rFonts w:asciiTheme="majorHAnsi" w:hAnsiTheme="majorHAnsi"/>
        </w:rPr>
        <w:endnoteReference w:id="19"/>
      </w:r>
      <w:r w:rsidRPr="00401FB4">
        <w:rPr>
          <w:rFonts w:asciiTheme="majorHAnsi" w:hAnsiTheme="majorHAnsi"/>
        </w:rPr>
        <w:t xml:space="preserve"> </w:t>
      </w:r>
      <w:r w:rsidR="005474FF">
        <w:rPr>
          <w:rFonts w:asciiTheme="majorHAnsi" w:hAnsiTheme="majorHAnsi"/>
        </w:rPr>
        <w:t xml:space="preserve"> </w:t>
      </w:r>
      <w:r w:rsidR="005B67A2" w:rsidRPr="00401FB4">
        <w:rPr>
          <w:rFonts w:asciiTheme="majorHAnsi" w:hAnsiTheme="majorHAnsi"/>
        </w:rPr>
        <w:t xml:space="preserve">  </w:t>
      </w:r>
    </w:p>
    <w:p w:rsidR="00401FB4" w:rsidRDefault="00401FB4" w:rsidP="005B67A2">
      <w:pPr>
        <w:pStyle w:val="NoSpacing"/>
        <w:rPr>
          <w:rFonts w:asciiTheme="majorHAnsi" w:hAnsiTheme="majorHAnsi"/>
        </w:rPr>
      </w:pPr>
    </w:p>
    <w:p w:rsidR="005B67A2" w:rsidRDefault="005B67A2" w:rsidP="005B67A2">
      <w:pPr>
        <w:pStyle w:val="NoSpacing"/>
        <w:rPr>
          <w:rFonts w:asciiTheme="majorHAnsi" w:hAnsiTheme="majorHAnsi"/>
        </w:rPr>
      </w:pPr>
      <w:r>
        <w:rPr>
          <w:rFonts w:asciiTheme="majorHAnsi" w:hAnsiTheme="majorHAnsi"/>
        </w:rPr>
        <w:t>Fujitsu already had a poor record with</w:t>
      </w:r>
      <w:r w:rsidR="00B17F60">
        <w:rPr>
          <w:rFonts w:asciiTheme="majorHAnsi" w:hAnsiTheme="majorHAnsi"/>
        </w:rPr>
        <w:t xml:space="preserve"> the Department of Environment and Climate Change</w:t>
      </w:r>
      <w:r>
        <w:rPr>
          <w:rFonts w:asciiTheme="majorHAnsi" w:hAnsiTheme="majorHAnsi"/>
        </w:rPr>
        <w:t xml:space="preserve"> </w:t>
      </w:r>
      <w:r w:rsidR="00B17F60">
        <w:rPr>
          <w:rFonts w:asciiTheme="majorHAnsi" w:hAnsiTheme="majorHAnsi"/>
        </w:rPr>
        <w:t>(</w:t>
      </w:r>
      <w:r>
        <w:rPr>
          <w:rFonts w:asciiTheme="majorHAnsi" w:hAnsiTheme="majorHAnsi"/>
        </w:rPr>
        <w:t>DECC</w:t>
      </w:r>
      <w:r w:rsidR="00B17F60">
        <w:rPr>
          <w:rFonts w:asciiTheme="majorHAnsi" w:hAnsiTheme="majorHAnsi"/>
        </w:rPr>
        <w:t>) so it is unclear why the company won the DWP contract.</w:t>
      </w:r>
      <w:r>
        <w:rPr>
          <w:rFonts w:asciiTheme="majorHAnsi" w:hAnsiTheme="majorHAnsi"/>
        </w:rPr>
        <w:t xml:space="preserve"> </w:t>
      </w:r>
    </w:p>
    <w:p w:rsidR="00401FB4" w:rsidRDefault="00401FB4" w:rsidP="000423A2">
      <w:pPr>
        <w:pStyle w:val="NoSpacing"/>
        <w:rPr>
          <w:rFonts w:asciiTheme="majorHAnsi" w:hAnsiTheme="majorHAnsi"/>
          <w:b/>
          <w:bCs/>
          <w:u w:val="single"/>
        </w:rPr>
      </w:pPr>
    </w:p>
    <w:p w:rsidR="005B67A2" w:rsidRPr="005B67A2" w:rsidRDefault="005B67A2" w:rsidP="000423A2">
      <w:pPr>
        <w:pStyle w:val="NoSpacing"/>
        <w:rPr>
          <w:rFonts w:asciiTheme="majorHAnsi" w:hAnsiTheme="majorHAnsi"/>
          <w:b/>
          <w:bCs/>
          <w:u w:val="single"/>
        </w:rPr>
      </w:pPr>
      <w:r w:rsidRPr="005B67A2">
        <w:rPr>
          <w:rFonts w:asciiTheme="majorHAnsi" w:hAnsiTheme="majorHAnsi"/>
          <w:b/>
          <w:bCs/>
          <w:u w:val="single"/>
        </w:rPr>
        <w:t xml:space="preserve">Table 5: DWP Oracle and Fujitsu Shared Services </w:t>
      </w:r>
    </w:p>
    <w:p w:rsidR="005B67A2" w:rsidRPr="005A053A" w:rsidRDefault="005B67A2" w:rsidP="000423A2">
      <w:pPr>
        <w:pStyle w:val="NoSpacing"/>
        <w:rPr>
          <w:rFonts w:asciiTheme="majorHAnsi" w:hAnsiTheme="majorHAnsi"/>
          <w:bCs/>
        </w:rPr>
      </w:pPr>
    </w:p>
    <w:tbl>
      <w:tblPr>
        <w:tblStyle w:val="TableGrid"/>
        <w:tblW w:w="0" w:type="auto"/>
        <w:tblLook w:val="04A0" w:firstRow="1" w:lastRow="0" w:firstColumn="1" w:lastColumn="0" w:noHBand="0" w:noVBand="1"/>
      </w:tblPr>
      <w:tblGrid>
        <w:gridCol w:w="1254"/>
        <w:gridCol w:w="2017"/>
        <w:gridCol w:w="1658"/>
        <w:gridCol w:w="1688"/>
        <w:gridCol w:w="1255"/>
        <w:gridCol w:w="1370"/>
      </w:tblGrid>
      <w:tr w:rsidR="005B67A2" w:rsidTr="005B67A2">
        <w:tc>
          <w:tcPr>
            <w:tcW w:w="1254" w:type="dxa"/>
          </w:tcPr>
          <w:p w:rsidR="005B67A2" w:rsidRDefault="005B67A2" w:rsidP="000423A2">
            <w:pPr>
              <w:pStyle w:val="NoSpacing"/>
              <w:rPr>
                <w:rFonts w:asciiTheme="majorHAnsi" w:hAnsiTheme="majorHAnsi"/>
                <w:bCs/>
              </w:rPr>
            </w:pPr>
          </w:p>
        </w:tc>
        <w:tc>
          <w:tcPr>
            <w:tcW w:w="2017" w:type="dxa"/>
          </w:tcPr>
          <w:p w:rsidR="005B67A2" w:rsidRDefault="005B67A2" w:rsidP="000423A2">
            <w:pPr>
              <w:pStyle w:val="NoSpacing"/>
              <w:rPr>
                <w:rFonts w:asciiTheme="majorHAnsi" w:hAnsiTheme="majorHAnsi"/>
                <w:bCs/>
              </w:rPr>
            </w:pPr>
            <w:r>
              <w:rPr>
                <w:rFonts w:asciiTheme="majorHAnsi" w:hAnsiTheme="majorHAnsi"/>
                <w:bCs/>
              </w:rPr>
              <w:t>Implementation costs</w:t>
            </w:r>
          </w:p>
        </w:tc>
        <w:tc>
          <w:tcPr>
            <w:tcW w:w="1658" w:type="dxa"/>
          </w:tcPr>
          <w:p w:rsidR="005B67A2" w:rsidRDefault="005B67A2" w:rsidP="000423A2">
            <w:pPr>
              <w:pStyle w:val="NoSpacing"/>
              <w:rPr>
                <w:rFonts w:asciiTheme="majorHAnsi" w:hAnsiTheme="majorHAnsi"/>
                <w:bCs/>
              </w:rPr>
            </w:pPr>
            <w:r>
              <w:rPr>
                <w:rFonts w:asciiTheme="majorHAnsi" w:hAnsiTheme="majorHAnsi"/>
                <w:bCs/>
              </w:rPr>
              <w:t>Upgrade costs</w:t>
            </w:r>
          </w:p>
        </w:tc>
        <w:tc>
          <w:tcPr>
            <w:tcW w:w="1688" w:type="dxa"/>
          </w:tcPr>
          <w:p w:rsidR="005B67A2" w:rsidRDefault="005B67A2" w:rsidP="000423A2">
            <w:pPr>
              <w:pStyle w:val="NoSpacing"/>
              <w:rPr>
                <w:rFonts w:asciiTheme="majorHAnsi" w:hAnsiTheme="majorHAnsi"/>
                <w:bCs/>
              </w:rPr>
            </w:pPr>
            <w:r>
              <w:rPr>
                <w:rFonts w:asciiTheme="majorHAnsi" w:hAnsiTheme="majorHAnsi"/>
                <w:bCs/>
              </w:rPr>
              <w:t>Expected savings</w:t>
            </w:r>
          </w:p>
        </w:tc>
        <w:tc>
          <w:tcPr>
            <w:tcW w:w="1255" w:type="dxa"/>
          </w:tcPr>
          <w:p w:rsidR="005B67A2" w:rsidRDefault="005B67A2" w:rsidP="000423A2">
            <w:pPr>
              <w:pStyle w:val="NoSpacing"/>
              <w:rPr>
                <w:rFonts w:asciiTheme="majorHAnsi" w:hAnsiTheme="majorHAnsi"/>
                <w:bCs/>
              </w:rPr>
            </w:pPr>
            <w:r>
              <w:rPr>
                <w:rFonts w:asciiTheme="majorHAnsi" w:hAnsiTheme="majorHAnsi"/>
                <w:bCs/>
              </w:rPr>
              <w:t>Loss</w:t>
            </w:r>
          </w:p>
        </w:tc>
        <w:tc>
          <w:tcPr>
            <w:tcW w:w="1370" w:type="dxa"/>
          </w:tcPr>
          <w:p w:rsidR="005B67A2" w:rsidRDefault="005B67A2" w:rsidP="000423A2">
            <w:pPr>
              <w:pStyle w:val="NoSpacing"/>
              <w:rPr>
                <w:rFonts w:asciiTheme="majorHAnsi" w:hAnsiTheme="majorHAnsi"/>
                <w:bCs/>
              </w:rPr>
            </w:pPr>
            <w:r>
              <w:rPr>
                <w:rFonts w:asciiTheme="majorHAnsi" w:hAnsiTheme="majorHAnsi"/>
                <w:bCs/>
              </w:rPr>
              <w:t>Loss of jobs</w:t>
            </w:r>
          </w:p>
        </w:tc>
      </w:tr>
      <w:tr w:rsidR="005B67A2" w:rsidTr="005B67A2">
        <w:tc>
          <w:tcPr>
            <w:tcW w:w="1254" w:type="dxa"/>
          </w:tcPr>
          <w:p w:rsidR="005B67A2" w:rsidRDefault="00DB4E26" w:rsidP="000423A2">
            <w:pPr>
              <w:pStyle w:val="NoSpacing"/>
              <w:rPr>
                <w:rFonts w:asciiTheme="majorHAnsi" w:hAnsiTheme="majorHAnsi"/>
                <w:bCs/>
              </w:rPr>
            </w:pPr>
            <w:r>
              <w:rPr>
                <w:rFonts w:asciiTheme="majorHAnsi" w:hAnsiTheme="majorHAnsi"/>
                <w:bCs/>
              </w:rPr>
              <w:t>2006-</w:t>
            </w:r>
            <w:r w:rsidR="00401FB4">
              <w:rPr>
                <w:rFonts w:asciiTheme="majorHAnsi" w:hAnsiTheme="majorHAnsi"/>
                <w:bCs/>
              </w:rPr>
              <w:t>2012</w:t>
            </w:r>
          </w:p>
        </w:tc>
        <w:tc>
          <w:tcPr>
            <w:tcW w:w="2017" w:type="dxa"/>
          </w:tcPr>
          <w:p w:rsidR="005B67A2" w:rsidRDefault="005B67A2" w:rsidP="000423A2">
            <w:pPr>
              <w:pStyle w:val="NoSpacing"/>
              <w:rPr>
                <w:rFonts w:asciiTheme="majorHAnsi" w:hAnsiTheme="majorHAnsi"/>
                <w:bCs/>
              </w:rPr>
            </w:pPr>
            <w:r>
              <w:rPr>
                <w:rFonts w:asciiTheme="majorHAnsi" w:hAnsiTheme="majorHAnsi"/>
                <w:bCs/>
              </w:rPr>
              <w:t>£233m</w:t>
            </w:r>
          </w:p>
        </w:tc>
        <w:tc>
          <w:tcPr>
            <w:tcW w:w="1658" w:type="dxa"/>
          </w:tcPr>
          <w:p w:rsidR="005B67A2" w:rsidRDefault="005B67A2" w:rsidP="000423A2">
            <w:pPr>
              <w:pStyle w:val="NoSpacing"/>
              <w:rPr>
                <w:rFonts w:asciiTheme="majorHAnsi" w:hAnsiTheme="majorHAnsi"/>
                <w:bCs/>
              </w:rPr>
            </w:pPr>
            <w:r>
              <w:rPr>
                <w:rFonts w:asciiTheme="majorHAnsi" w:hAnsiTheme="majorHAnsi"/>
                <w:bCs/>
              </w:rPr>
              <w:t>£15.6m</w:t>
            </w:r>
          </w:p>
        </w:tc>
        <w:tc>
          <w:tcPr>
            <w:tcW w:w="1688" w:type="dxa"/>
          </w:tcPr>
          <w:p w:rsidR="005B67A2" w:rsidRDefault="005B67A2" w:rsidP="000423A2">
            <w:pPr>
              <w:pStyle w:val="NoSpacing"/>
              <w:rPr>
                <w:rFonts w:asciiTheme="majorHAnsi" w:hAnsiTheme="majorHAnsi"/>
                <w:bCs/>
              </w:rPr>
            </w:pPr>
            <w:r>
              <w:rPr>
                <w:rFonts w:asciiTheme="majorHAnsi" w:hAnsiTheme="majorHAnsi"/>
                <w:bCs/>
              </w:rPr>
              <w:t>£230</w:t>
            </w:r>
          </w:p>
        </w:tc>
        <w:tc>
          <w:tcPr>
            <w:tcW w:w="1255" w:type="dxa"/>
          </w:tcPr>
          <w:p w:rsidR="005B67A2" w:rsidRDefault="005B67A2" w:rsidP="000423A2">
            <w:pPr>
              <w:pStyle w:val="NoSpacing"/>
              <w:rPr>
                <w:rFonts w:asciiTheme="majorHAnsi" w:hAnsiTheme="majorHAnsi"/>
                <w:bCs/>
              </w:rPr>
            </w:pPr>
            <w:r>
              <w:rPr>
                <w:rFonts w:asciiTheme="majorHAnsi" w:hAnsiTheme="majorHAnsi"/>
                <w:bCs/>
              </w:rPr>
              <w:t>£18.6m</w:t>
            </w:r>
          </w:p>
        </w:tc>
        <w:tc>
          <w:tcPr>
            <w:tcW w:w="1370" w:type="dxa"/>
          </w:tcPr>
          <w:p w:rsidR="005B67A2" w:rsidRDefault="005B67A2" w:rsidP="000423A2">
            <w:pPr>
              <w:pStyle w:val="NoSpacing"/>
              <w:rPr>
                <w:rFonts w:asciiTheme="majorHAnsi" w:hAnsiTheme="majorHAnsi"/>
                <w:bCs/>
              </w:rPr>
            </w:pPr>
            <w:r>
              <w:rPr>
                <w:rFonts w:asciiTheme="majorHAnsi" w:hAnsiTheme="majorHAnsi"/>
                <w:bCs/>
              </w:rPr>
              <w:t>3,200</w:t>
            </w:r>
          </w:p>
        </w:tc>
      </w:tr>
    </w:tbl>
    <w:p w:rsidR="005B67A2" w:rsidRDefault="005B67A2" w:rsidP="000423A2">
      <w:pPr>
        <w:pStyle w:val="NoSpacing"/>
        <w:rPr>
          <w:rFonts w:asciiTheme="majorHAnsi" w:hAnsiTheme="majorHAnsi"/>
          <w:bCs/>
        </w:rPr>
      </w:pPr>
    </w:p>
    <w:p w:rsidR="007A5013" w:rsidRPr="00990EB4" w:rsidRDefault="004C67EA" w:rsidP="007A5013">
      <w:pPr>
        <w:pStyle w:val="NoSpacing"/>
        <w:rPr>
          <w:rFonts w:asciiTheme="majorHAnsi" w:hAnsiTheme="majorHAnsi"/>
        </w:rPr>
      </w:pPr>
      <w:r>
        <w:rPr>
          <w:rFonts w:asciiTheme="majorHAnsi" w:hAnsiTheme="majorHAnsi"/>
          <w:u w:val="single"/>
        </w:rPr>
        <w:t>NHS Scotland</w:t>
      </w:r>
    </w:p>
    <w:p w:rsidR="007A5013" w:rsidRPr="005A053A" w:rsidRDefault="00990EB4" w:rsidP="007A5013">
      <w:pPr>
        <w:pStyle w:val="NoSpacing"/>
        <w:rPr>
          <w:rFonts w:asciiTheme="majorHAnsi" w:hAnsiTheme="majorHAnsi"/>
        </w:rPr>
      </w:pPr>
      <w:r w:rsidRPr="00990EB4">
        <w:rPr>
          <w:rFonts w:asciiTheme="majorHAnsi" w:hAnsiTheme="majorHAnsi"/>
        </w:rPr>
        <w:t>As well as poor records of service and failure to create any savings, there are additional problems that the public sector faces when companies sue for loss of contract.</w:t>
      </w:r>
      <w:r>
        <w:rPr>
          <w:rFonts w:asciiTheme="majorHAnsi" w:hAnsiTheme="majorHAnsi"/>
        </w:rPr>
        <w:t xml:space="preserve">  This results in additional, unbudgeted costs.</w:t>
      </w:r>
      <w:r w:rsidR="009C18EC">
        <w:rPr>
          <w:rFonts w:asciiTheme="majorHAnsi" w:hAnsiTheme="majorHAnsi"/>
        </w:rPr>
        <w:t xml:space="preserve">  </w:t>
      </w:r>
      <w:r w:rsidR="007A5013" w:rsidRPr="005A053A">
        <w:rPr>
          <w:rFonts w:asciiTheme="majorHAnsi" w:hAnsiTheme="majorHAnsi"/>
        </w:rPr>
        <w:t>BT is suing NHS Scotland for £20 million in damages over the £110 million Scottish Wide Area Network (SWAN) contract, after losing in its bid to force a re-run of the procurement process.</w:t>
      </w:r>
      <w:r w:rsidR="005474FF">
        <w:rPr>
          <w:rFonts w:asciiTheme="majorHAnsi" w:hAnsiTheme="majorHAnsi"/>
        </w:rPr>
        <w:t xml:space="preserve">  </w:t>
      </w:r>
      <w:r w:rsidR="005474FF">
        <w:rPr>
          <w:rStyle w:val="EndnoteReference"/>
          <w:rFonts w:asciiTheme="majorHAnsi" w:hAnsiTheme="majorHAnsi"/>
        </w:rPr>
        <w:endnoteReference w:id="20"/>
      </w:r>
    </w:p>
    <w:p w:rsidR="009C18EC" w:rsidRDefault="009C18EC" w:rsidP="007A5013">
      <w:pPr>
        <w:pStyle w:val="NoSpacing"/>
        <w:rPr>
          <w:rFonts w:asciiTheme="majorHAnsi" w:hAnsiTheme="majorHAnsi"/>
        </w:rPr>
      </w:pPr>
    </w:p>
    <w:p w:rsidR="007A5013" w:rsidRDefault="007A5013" w:rsidP="007A5013">
      <w:pPr>
        <w:pStyle w:val="NoSpacing"/>
        <w:rPr>
          <w:rFonts w:asciiTheme="majorHAnsi" w:hAnsiTheme="majorHAnsi"/>
        </w:rPr>
      </w:pPr>
      <w:r w:rsidRPr="005A053A">
        <w:rPr>
          <w:rFonts w:asciiTheme="majorHAnsi" w:hAnsiTheme="majorHAnsi"/>
        </w:rPr>
        <w:t xml:space="preserve">According to </w:t>
      </w:r>
      <w:r w:rsidR="0007310D" w:rsidRPr="0007310D">
        <w:rPr>
          <w:rFonts w:asciiTheme="majorHAnsi" w:hAnsiTheme="majorHAnsi"/>
        </w:rPr>
        <w:t>NHS National Services Scotland (NSS)</w:t>
      </w:r>
      <w:r w:rsidRPr="005A053A">
        <w:rPr>
          <w:rFonts w:asciiTheme="majorHAnsi" w:hAnsiTheme="majorHAnsi"/>
        </w:rPr>
        <w:t xml:space="preserve">, the </w:t>
      </w:r>
      <w:r w:rsidRPr="0007310D">
        <w:rPr>
          <w:rFonts w:asciiTheme="majorHAnsi" w:hAnsiTheme="majorHAnsi"/>
        </w:rPr>
        <w:t>new contract provided by the preferred bidder would have saved taxpayers £300,000 a month f</w:t>
      </w:r>
      <w:r w:rsidRPr="005A053A">
        <w:rPr>
          <w:rFonts w:asciiTheme="majorHAnsi" w:hAnsiTheme="majorHAnsi"/>
        </w:rPr>
        <w:t>rom the start date of April 2014. Currently NHS Scotland and six councils are on the contract, which has an option for other public organisations to join later.</w:t>
      </w:r>
      <w:r w:rsidR="005474FF">
        <w:rPr>
          <w:rStyle w:val="EndnoteReference"/>
          <w:rFonts w:asciiTheme="majorHAnsi" w:hAnsiTheme="majorHAnsi"/>
        </w:rPr>
        <w:endnoteReference w:id="21"/>
      </w:r>
      <w:r w:rsidR="005474FF">
        <w:rPr>
          <w:rFonts w:asciiTheme="majorHAnsi" w:hAnsiTheme="majorHAnsi"/>
        </w:rPr>
        <w:t xml:space="preserve">  </w:t>
      </w:r>
      <w:r w:rsidRPr="009C18EC">
        <w:rPr>
          <w:rFonts w:asciiTheme="majorHAnsi" w:hAnsiTheme="majorHAnsi"/>
        </w:rPr>
        <w:t>However,</w:t>
      </w:r>
      <w:r w:rsidRPr="005A053A">
        <w:rPr>
          <w:rFonts w:asciiTheme="majorHAnsi" w:hAnsiTheme="majorHAnsi"/>
        </w:rPr>
        <w:t xml:space="preserve"> </w:t>
      </w:r>
      <w:r w:rsidR="00B44174">
        <w:rPr>
          <w:rFonts w:asciiTheme="majorHAnsi" w:hAnsiTheme="majorHAnsi"/>
        </w:rPr>
        <w:t xml:space="preserve">the </w:t>
      </w:r>
      <w:r w:rsidRPr="005A053A">
        <w:rPr>
          <w:rFonts w:asciiTheme="majorHAnsi" w:hAnsiTheme="majorHAnsi"/>
        </w:rPr>
        <w:t xml:space="preserve">contract ‘is worth approximately £110m initially, with the potential to rise to £325 million as more public bodies make use of it’ </w:t>
      </w:r>
      <w:r w:rsidR="0007310D">
        <w:rPr>
          <w:rFonts w:asciiTheme="majorHAnsi" w:hAnsiTheme="majorHAnsi"/>
        </w:rPr>
        <w:t xml:space="preserve">but </w:t>
      </w:r>
      <w:r w:rsidRPr="005A053A">
        <w:rPr>
          <w:rFonts w:asciiTheme="majorHAnsi" w:hAnsiTheme="majorHAnsi"/>
        </w:rPr>
        <w:t xml:space="preserve">there is no data available to show whether any savings </w:t>
      </w:r>
      <w:r w:rsidR="0007310D">
        <w:rPr>
          <w:rFonts w:asciiTheme="majorHAnsi" w:hAnsiTheme="majorHAnsi"/>
        </w:rPr>
        <w:t xml:space="preserve">have been </w:t>
      </w:r>
      <w:r w:rsidRPr="005A053A">
        <w:rPr>
          <w:rFonts w:asciiTheme="majorHAnsi" w:hAnsiTheme="majorHAnsi"/>
        </w:rPr>
        <w:t>made.</w:t>
      </w:r>
    </w:p>
    <w:p w:rsidR="007A5013" w:rsidRDefault="007A5013" w:rsidP="007A5013">
      <w:pPr>
        <w:pStyle w:val="NoSpacing"/>
        <w:rPr>
          <w:rFonts w:asciiTheme="majorHAnsi" w:hAnsiTheme="majorHAnsi"/>
        </w:rPr>
      </w:pPr>
      <w:r w:rsidRPr="005A053A">
        <w:rPr>
          <w:rFonts w:asciiTheme="majorHAnsi" w:hAnsiTheme="majorHAnsi"/>
        </w:rPr>
        <w:t xml:space="preserve"> </w:t>
      </w:r>
    </w:p>
    <w:p w:rsidR="007A5013" w:rsidRDefault="00B44174" w:rsidP="007A5013">
      <w:pPr>
        <w:pStyle w:val="NoSpacing"/>
        <w:rPr>
          <w:rFonts w:asciiTheme="majorHAnsi" w:hAnsiTheme="majorHAnsi"/>
          <w:b/>
          <w:u w:val="single"/>
        </w:rPr>
      </w:pPr>
      <w:r w:rsidRPr="00B44174">
        <w:rPr>
          <w:rFonts w:asciiTheme="majorHAnsi" w:hAnsiTheme="majorHAnsi"/>
          <w:b/>
          <w:u w:val="single"/>
        </w:rPr>
        <w:t>Table 6: BT and NHS Scotland</w:t>
      </w:r>
    </w:p>
    <w:p w:rsidR="009C18EC" w:rsidRDefault="009C18EC" w:rsidP="007A5013">
      <w:pPr>
        <w:pStyle w:val="NoSpacing"/>
        <w:rPr>
          <w:rFonts w:asciiTheme="majorHAnsi" w:hAnsiTheme="majorHAnsi"/>
          <w:b/>
          <w:u w:val="single"/>
        </w:rPr>
      </w:pPr>
    </w:p>
    <w:tbl>
      <w:tblPr>
        <w:tblStyle w:val="TableGrid"/>
        <w:tblW w:w="0" w:type="auto"/>
        <w:tblLook w:val="04A0" w:firstRow="1" w:lastRow="0" w:firstColumn="1" w:lastColumn="0" w:noHBand="0" w:noVBand="1"/>
      </w:tblPr>
      <w:tblGrid>
        <w:gridCol w:w="2310"/>
        <w:gridCol w:w="2310"/>
        <w:gridCol w:w="2311"/>
        <w:gridCol w:w="2311"/>
      </w:tblGrid>
      <w:tr w:rsidR="009C18EC" w:rsidTr="009C18EC">
        <w:tc>
          <w:tcPr>
            <w:tcW w:w="2310" w:type="dxa"/>
          </w:tcPr>
          <w:p w:rsidR="009C18EC" w:rsidRPr="005474FF" w:rsidRDefault="009C18EC" w:rsidP="007A5013">
            <w:pPr>
              <w:pStyle w:val="NoSpacing"/>
              <w:rPr>
                <w:rFonts w:asciiTheme="majorHAnsi" w:hAnsiTheme="majorHAnsi"/>
                <w:b/>
              </w:rPr>
            </w:pPr>
          </w:p>
        </w:t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Costs</w:t>
            </w:r>
          </w:p>
        </w:tc>
        <w:tc>
          <w:tcPr>
            <w:tcW w:w="2311" w:type="dxa"/>
          </w:tcPr>
          <w:p w:rsidR="009C18EC" w:rsidRPr="005474FF" w:rsidRDefault="009C18EC" w:rsidP="009C18EC">
            <w:pPr>
              <w:pStyle w:val="NoSpacing"/>
              <w:rPr>
                <w:rFonts w:asciiTheme="majorHAnsi" w:hAnsiTheme="majorHAnsi"/>
                <w:b/>
              </w:rPr>
            </w:pPr>
            <w:r w:rsidRPr="005474FF">
              <w:rPr>
                <w:rFonts w:asciiTheme="majorHAnsi" w:hAnsiTheme="majorHAnsi"/>
                <w:b/>
              </w:rPr>
              <w:t>Savings</w:t>
            </w:r>
          </w:p>
        </w:tc>
        <w:tc>
          <w:tcPr>
            <w:tcW w:w="2311" w:type="dxa"/>
          </w:tcPr>
          <w:p w:rsidR="009C18EC" w:rsidRPr="005474FF" w:rsidRDefault="009C18EC" w:rsidP="009C18EC">
            <w:pPr>
              <w:pStyle w:val="NoSpacing"/>
              <w:rPr>
                <w:rFonts w:asciiTheme="majorHAnsi" w:hAnsiTheme="majorHAnsi"/>
                <w:b/>
              </w:rPr>
            </w:pPr>
            <w:r w:rsidRPr="005474FF">
              <w:rPr>
                <w:rFonts w:asciiTheme="majorHAnsi" w:hAnsiTheme="majorHAnsi"/>
                <w:b/>
              </w:rPr>
              <w:t xml:space="preserve">Costs – savings = net cost </w:t>
            </w:r>
          </w:p>
        </w:tc>
      </w:tr>
      <w:tr w:rsidR="009C18EC" w:rsidTr="009C18E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7 years</w:t>
            </w:r>
          </w:p>
        </w:tc>
        <w:tc>
          <w:tcPr>
            <w:tcW w:w="2310" w:type="dxa"/>
          </w:tcPr>
          <w:p w:rsidR="009C18EC" w:rsidRPr="005A053A" w:rsidRDefault="009C18EC" w:rsidP="009C18EC">
            <w:pPr>
              <w:pStyle w:val="NoSpacing"/>
              <w:rPr>
                <w:rFonts w:asciiTheme="majorHAnsi" w:hAnsiTheme="majorHAnsi"/>
              </w:rPr>
            </w:pPr>
            <w:r w:rsidRPr="005A053A">
              <w:rPr>
                <w:rFonts w:asciiTheme="majorHAnsi" w:hAnsiTheme="majorHAnsi"/>
              </w:rPr>
              <w:t>£110 million (over 7 implementation years)</w:t>
            </w:r>
          </w:p>
          <w:p w:rsidR="009C18EC" w:rsidRDefault="009C18EC" w:rsidP="009C18EC">
            <w:pPr>
              <w:pStyle w:val="NoSpacing"/>
              <w:rPr>
                <w:rFonts w:asciiTheme="majorHAnsi" w:hAnsiTheme="majorHAnsi"/>
                <w:b/>
                <w:u w:val="single"/>
              </w:rPr>
            </w:pPr>
            <w:r w:rsidRPr="005A053A">
              <w:rPr>
                <w:rFonts w:asciiTheme="majorHAnsi" w:hAnsiTheme="majorHAnsi"/>
              </w:rPr>
              <w:t>+ £20 million BT settlement</w:t>
            </w:r>
          </w:p>
        </w:tc>
        <w:tc>
          <w:tcPr>
            <w:tcW w:w="2311" w:type="dxa"/>
          </w:tcPr>
          <w:p w:rsidR="009C18EC" w:rsidRPr="005A053A" w:rsidRDefault="009C18EC" w:rsidP="00BE35B4">
            <w:pPr>
              <w:pStyle w:val="NoSpacing"/>
              <w:rPr>
                <w:rFonts w:asciiTheme="majorHAnsi" w:hAnsiTheme="majorHAnsi"/>
              </w:rPr>
            </w:pPr>
            <w:r>
              <w:rPr>
                <w:rFonts w:asciiTheme="majorHAnsi" w:hAnsiTheme="majorHAnsi"/>
              </w:rPr>
              <w:t>(</w:t>
            </w:r>
            <w:r w:rsidRPr="005A053A">
              <w:rPr>
                <w:rFonts w:asciiTheme="majorHAnsi" w:hAnsiTheme="majorHAnsi"/>
              </w:rPr>
              <w:t>£300,000 a month x 12 months = 3.6 million a year</w:t>
            </w:r>
            <w:r>
              <w:rPr>
                <w:rFonts w:asciiTheme="majorHAnsi" w:hAnsiTheme="majorHAnsi"/>
              </w:rPr>
              <w:t>) x 7 = £25.2 million</w:t>
            </w:r>
            <w:r w:rsidRPr="005A053A">
              <w:rPr>
                <w:rFonts w:asciiTheme="majorHAnsi" w:hAnsiTheme="majorHAnsi"/>
              </w:rPr>
              <w:t xml:space="preserve"> </w:t>
            </w:r>
          </w:p>
        </w:tc>
        <w:tc>
          <w:tcPr>
            <w:tcW w:w="2311" w:type="dxa"/>
          </w:tcPr>
          <w:p w:rsidR="009C18EC" w:rsidRDefault="009C18EC" w:rsidP="007A5013">
            <w:pPr>
              <w:pStyle w:val="NoSpacing"/>
              <w:rPr>
                <w:rFonts w:asciiTheme="majorHAnsi" w:hAnsiTheme="majorHAnsi"/>
                <w:b/>
                <w:u w:val="single"/>
              </w:rPr>
            </w:pPr>
          </w:p>
        </w:tc>
      </w:tr>
      <w:tr w:rsidR="009C18EC" w:rsidTr="009C18E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Total</w:t>
            </w:r>
          </w:p>
        </w:t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£130m</w:t>
            </w:r>
          </w:p>
        </w:tc>
        <w:tc>
          <w:tcPr>
            <w:tcW w:w="2311" w:type="dxa"/>
          </w:tcPr>
          <w:p w:rsidR="009C18EC" w:rsidRPr="005A053A" w:rsidRDefault="009C18EC" w:rsidP="00BE35B4">
            <w:pPr>
              <w:pStyle w:val="NoSpacing"/>
              <w:rPr>
                <w:rFonts w:asciiTheme="majorHAnsi" w:hAnsiTheme="majorHAnsi"/>
              </w:rPr>
            </w:pPr>
            <w:r>
              <w:rPr>
                <w:rFonts w:asciiTheme="majorHAnsi" w:hAnsiTheme="majorHAnsi"/>
              </w:rPr>
              <w:t>£2</w:t>
            </w:r>
            <w:r w:rsidRPr="005A053A">
              <w:rPr>
                <w:rFonts w:asciiTheme="majorHAnsi" w:hAnsiTheme="majorHAnsi"/>
              </w:rPr>
              <w:t>5.2 million</w:t>
            </w:r>
          </w:p>
        </w:tc>
        <w:tc>
          <w:tcPr>
            <w:tcW w:w="2311" w:type="dxa"/>
          </w:tcPr>
          <w:p w:rsidR="009C18EC" w:rsidRPr="005474FF" w:rsidRDefault="009C18EC" w:rsidP="007A5013">
            <w:pPr>
              <w:pStyle w:val="NoSpacing"/>
              <w:rPr>
                <w:rFonts w:asciiTheme="majorHAnsi" w:hAnsiTheme="majorHAnsi"/>
                <w:b/>
              </w:rPr>
            </w:pPr>
            <w:r w:rsidRPr="005474FF">
              <w:rPr>
                <w:rFonts w:asciiTheme="majorHAnsi" w:hAnsiTheme="majorHAnsi"/>
                <w:b/>
              </w:rPr>
              <w:t>£104.8</w:t>
            </w:r>
            <w:r w:rsidR="00FA4738" w:rsidRPr="005474FF">
              <w:rPr>
                <w:rFonts w:asciiTheme="majorHAnsi" w:hAnsiTheme="majorHAnsi"/>
                <w:b/>
              </w:rPr>
              <w:t>million</w:t>
            </w:r>
          </w:p>
        </w:tc>
      </w:tr>
      <w:tr w:rsidR="009C18EC" w:rsidTr="009C18E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9 years</w:t>
            </w:r>
          </w:p>
        </w:tc>
        <w:tc>
          <w:tcPr>
            <w:tcW w:w="2310" w:type="dxa"/>
          </w:tcPr>
          <w:p w:rsidR="009C18EC" w:rsidRPr="005A053A" w:rsidRDefault="009C18EC" w:rsidP="009C18EC">
            <w:pPr>
              <w:pStyle w:val="NoSpacing"/>
              <w:rPr>
                <w:rFonts w:asciiTheme="majorHAnsi" w:hAnsiTheme="majorHAnsi"/>
              </w:rPr>
            </w:pPr>
            <w:r w:rsidRPr="005A053A">
              <w:rPr>
                <w:rFonts w:asciiTheme="majorHAnsi" w:hAnsiTheme="majorHAnsi"/>
              </w:rPr>
              <w:t>£325 million (over 9 years in total – when service sharing begins)</w:t>
            </w:r>
            <w:r w:rsidR="005474FF">
              <w:rPr>
                <w:rFonts w:asciiTheme="majorHAnsi" w:hAnsiTheme="majorHAnsi"/>
              </w:rPr>
              <w:t xml:space="preserve"> </w:t>
            </w:r>
            <w:r w:rsidR="005474FF">
              <w:rPr>
                <w:rStyle w:val="EndnoteReference"/>
                <w:rFonts w:asciiTheme="majorHAnsi" w:hAnsiTheme="majorHAnsi"/>
              </w:rPr>
              <w:endnoteReference w:id="22"/>
            </w:r>
            <w:r w:rsidR="005474FF">
              <w:rPr>
                <w:rFonts w:asciiTheme="majorHAnsi" w:hAnsiTheme="majorHAnsi"/>
              </w:rPr>
              <w:t xml:space="preserve"> </w:t>
            </w:r>
          </w:p>
          <w:p w:rsidR="009C18EC" w:rsidRDefault="009C18EC" w:rsidP="009C18EC">
            <w:pPr>
              <w:pStyle w:val="NoSpacing"/>
              <w:rPr>
                <w:rFonts w:asciiTheme="majorHAnsi" w:hAnsiTheme="majorHAnsi"/>
                <w:b/>
                <w:u w:val="single"/>
              </w:rPr>
            </w:pPr>
            <w:r w:rsidRPr="005A053A">
              <w:rPr>
                <w:rFonts w:asciiTheme="majorHAnsi" w:hAnsiTheme="majorHAnsi"/>
              </w:rPr>
              <w:t>+ £20 million BT settlement</w:t>
            </w:r>
          </w:p>
        </w:tc>
        <w:tc>
          <w:tcPr>
            <w:tcW w:w="2311" w:type="dxa"/>
          </w:tcPr>
          <w:p w:rsidR="009C18EC" w:rsidRDefault="009C18EC" w:rsidP="009C18EC">
            <w:pPr>
              <w:pStyle w:val="NoSpacing"/>
              <w:rPr>
                <w:rFonts w:asciiTheme="majorHAnsi" w:hAnsiTheme="majorHAnsi"/>
                <w:b/>
                <w:u w:val="single"/>
              </w:rPr>
            </w:pPr>
            <w:r>
              <w:rPr>
                <w:rFonts w:asciiTheme="majorHAnsi" w:hAnsiTheme="majorHAnsi"/>
              </w:rPr>
              <w:t>(</w:t>
            </w:r>
            <w:r w:rsidRPr="005A053A">
              <w:rPr>
                <w:rFonts w:asciiTheme="majorHAnsi" w:hAnsiTheme="majorHAnsi"/>
              </w:rPr>
              <w:t>£300,000 a month x 12 months = 3.6 million a year</w:t>
            </w:r>
            <w:r>
              <w:rPr>
                <w:rFonts w:asciiTheme="majorHAnsi" w:hAnsiTheme="majorHAnsi"/>
              </w:rPr>
              <w:t>) x 9 = £32.4 million</w:t>
            </w:r>
          </w:p>
        </w:tc>
        <w:tc>
          <w:tcPr>
            <w:tcW w:w="2311" w:type="dxa"/>
          </w:tcPr>
          <w:p w:rsidR="009C18EC" w:rsidRDefault="009C18EC" w:rsidP="007A5013">
            <w:pPr>
              <w:pStyle w:val="NoSpacing"/>
              <w:rPr>
                <w:rFonts w:asciiTheme="majorHAnsi" w:hAnsiTheme="majorHAnsi"/>
                <w:b/>
                <w:u w:val="single"/>
              </w:rPr>
            </w:pPr>
          </w:p>
        </w:tc>
      </w:tr>
      <w:tr w:rsidR="009C18EC" w:rsidRPr="005474FF" w:rsidTr="009C18E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Total</w:t>
            </w:r>
          </w:p>
        </w:tc>
        <w:tc>
          <w:tcPr>
            <w:tcW w:w="2310" w:type="dxa"/>
          </w:tcPr>
          <w:p w:rsidR="009C18EC" w:rsidRPr="005474FF" w:rsidRDefault="009C18EC" w:rsidP="007A5013">
            <w:pPr>
              <w:pStyle w:val="NoSpacing"/>
              <w:rPr>
                <w:rFonts w:asciiTheme="majorHAnsi" w:hAnsiTheme="majorHAnsi"/>
                <w:b/>
              </w:rPr>
            </w:pPr>
            <w:r w:rsidRPr="005474FF">
              <w:rPr>
                <w:rFonts w:asciiTheme="majorHAnsi" w:hAnsiTheme="majorHAnsi"/>
                <w:b/>
              </w:rPr>
              <w:t>£345 million</w:t>
            </w:r>
          </w:p>
        </w:tc>
        <w:tc>
          <w:tcPr>
            <w:tcW w:w="2311" w:type="dxa"/>
          </w:tcPr>
          <w:p w:rsidR="009C18EC" w:rsidRPr="005474FF" w:rsidRDefault="009C18EC" w:rsidP="007A5013">
            <w:pPr>
              <w:pStyle w:val="NoSpacing"/>
              <w:rPr>
                <w:rFonts w:asciiTheme="majorHAnsi" w:hAnsiTheme="majorHAnsi"/>
                <w:b/>
              </w:rPr>
            </w:pPr>
            <w:r w:rsidRPr="005474FF">
              <w:rPr>
                <w:rFonts w:asciiTheme="majorHAnsi" w:hAnsiTheme="majorHAnsi"/>
                <w:b/>
              </w:rPr>
              <w:t>£32.4 million</w:t>
            </w:r>
          </w:p>
        </w:tc>
        <w:tc>
          <w:tcPr>
            <w:tcW w:w="2311" w:type="dxa"/>
          </w:tcPr>
          <w:p w:rsidR="009C18EC" w:rsidRPr="005474FF" w:rsidRDefault="009C18EC" w:rsidP="007A5013">
            <w:pPr>
              <w:pStyle w:val="NoSpacing"/>
              <w:rPr>
                <w:rFonts w:asciiTheme="majorHAnsi" w:hAnsiTheme="majorHAnsi"/>
                <w:b/>
              </w:rPr>
            </w:pPr>
            <w:r w:rsidRPr="005474FF">
              <w:rPr>
                <w:rFonts w:asciiTheme="majorHAnsi" w:hAnsiTheme="majorHAnsi"/>
                <w:b/>
              </w:rPr>
              <w:t>£312.6</w:t>
            </w:r>
            <w:r w:rsidR="00FA4738" w:rsidRPr="005474FF">
              <w:rPr>
                <w:rFonts w:asciiTheme="majorHAnsi" w:hAnsiTheme="majorHAnsi"/>
                <w:b/>
              </w:rPr>
              <w:t>million</w:t>
            </w:r>
          </w:p>
        </w:tc>
      </w:tr>
    </w:tbl>
    <w:p w:rsidR="005474FF" w:rsidRPr="00965C2C" w:rsidRDefault="005474FF" w:rsidP="007A5013">
      <w:pPr>
        <w:pStyle w:val="NoSpacing"/>
        <w:rPr>
          <w:rFonts w:asciiTheme="majorHAnsi" w:hAnsiTheme="majorHAnsi"/>
          <w:b/>
          <w:sz w:val="20"/>
          <w:szCs w:val="20"/>
          <w:u w:val="single"/>
        </w:rPr>
      </w:pPr>
      <w:r w:rsidRPr="00965C2C">
        <w:rPr>
          <w:rFonts w:asciiTheme="majorHAnsi" w:hAnsiTheme="majorHAnsi"/>
          <w:sz w:val="20"/>
          <w:szCs w:val="20"/>
        </w:rPr>
        <w:t xml:space="preserve">Source:   </w:t>
      </w:r>
      <w:r w:rsidR="00965C2C" w:rsidRPr="00965C2C">
        <w:rPr>
          <w:rFonts w:asciiTheme="majorHAnsi" w:hAnsiTheme="majorHAnsi"/>
          <w:sz w:val="20"/>
          <w:szCs w:val="20"/>
        </w:rPr>
        <w:t>Capita signs framework contract for Scottish Wide Area Network (2014</w:t>
      </w:r>
      <w:proofErr w:type="gramStart"/>
      <w:r w:rsidR="00965C2C" w:rsidRPr="00965C2C">
        <w:rPr>
          <w:rFonts w:asciiTheme="majorHAnsi" w:hAnsiTheme="majorHAnsi"/>
          <w:sz w:val="20"/>
          <w:szCs w:val="20"/>
        </w:rPr>
        <w:t>)  See</w:t>
      </w:r>
      <w:proofErr w:type="gramEnd"/>
      <w:r w:rsidR="00965C2C" w:rsidRPr="00965C2C">
        <w:rPr>
          <w:rFonts w:asciiTheme="majorHAnsi" w:hAnsiTheme="majorHAnsi"/>
          <w:sz w:val="20"/>
          <w:szCs w:val="20"/>
        </w:rPr>
        <w:t xml:space="preserve"> more at: http://www.capita.co.uk/news-and-opinion/news/2014/capita-signs-swan-framework-contract.aspx#sthash.o6rQGb0L.dpuf</w:t>
      </w:r>
    </w:p>
    <w:p w:rsidR="00B17F60" w:rsidRDefault="00B17F60" w:rsidP="00B17F60">
      <w:pPr>
        <w:pStyle w:val="NoSpacing"/>
        <w:rPr>
          <w:rFonts w:asciiTheme="majorHAnsi" w:hAnsiTheme="majorHAnsi"/>
        </w:rPr>
      </w:pPr>
    </w:p>
    <w:p w:rsidR="00965C2C" w:rsidRPr="00CA435D" w:rsidRDefault="00965C2C" w:rsidP="00CA435D">
      <w:pPr>
        <w:pStyle w:val="Heading1"/>
        <w:numPr>
          <w:ilvl w:val="0"/>
          <w:numId w:val="35"/>
        </w:numPr>
        <w:rPr>
          <w:color w:val="000000" w:themeColor="text1"/>
          <w:sz w:val="24"/>
          <w:szCs w:val="24"/>
        </w:rPr>
      </w:pPr>
      <w:bookmarkStart w:id="3" w:name="_Toc382569407"/>
      <w:r w:rsidRPr="00CA435D">
        <w:rPr>
          <w:color w:val="000000" w:themeColor="text1"/>
          <w:sz w:val="24"/>
          <w:szCs w:val="24"/>
        </w:rPr>
        <w:lastRenderedPageBreak/>
        <w:t>Future contracts</w:t>
      </w:r>
      <w:bookmarkEnd w:id="3"/>
    </w:p>
    <w:p w:rsidR="00965C2C" w:rsidRPr="005A053A" w:rsidRDefault="00965C2C" w:rsidP="00B17F60">
      <w:pPr>
        <w:pStyle w:val="NoSpacing"/>
        <w:rPr>
          <w:rFonts w:asciiTheme="majorHAnsi" w:hAnsiTheme="majorHAnsi"/>
        </w:rPr>
      </w:pPr>
    </w:p>
    <w:p w:rsidR="000423A2" w:rsidRPr="00AF3C90" w:rsidRDefault="000423A2" w:rsidP="000423A2">
      <w:pPr>
        <w:pStyle w:val="NoSpacing"/>
        <w:rPr>
          <w:rFonts w:asciiTheme="majorHAnsi" w:hAnsiTheme="majorHAnsi"/>
          <w:b/>
          <w:u w:val="single"/>
        </w:rPr>
      </w:pPr>
      <w:r w:rsidRPr="00AF3C90">
        <w:rPr>
          <w:rFonts w:asciiTheme="majorHAnsi" w:hAnsiTheme="majorHAnsi"/>
          <w:b/>
          <w:u w:val="single"/>
        </w:rPr>
        <w:t>DWP/DEFRA/EA</w:t>
      </w:r>
    </w:p>
    <w:p w:rsidR="000423A2" w:rsidRDefault="000423A2" w:rsidP="000423A2">
      <w:pPr>
        <w:pStyle w:val="NoSpacing"/>
        <w:rPr>
          <w:rFonts w:asciiTheme="majorHAnsi" w:hAnsiTheme="majorHAnsi"/>
        </w:rPr>
      </w:pPr>
      <w:r w:rsidRPr="005A053A">
        <w:rPr>
          <w:rFonts w:asciiTheme="majorHAnsi" w:hAnsiTheme="majorHAnsi"/>
        </w:rPr>
        <w:t xml:space="preserve">The UK government is preparing to outsource back office functions from the Department of Work and Pensions (DWP), the Department of the Environment, Food and Rural Affairs (Defra), and the Environment Agency to French IT services and BPO provider </w:t>
      </w:r>
      <w:proofErr w:type="spellStart"/>
      <w:r w:rsidRPr="005A053A">
        <w:rPr>
          <w:rFonts w:asciiTheme="majorHAnsi" w:hAnsiTheme="majorHAnsi"/>
        </w:rPr>
        <w:t>Steria</w:t>
      </w:r>
      <w:proofErr w:type="spellEnd"/>
      <w:r w:rsidRPr="005A053A">
        <w:rPr>
          <w:rFonts w:asciiTheme="majorHAnsi" w:hAnsiTheme="majorHAnsi"/>
        </w:rPr>
        <w:t xml:space="preserve">.  Under the deal, a new shared services organisation will be created, 75% of which will be owned by </w:t>
      </w:r>
      <w:proofErr w:type="spellStart"/>
      <w:r w:rsidRPr="005A053A">
        <w:rPr>
          <w:rFonts w:asciiTheme="majorHAnsi" w:hAnsiTheme="majorHAnsi"/>
        </w:rPr>
        <w:t>Steria</w:t>
      </w:r>
      <w:proofErr w:type="spellEnd"/>
      <w:r w:rsidRPr="005A053A">
        <w:rPr>
          <w:rFonts w:asciiTheme="majorHAnsi" w:hAnsiTheme="majorHAnsi"/>
        </w:rPr>
        <w:t xml:space="preserve"> and 25% by the government.  Over 1,000 roles may be moved to </w:t>
      </w:r>
      <w:proofErr w:type="spellStart"/>
      <w:r w:rsidRPr="005A053A">
        <w:rPr>
          <w:rFonts w:asciiTheme="majorHAnsi" w:hAnsiTheme="majorHAnsi"/>
        </w:rPr>
        <w:t>Steria's</w:t>
      </w:r>
      <w:proofErr w:type="spellEnd"/>
      <w:r w:rsidRPr="005A053A">
        <w:rPr>
          <w:rFonts w:asciiTheme="majorHAnsi" w:hAnsiTheme="majorHAnsi"/>
        </w:rPr>
        <w:t xml:space="preserve"> offshore delivery centres in India.</w:t>
      </w:r>
      <w:r w:rsidR="005474FF">
        <w:rPr>
          <w:rFonts w:asciiTheme="majorHAnsi" w:hAnsiTheme="majorHAnsi"/>
        </w:rPr>
        <w:t xml:space="preserve">  </w:t>
      </w:r>
      <w:r w:rsidR="005474FF">
        <w:rPr>
          <w:rStyle w:val="EndnoteReference"/>
          <w:rFonts w:asciiTheme="majorHAnsi" w:hAnsiTheme="majorHAnsi"/>
        </w:rPr>
        <w:endnoteReference w:id="23"/>
      </w:r>
    </w:p>
    <w:p w:rsidR="005474FF" w:rsidRDefault="005474FF" w:rsidP="000423A2">
      <w:pPr>
        <w:pStyle w:val="NoSpacing"/>
        <w:rPr>
          <w:rFonts w:asciiTheme="majorHAnsi" w:hAnsiTheme="majorHAnsi"/>
        </w:rPr>
      </w:pPr>
    </w:p>
    <w:p w:rsidR="001B7F20" w:rsidRDefault="00AF3C90" w:rsidP="000423A2">
      <w:pPr>
        <w:pStyle w:val="NoSpacing"/>
        <w:rPr>
          <w:rFonts w:asciiTheme="majorHAnsi" w:hAnsiTheme="majorHAnsi"/>
        </w:rPr>
      </w:pPr>
      <w:r>
        <w:rPr>
          <w:rFonts w:asciiTheme="majorHAnsi" w:hAnsiTheme="majorHAnsi"/>
        </w:rPr>
        <w:t xml:space="preserve">The </w:t>
      </w:r>
      <w:proofErr w:type="spellStart"/>
      <w:r>
        <w:rPr>
          <w:rFonts w:asciiTheme="majorHAnsi" w:hAnsiTheme="majorHAnsi"/>
        </w:rPr>
        <w:t>Steria</w:t>
      </w:r>
      <w:proofErr w:type="spellEnd"/>
      <w:r>
        <w:rPr>
          <w:rFonts w:asciiTheme="majorHAnsi" w:hAnsiTheme="majorHAnsi"/>
        </w:rPr>
        <w:t xml:space="preserve"> response to the invitation to negotiate from the Cabinet office shows that there are a series of assumptions about</w:t>
      </w:r>
      <w:r w:rsidR="00924600">
        <w:rPr>
          <w:rFonts w:asciiTheme="majorHAnsi" w:hAnsiTheme="majorHAnsi"/>
        </w:rPr>
        <w:t xml:space="preserve"> the benefits that the new shared services organisation, called Shared Services Connected Ltd (SSCL), will bring. </w:t>
      </w:r>
      <w:r w:rsidR="00965C2C">
        <w:rPr>
          <w:rStyle w:val="EndnoteReference"/>
          <w:rFonts w:asciiTheme="majorHAnsi" w:hAnsiTheme="majorHAnsi"/>
        </w:rPr>
        <w:endnoteReference w:id="24"/>
      </w:r>
      <w:r w:rsidR="007D1DE6">
        <w:rPr>
          <w:rFonts w:asciiTheme="majorHAnsi" w:hAnsiTheme="majorHAnsi"/>
        </w:rPr>
        <w:t xml:space="preserve"> </w:t>
      </w:r>
      <w:r w:rsidR="00924600">
        <w:rPr>
          <w:rFonts w:asciiTheme="majorHAnsi" w:hAnsiTheme="majorHAnsi"/>
        </w:rPr>
        <w:t xml:space="preserve"> </w:t>
      </w:r>
      <w:r w:rsidR="001B7F20">
        <w:rPr>
          <w:rFonts w:asciiTheme="majorHAnsi" w:hAnsiTheme="majorHAnsi"/>
        </w:rPr>
        <w:t xml:space="preserve">SSCL will be working with Fujitsu (as their first choice of IT partner), even though the limitations of Fujitsu’s record can be seen in the NHS and its removal from the DECC contract.  </w:t>
      </w:r>
    </w:p>
    <w:p w:rsidR="001B7F20" w:rsidRDefault="001B7F20" w:rsidP="000423A2">
      <w:pPr>
        <w:pStyle w:val="NoSpacing"/>
        <w:rPr>
          <w:rFonts w:asciiTheme="majorHAnsi" w:hAnsiTheme="majorHAnsi"/>
        </w:rPr>
      </w:pPr>
      <w:r>
        <w:rPr>
          <w:rFonts w:asciiTheme="majorHAnsi" w:hAnsiTheme="majorHAnsi"/>
        </w:rPr>
        <w:t xml:space="preserve"> </w:t>
      </w:r>
    </w:p>
    <w:p w:rsidR="00924600" w:rsidRDefault="00924600" w:rsidP="000423A2">
      <w:pPr>
        <w:pStyle w:val="NoSpacing"/>
        <w:rPr>
          <w:rFonts w:asciiTheme="majorHAnsi" w:hAnsiTheme="majorHAnsi"/>
        </w:rPr>
      </w:pPr>
      <w:r>
        <w:rPr>
          <w:rFonts w:asciiTheme="majorHAnsi" w:hAnsiTheme="majorHAnsi"/>
        </w:rPr>
        <w:t xml:space="preserve">In the light of a series of failures to generate savings in the shared services projects outlined above, the assumptions that </w:t>
      </w:r>
      <w:proofErr w:type="spellStart"/>
      <w:r>
        <w:rPr>
          <w:rFonts w:asciiTheme="majorHAnsi" w:hAnsiTheme="majorHAnsi"/>
        </w:rPr>
        <w:t>Steria</w:t>
      </w:r>
      <w:proofErr w:type="spellEnd"/>
      <w:r>
        <w:rPr>
          <w:rFonts w:asciiTheme="majorHAnsi" w:hAnsiTheme="majorHAnsi"/>
        </w:rPr>
        <w:t xml:space="preserve"> has made to inform the creation of SSC Ltd are set out below.</w:t>
      </w:r>
    </w:p>
    <w:p w:rsidR="00566DD9" w:rsidRDefault="00566DD9" w:rsidP="000423A2">
      <w:pPr>
        <w:pStyle w:val="NoSpacing"/>
        <w:rPr>
          <w:rFonts w:asciiTheme="majorHAnsi" w:hAnsiTheme="majorHAnsi"/>
        </w:rPr>
      </w:pPr>
    </w:p>
    <w:tbl>
      <w:tblPr>
        <w:tblStyle w:val="TableGrid"/>
        <w:tblW w:w="0" w:type="auto"/>
        <w:tblLook w:val="04A0" w:firstRow="1" w:lastRow="0" w:firstColumn="1" w:lastColumn="0" w:noHBand="0" w:noVBand="1"/>
      </w:tblPr>
      <w:tblGrid>
        <w:gridCol w:w="9242"/>
      </w:tblGrid>
      <w:tr w:rsidR="00566DD9" w:rsidTr="00566DD9">
        <w:tc>
          <w:tcPr>
            <w:tcW w:w="9242" w:type="dxa"/>
          </w:tcPr>
          <w:p w:rsidR="00C52F41" w:rsidRPr="00C52F41" w:rsidRDefault="00C52F41" w:rsidP="00566DD9">
            <w:pPr>
              <w:pStyle w:val="NoSpacing"/>
              <w:rPr>
                <w:rFonts w:asciiTheme="majorHAnsi" w:hAnsiTheme="majorHAnsi"/>
                <w:u w:val="single"/>
              </w:rPr>
            </w:pPr>
            <w:r w:rsidRPr="00C52F41">
              <w:rPr>
                <w:rFonts w:asciiTheme="majorHAnsi" w:hAnsiTheme="majorHAnsi"/>
                <w:u w:val="single"/>
              </w:rPr>
              <w:t>Assumptions</w:t>
            </w:r>
          </w:p>
          <w:p w:rsidR="00C52F41" w:rsidRDefault="00C52F41" w:rsidP="00566DD9">
            <w:pPr>
              <w:pStyle w:val="NoSpacing"/>
              <w:rPr>
                <w:rFonts w:asciiTheme="majorHAnsi" w:hAnsiTheme="majorHAnsi"/>
              </w:rPr>
            </w:pPr>
          </w:p>
          <w:p w:rsidR="004C67EA" w:rsidRDefault="00566DD9" w:rsidP="00566DD9">
            <w:pPr>
              <w:pStyle w:val="NoSpacing"/>
              <w:rPr>
                <w:rFonts w:asciiTheme="majorHAnsi" w:hAnsiTheme="majorHAnsi"/>
              </w:rPr>
            </w:pPr>
            <w:r>
              <w:rPr>
                <w:rFonts w:asciiTheme="majorHAnsi" w:hAnsiTheme="majorHAnsi"/>
              </w:rPr>
              <w:t>SSCL is expected to delivery savings of over 30%</w:t>
            </w:r>
          </w:p>
          <w:p w:rsidR="004C67EA" w:rsidRDefault="00566DD9" w:rsidP="00566DD9">
            <w:pPr>
              <w:pStyle w:val="NoSpacing"/>
              <w:rPr>
                <w:rFonts w:asciiTheme="majorHAnsi" w:hAnsiTheme="majorHAnsi"/>
              </w:rPr>
            </w:pPr>
            <w:r>
              <w:rPr>
                <w:rFonts w:asciiTheme="majorHAnsi" w:hAnsiTheme="majorHAnsi"/>
              </w:rPr>
              <w:t xml:space="preserve"> </w:t>
            </w:r>
          </w:p>
          <w:p w:rsidR="00BE35B4" w:rsidRDefault="00BE35B4" w:rsidP="00566DD9">
            <w:pPr>
              <w:pStyle w:val="NoSpacing"/>
              <w:rPr>
                <w:rFonts w:asciiTheme="majorHAnsi" w:hAnsiTheme="majorHAnsi"/>
              </w:rPr>
            </w:pPr>
            <w:r w:rsidRPr="00BE35B4">
              <w:rPr>
                <w:rFonts w:asciiTheme="majorHAnsi" w:hAnsiTheme="majorHAnsi"/>
              </w:rPr>
              <w:t>SSCL is the route to the public sector ‘market’</w:t>
            </w:r>
          </w:p>
          <w:p w:rsidR="004C67EA" w:rsidRDefault="004C67EA" w:rsidP="00BE35B4">
            <w:pPr>
              <w:pStyle w:val="NoSpacing"/>
              <w:rPr>
                <w:rFonts w:asciiTheme="majorHAnsi" w:hAnsiTheme="majorHAnsi"/>
              </w:rPr>
            </w:pPr>
          </w:p>
          <w:p w:rsidR="00BE35B4" w:rsidRDefault="00BE35B4" w:rsidP="00BE35B4">
            <w:pPr>
              <w:pStyle w:val="NoSpacing"/>
              <w:rPr>
                <w:rFonts w:asciiTheme="majorHAnsi" w:hAnsiTheme="majorHAnsi"/>
              </w:rPr>
            </w:pPr>
            <w:r>
              <w:rPr>
                <w:rFonts w:asciiTheme="majorHAnsi" w:hAnsiTheme="majorHAnsi"/>
              </w:rPr>
              <w:t>SSCL is targeting central government (60% addressable market), local government (</w:t>
            </w:r>
            <w:proofErr w:type="spellStart"/>
            <w:r>
              <w:rPr>
                <w:rFonts w:asciiTheme="majorHAnsi" w:hAnsiTheme="majorHAnsi"/>
              </w:rPr>
              <w:t>addr.market</w:t>
            </w:r>
            <w:proofErr w:type="spellEnd"/>
            <w:r>
              <w:rPr>
                <w:rFonts w:asciiTheme="majorHAnsi" w:hAnsiTheme="majorHAnsi"/>
              </w:rPr>
              <w:t xml:space="preserve"> 50%), police (</w:t>
            </w:r>
            <w:proofErr w:type="spellStart"/>
            <w:r>
              <w:rPr>
                <w:rFonts w:asciiTheme="majorHAnsi" w:hAnsiTheme="majorHAnsi"/>
              </w:rPr>
              <w:t>addr</w:t>
            </w:r>
            <w:proofErr w:type="spellEnd"/>
            <w:r>
              <w:rPr>
                <w:rFonts w:asciiTheme="majorHAnsi" w:hAnsiTheme="majorHAnsi"/>
              </w:rPr>
              <w:t>. market 50%</w:t>
            </w:r>
            <w:proofErr w:type="gramStart"/>
            <w:r>
              <w:rPr>
                <w:rFonts w:asciiTheme="majorHAnsi" w:hAnsiTheme="majorHAnsi"/>
              </w:rPr>
              <w:t>)and</w:t>
            </w:r>
            <w:proofErr w:type="gramEnd"/>
            <w:r>
              <w:rPr>
                <w:rFonts w:asciiTheme="majorHAnsi" w:hAnsiTheme="majorHAnsi"/>
              </w:rPr>
              <w:t xml:space="preserve"> regions (</w:t>
            </w:r>
            <w:proofErr w:type="spellStart"/>
            <w:r>
              <w:rPr>
                <w:rFonts w:asciiTheme="majorHAnsi" w:hAnsiTheme="majorHAnsi"/>
              </w:rPr>
              <w:t>addr.market</w:t>
            </w:r>
            <w:proofErr w:type="spellEnd"/>
            <w:r>
              <w:rPr>
                <w:rFonts w:asciiTheme="majorHAnsi" w:hAnsiTheme="majorHAnsi"/>
              </w:rPr>
              <w:t xml:space="preserve"> </w:t>
            </w:r>
            <w:r w:rsidR="004C67EA">
              <w:rPr>
                <w:rFonts w:asciiTheme="majorHAnsi" w:hAnsiTheme="majorHAnsi"/>
              </w:rPr>
              <w:t xml:space="preserve">25%) </w:t>
            </w:r>
          </w:p>
          <w:p w:rsidR="00BE35B4" w:rsidRPr="00BE35B4" w:rsidRDefault="00965C2C" w:rsidP="00BE35B4">
            <w:pPr>
              <w:pStyle w:val="NoSpacing"/>
              <w:rPr>
                <w:rFonts w:asciiTheme="majorHAnsi" w:hAnsiTheme="majorHAnsi" w:cs="ArialMT"/>
                <w:color w:val="000000" w:themeColor="text1"/>
              </w:rPr>
            </w:pPr>
            <w:r>
              <w:rPr>
                <w:rFonts w:asciiTheme="majorHAnsi" w:hAnsiTheme="majorHAnsi"/>
                <w:color w:val="000000" w:themeColor="text1"/>
              </w:rPr>
              <w:t>(</w:t>
            </w:r>
            <w:r w:rsidR="00BE35B4" w:rsidRPr="00BE35B4">
              <w:rPr>
                <w:rFonts w:asciiTheme="majorHAnsi" w:hAnsiTheme="majorHAnsi"/>
                <w:color w:val="000000" w:themeColor="text1"/>
              </w:rPr>
              <w:t xml:space="preserve">Addressable market is estimated as the </w:t>
            </w:r>
            <w:r w:rsidR="00BE35B4" w:rsidRPr="00BE35B4">
              <w:rPr>
                <w:rFonts w:asciiTheme="majorHAnsi" w:hAnsiTheme="majorHAnsi" w:cs="ArialMT"/>
                <w:color w:val="000000" w:themeColor="text1"/>
              </w:rPr>
              <w:t>percentage of potential services that each</w:t>
            </w:r>
          </w:p>
          <w:p w:rsidR="00BE35B4" w:rsidRDefault="00BE35B4" w:rsidP="00BE35B4">
            <w:pPr>
              <w:pStyle w:val="NoSpacing"/>
              <w:rPr>
                <w:rFonts w:asciiTheme="majorHAnsi" w:hAnsiTheme="majorHAnsi"/>
              </w:rPr>
            </w:pPr>
            <w:proofErr w:type="gramStart"/>
            <w:r w:rsidRPr="00BE35B4">
              <w:rPr>
                <w:rFonts w:asciiTheme="majorHAnsi" w:hAnsiTheme="majorHAnsi" w:cs="ArialMT"/>
                <w:color w:val="000000" w:themeColor="text1"/>
              </w:rPr>
              <w:t>customer</w:t>
            </w:r>
            <w:proofErr w:type="gramEnd"/>
            <w:r w:rsidRPr="00BE35B4">
              <w:rPr>
                <w:rFonts w:asciiTheme="majorHAnsi" w:hAnsiTheme="majorHAnsi" w:cs="ArialMT"/>
                <w:color w:val="000000" w:themeColor="text1"/>
              </w:rPr>
              <w:t xml:space="preserve"> is able and willing to take as a shared service</w:t>
            </w:r>
            <w:r>
              <w:rPr>
                <w:rFonts w:asciiTheme="majorHAnsi" w:hAnsiTheme="majorHAnsi" w:cs="ArialMT"/>
                <w:color w:val="000000" w:themeColor="text1"/>
              </w:rPr>
              <w:t>.</w:t>
            </w:r>
            <w:r w:rsidR="00965C2C">
              <w:rPr>
                <w:rFonts w:asciiTheme="majorHAnsi" w:hAnsiTheme="majorHAnsi" w:cs="ArialMT"/>
                <w:color w:val="000000" w:themeColor="text1"/>
              </w:rPr>
              <w:t>)</w:t>
            </w:r>
          </w:p>
          <w:p w:rsidR="004C67EA" w:rsidRDefault="004C67EA" w:rsidP="00566DD9">
            <w:pPr>
              <w:pStyle w:val="NoSpacing"/>
              <w:rPr>
                <w:rFonts w:asciiTheme="majorHAnsi" w:hAnsiTheme="majorHAnsi"/>
              </w:rPr>
            </w:pPr>
          </w:p>
          <w:p w:rsidR="00566DD9" w:rsidRDefault="00566DD9" w:rsidP="00566DD9">
            <w:pPr>
              <w:pStyle w:val="NoSpacing"/>
              <w:rPr>
                <w:rFonts w:asciiTheme="majorHAnsi" w:hAnsiTheme="majorHAnsi"/>
              </w:rPr>
            </w:pPr>
            <w:r>
              <w:rPr>
                <w:rFonts w:asciiTheme="majorHAnsi" w:hAnsiTheme="majorHAnsi"/>
              </w:rPr>
              <w:t xml:space="preserve">SSCL is considered a ‘key channel to market and an engine of growth for </w:t>
            </w:r>
            <w:proofErr w:type="spellStart"/>
            <w:r>
              <w:rPr>
                <w:rFonts w:asciiTheme="majorHAnsi" w:hAnsiTheme="majorHAnsi"/>
              </w:rPr>
              <w:t>Steria</w:t>
            </w:r>
            <w:proofErr w:type="spellEnd"/>
            <w:r>
              <w:rPr>
                <w:rFonts w:asciiTheme="majorHAnsi" w:hAnsiTheme="majorHAnsi"/>
              </w:rPr>
              <w:t>’</w:t>
            </w:r>
            <w:r w:rsidR="004C67EA">
              <w:rPr>
                <w:rFonts w:asciiTheme="majorHAnsi" w:hAnsiTheme="majorHAnsi"/>
              </w:rPr>
              <w:t xml:space="preserve"> </w:t>
            </w:r>
          </w:p>
          <w:p w:rsidR="004C67EA" w:rsidRDefault="004C67EA" w:rsidP="00965C2C">
            <w:pPr>
              <w:pStyle w:val="NoSpacing"/>
              <w:rPr>
                <w:rFonts w:asciiTheme="majorHAnsi" w:hAnsiTheme="majorHAnsi"/>
              </w:rPr>
            </w:pPr>
          </w:p>
          <w:p w:rsidR="00566DD9" w:rsidRDefault="00566DD9" w:rsidP="00965C2C">
            <w:pPr>
              <w:pStyle w:val="NoSpacing"/>
              <w:rPr>
                <w:rFonts w:asciiTheme="majorHAnsi" w:hAnsiTheme="majorHAnsi"/>
              </w:rPr>
            </w:pPr>
            <w:r>
              <w:rPr>
                <w:rFonts w:asciiTheme="majorHAnsi" w:hAnsiTheme="majorHAnsi"/>
              </w:rPr>
              <w:t>SSCL will strengthen ties with the Department of Health</w:t>
            </w:r>
            <w:r w:rsidR="00BE35B4">
              <w:rPr>
                <w:rFonts w:asciiTheme="majorHAnsi" w:hAnsiTheme="majorHAnsi"/>
              </w:rPr>
              <w:t xml:space="preserve"> to work with the </w:t>
            </w:r>
            <w:proofErr w:type="spellStart"/>
            <w:r w:rsidR="00BE35B4">
              <w:rPr>
                <w:rFonts w:asciiTheme="majorHAnsi" w:hAnsiTheme="majorHAnsi"/>
              </w:rPr>
              <w:t>Steria</w:t>
            </w:r>
            <w:proofErr w:type="spellEnd"/>
            <w:r w:rsidR="00BE35B4">
              <w:rPr>
                <w:rFonts w:asciiTheme="majorHAnsi" w:hAnsiTheme="majorHAnsi"/>
              </w:rPr>
              <w:t>-Department of Health shared services joint venture.</w:t>
            </w:r>
            <w:r>
              <w:rPr>
                <w:rFonts w:asciiTheme="majorHAnsi" w:hAnsiTheme="majorHAnsi"/>
              </w:rPr>
              <w:t xml:space="preserve"> </w:t>
            </w:r>
            <w:r w:rsidR="004C67EA">
              <w:rPr>
                <w:rFonts w:asciiTheme="majorHAnsi" w:hAnsiTheme="majorHAnsi"/>
              </w:rPr>
              <w:t xml:space="preserve"> </w:t>
            </w:r>
            <w:r w:rsidR="004C67EA">
              <w:rPr>
                <w:rStyle w:val="EndnoteReference"/>
                <w:rFonts w:asciiTheme="majorHAnsi" w:hAnsiTheme="majorHAnsi"/>
              </w:rPr>
              <w:endnoteReference w:id="25"/>
            </w:r>
          </w:p>
        </w:tc>
      </w:tr>
    </w:tbl>
    <w:p w:rsidR="00566DD9" w:rsidRDefault="00566DD9" w:rsidP="000423A2">
      <w:pPr>
        <w:pStyle w:val="NoSpacing"/>
        <w:rPr>
          <w:rFonts w:asciiTheme="majorHAnsi" w:hAnsiTheme="majorHAnsi"/>
        </w:rPr>
      </w:pPr>
    </w:p>
    <w:p w:rsidR="001B7F20" w:rsidRDefault="00BE35B4" w:rsidP="000423A2">
      <w:pPr>
        <w:pStyle w:val="NoSpacing"/>
        <w:rPr>
          <w:rFonts w:asciiTheme="majorHAnsi" w:hAnsiTheme="majorHAnsi"/>
        </w:rPr>
      </w:pPr>
      <w:r>
        <w:rPr>
          <w:rFonts w:asciiTheme="majorHAnsi" w:hAnsiTheme="majorHAnsi"/>
        </w:rPr>
        <w:t>The assumptions of 30% savings are based on the expansion of SSCL into the central and local government sectors as well as the police and regional agencies.  Growth is dependent on expansion of customers, even if these customers are already in shared services contracts</w:t>
      </w:r>
      <w:r w:rsidR="00C52F41">
        <w:rPr>
          <w:rFonts w:asciiTheme="majorHAnsi" w:hAnsiTheme="majorHAnsi"/>
        </w:rPr>
        <w:t>.</w:t>
      </w:r>
      <w:r>
        <w:rPr>
          <w:rFonts w:asciiTheme="majorHAnsi" w:hAnsiTheme="majorHAnsi"/>
        </w:rPr>
        <w:t xml:space="preserve">  New customers will be able to take on additional services as ‘they are developed, driven by the scale and demand that SSCL will create’.   Again, the expansion depends on services which are not yet in existence.</w:t>
      </w:r>
      <w:r w:rsidR="001B7F20">
        <w:rPr>
          <w:rFonts w:asciiTheme="majorHAnsi" w:hAnsiTheme="majorHAnsi"/>
        </w:rPr>
        <w:t xml:space="preserve">  </w:t>
      </w:r>
      <w:proofErr w:type="spellStart"/>
      <w:r w:rsidR="001B7F20">
        <w:rPr>
          <w:rFonts w:asciiTheme="majorHAnsi" w:hAnsiTheme="majorHAnsi"/>
        </w:rPr>
        <w:t>Steria</w:t>
      </w:r>
      <w:proofErr w:type="spellEnd"/>
      <w:r w:rsidR="001B7F20">
        <w:rPr>
          <w:rFonts w:asciiTheme="majorHAnsi" w:hAnsiTheme="majorHAnsi"/>
        </w:rPr>
        <w:t xml:space="preserve"> views SSCL as an opportunity for growth and expansion, it will benefit from the dividend yield and any increase in the value of SSCL.  </w:t>
      </w:r>
      <w:r w:rsidR="00C52F41">
        <w:rPr>
          <w:rStyle w:val="EndnoteReference"/>
          <w:rFonts w:asciiTheme="majorHAnsi" w:hAnsiTheme="majorHAnsi"/>
        </w:rPr>
        <w:endnoteReference w:id="26"/>
      </w:r>
    </w:p>
    <w:p w:rsidR="00965C2C" w:rsidRPr="00C52F41" w:rsidRDefault="007C661A" w:rsidP="00CA435D">
      <w:pPr>
        <w:pStyle w:val="Heading1"/>
        <w:numPr>
          <w:ilvl w:val="0"/>
          <w:numId w:val="35"/>
        </w:numPr>
        <w:rPr>
          <w:color w:val="000000" w:themeColor="text1"/>
        </w:rPr>
      </w:pPr>
      <w:bookmarkStart w:id="4" w:name="_Toc382569408"/>
      <w:r w:rsidRPr="00C52F41">
        <w:rPr>
          <w:color w:val="000000" w:themeColor="text1"/>
        </w:rPr>
        <w:t>Alternative approaches</w:t>
      </w:r>
      <w:bookmarkEnd w:id="4"/>
    </w:p>
    <w:p w:rsidR="007C661A" w:rsidRPr="00C52F41" w:rsidRDefault="007C661A" w:rsidP="000423A2">
      <w:pPr>
        <w:pStyle w:val="NoSpacing"/>
        <w:rPr>
          <w:rFonts w:asciiTheme="majorHAnsi" w:hAnsiTheme="majorHAnsi"/>
          <w:color w:val="000000" w:themeColor="text1"/>
          <w:sz w:val="28"/>
          <w:szCs w:val="28"/>
        </w:rPr>
      </w:pPr>
    </w:p>
    <w:p w:rsidR="00CA435D" w:rsidRPr="00FA0BAA" w:rsidRDefault="00CA435D" w:rsidP="00CA435D">
      <w:pPr>
        <w:pStyle w:val="NoSpacing"/>
        <w:rPr>
          <w:rFonts w:asciiTheme="majorHAnsi" w:hAnsiTheme="majorHAnsi"/>
          <w:u w:val="single"/>
        </w:rPr>
      </w:pPr>
      <w:r w:rsidRPr="00FA0BAA">
        <w:rPr>
          <w:rFonts w:asciiTheme="majorHAnsi" w:hAnsiTheme="majorHAnsi"/>
          <w:u w:val="single"/>
        </w:rPr>
        <w:t>Department of Environment and Climate Change (DECC)</w:t>
      </w:r>
    </w:p>
    <w:p w:rsidR="00CA435D" w:rsidRDefault="00CA435D" w:rsidP="00CA435D">
      <w:pPr>
        <w:pStyle w:val="NoSpacing"/>
        <w:rPr>
          <w:rFonts w:asciiTheme="majorHAnsi" w:hAnsiTheme="majorHAnsi"/>
        </w:rPr>
      </w:pPr>
      <w:r>
        <w:rPr>
          <w:rFonts w:asciiTheme="majorHAnsi" w:hAnsiTheme="majorHAnsi"/>
        </w:rPr>
        <w:t>DECC is the first government department to move away from a single supplier to a more complex series of providers for IT services.  Although more in-house resources are needed, with 8 new staff taken on, making a total of 1</w:t>
      </w:r>
      <w:r w:rsidR="001A0BF7">
        <w:rPr>
          <w:rFonts w:asciiTheme="majorHAnsi" w:hAnsiTheme="majorHAnsi"/>
        </w:rPr>
        <w:t>5</w:t>
      </w:r>
      <w:r>
        <w:rPr>
          <w:rFonts w:asciiTheme="majorHAnsi" w:hAnsiTheme="majorHAnsi"/>
        </w:rPr>
        <w:t xml:space="preserve"> staff, there will be a </w:t>
      </w:r>
      <w:r w:rsidRPr="005A053A">
        <w:rPr>
          <w:rFonts w:asciiTheme="majorHAnsi" w:hAnsiTheme="majorHAnsi"/>
        </w:rPr>
        <w:t>net savings on IT costs of 15-20% year on year</w:t>
      </w:r>
      <w:r>
        <w:rPr>
          <w:rFonts w:asciiTheme="majorHAnsi" w:hAnsiTheme="majorHAnsi"/>
        </w:rPr>
        <w:t xml:space="preserve">.  Using </w:t>
      </w:r>
      <w:r w:rsidRPr="007C661A">
        <w:rPr>
          <w:rFonts w:asciiTheme="majorHAnsi" w:hAnsiTheme="majorHAnsi"/>
        </w:rPr>
        <w:t xml:space="preserve">complex, customised in-house resources, this </w:t>
      </w:r>
      <w:r>
        <w:rPr>
          <w:rFonts w:asciiTheme="majorHAnsi" w:hAnsiTheme="majorHAnsi"/>
        </w:rPr>
        <w:t>contradicts the view of the NAO, which has argued that standardised and streamlined ones are cheaper.</w:t>
      </w:r>
    </w:p>
    <w:p w:rsidR="00CA435D" w:rsidRDefault="00CA435D" w:rsidP="00CA435D">
      <w:pPr>
        <w:pStyle w:val="NoSpacing"/>
        <w:rPr>
          <w:rFonts w:asciiTheme="majorHAnsi" w:hAnsiTheme="majorHAnsi"/>
          <w:color w:val="000000" w:themeColor="text1"/>
        </w:rPr>
      </w:pPr>
      <w:r w:rsidRPr="005A053A">
        <w:rPr>
          <w:rFonts w:asciiTheme="majorHAnsi" w:hAnsiTheme="majorHAnsi"/>
        </w:rPr>
        <w:lastRenderedPageBreak/>
        <w:t>Fujitsu</w:t>
      </w:r>
      <w:r>
        <w:rPr>
          <w:rFonts w:asciiTheme="majorHAnsi" w:hAnsiTheme="majorHAnsi"/>
        </w:rPr>
        <w:t xml:space="preserve"> was described as </w:t>
      </w:r>
      <w:r w:rsidRPr="005A053A">
        <w:rPr>
          <w:rFonts w:asciiTheme="majorHAnsi" w:hAnsiTheme="majorHAnsi"/>
        </w:rPr>
        <w:t>good ‘for keeping lights on</w:t>
      </w:r>
      <w:r>
        <w:rPr>
          <w:rFonts w:asciiTheme="majorHAnsi" w:hAnsiTheme="majorHAnsi"/>
        </w:rPr>
        <w:t xml:space="preserve"> but it </w:t>
      </w:r>
      <w:r>
        <w:rPr>
          <w:lang w:val="en"/>
        </w:rPr>
        <w:t xml:space="preserve">didn’t deliver change and refresh with the speed of technology changes’ </w:t>
      </w:r>
      <w:r w:rsidRPr="005A053A">
        <w:rPr>
          <w:rFonts w:asciiTheme="majorHAnsi" w:hAnsiTheme="majorHAnsi"/>
        </w:rPr>
        <w:t>(Ritchie, CTO at DECC)</w:t>
      </w:r>
      <w:r w:rsidR="001A0BF7">
        <w:rPr>
          <w:rFonts w:asciiTheme="majorHAnsi" w:hAnsiTheme="majorHAnsi"/>
        </w:rPr>
        <w:t xml:space="preserve"> </w:t>
      </w:r>
      <w:r>
        <w:rPr>
          <w:rStyle w:val="EndnoteReference"/>
          <w:rFonts w:asciiTheme="majorHAnsi" w:hAnsiTheme="majorHAnsi"/>
        </w:rPr>
        <w:endnoteReference w:id="27"/>
      </w:r>
      <w:r>
        <w:rPr>
          <w:rFonts w:asciiTheme="majorHAnsi" w:hAnsiTheme="majorHAnsi"/>
        </w:rPr>
        <w:t xml:space="preserve">  </w:t>
      </w:r>
      <w:proofErr w:type="gramStart"/>
      <w:r>
        <w:rPr>
          <w:rFonts w:asciiTheme="majorHAnsi" w:hAnsiTheme="majorHAnsi"/>
        </w:rPr>
        <w:t>This</w:t>
      </w:r>
      <w:proofErr w:type="gramEnd"/>
      <w:r>
        <w:rPr>
          <w:rFonts w:asciiTheme="majorHAnsi" w:hAnsiTheme="majorHAnsi"/>
        </w:rPr>
        <w:t xml:space="preserve"> shows the failure of a private sector provider to deliver innovation and efficiency. </w:t>
      </w:r>
      <w:r>
        <w:rPr>
          <w:rStyle w:val="EndnoteReference"/>
          <w:rFonts w:asciiTheme="majorHAnsi" w:hAnsiTheme="majorHAnsi"/>
        </w:rPr>
        <w:endnoteReference w:id="28"/>
      </w:r>
    </w:p>
    <w:p w:rsidR="00965C2C" w:rsidRPr="00C52F41" w:rsidRDefault="00965C2C" w:rsidP="00CA435D">
      <w:pPr>
        <w:pStyle w:val="Heading1"/>
        <w:numPr>
          <w:ilvl w:val="0"/>
          <w:numId w:val="35"/>
        </w:numPr>
        <w:rPr>
          <w:color w:val="000000" w:themeColor="text1"/>
          <w:sz w:val="24"/>
          <w:szCs w:val="24"/>
        </w:rPr>
      </w:pPr>
      <w:bookmarkStart w:id="5" w:name="_Toc382569409"/>
      <w:r w:rsidRPr="00C52F41">
        <w:rPr>
          <w:color w:val="000000" w:themeColor="text1"/>
          <w:sz w:val="24"/>
          <w:szCs w:val="24"/>
        </w:rPr>
        <w:t>Local level</w:t>
      </w:r>
      <w:bookmarkEnd w:id="5"/>
    </w:p>
    <w:p w:rsidR="00965C2C" w:rsidRPr="00C52F41" w:rsidRDefault="00965C2C" w:rsidP="000423A2">
      <w:pPr>
        <w:pStyle w:val="NoSpacing"/>
        <w:rPr>
          <w:rFonts w:asciiTheme="majorHAnsi" w:hAnsiTheme="majorHAnsi"/>
          <w:sz w:val="24"/>
          <w:szCs w:val="24"/>
        </w:rPr>
      </w:pPr>
    </w:p>
    <w:p w:rsidR="007E05D7" w:rsidRDefault="007E05D7" w:rsidP="007E05D7">
      <w:pPr>
        <w:pStyle w:val="NoSpacing"/>
        <w:rPr>
          <w:rFonts w:asciiTheme="majorHAnsi" w:hAnsiTheme="majorHAnsi"/>
        </w:rPr>
      </w:pPr>
      <w:r>
        <w:rPr>
          <w:rFonts w:asciiTheme="majorHAnsi" w:hAnsiTheme="majorHAnsi"/>
          <w:bCs/>
        </w:rPr>
        <w:t>At</w:t>
      </w:r>
      <w:r w:rsidRPr="005A053A">
        <w:rPr>
          <w:rFonts w:asciiTheme="majorHAnsi" w:hAnsiTheme="majorHAnsi"/>
          <w:bCs/>
        </w:rPr>
        <w:t xml:space="preserve"> local level there have been some positive </w:t>
      </w:r>
      <w:r>
        <w:rPr>
          <w:rFonts w:asciiTheme="majorHAnsi" w:hAnsiTheme="majorHAnsi"/>
          <w:bCs/>
        </w:rPr>
        <w:t xml:space="preserve">changes in relation to </w:t>
      </w:r>
      <w:r w:rsidRPr="005A053A">
        <w:rPr>
          <w:rFonts w:asciiTheme="majorHAnsi" w:hAnsiTheme="majorHAnsi"/>
          <w:bCs/>
        </w:rPr>
        <w:t>Shared Services. According to the Local Government Association,</w:t>
      </w:r>
      <w:r w:rsidR="001B7F20">
        <w:rPr>
          <w:rStyle w:val="EndnoteReference"/>
          <w:rFonts w:asciiTheme="majorHAnsi" w:hAnsiTheme="majorHAnsi"/>
          <w:bCs/>
        </w:rPr>
        <w:endnoteReference w:id="29"/>
      </w:r>
      <w:r w:rsidR="001B7F20">
        <w:rPr>
          <w:rFonts w:asciiTheme="majorHAnsi" w:hAnsiTheme="majorHAnsi"/>
          <w:bCs/>
        </w:rPr>
        <w:t xml:space="preserve"> </w:t>
      </w:r>
      <w:r w:rsidRPr="005A053A">
        <w:rPr>
          <w:rFonts w:asciiTheme="majorHAnsi" w:hAnsiTheme="majorHAnsi"/>
        </w:rPr>
        <w:t>some 337 councils across country are engaged in 305 shared service arrangements</w:t>
      </w:r>
      <w:r>
        <w:rPr>
          <w:rFonts w:asciiTheme="majorHAnsi" w:hAnsiTheme="majorHAnsi"/>
        </w:rPr>
        <w:t>,</w:t>
      </w:r>
      <w:r w:rsidRPr="005A053A">
        <w:rPr>
          <w:rFonts w:asciiTheme="majorHAnsi" w:hAnsiTheme="majorHAnsi"/>
        </w:rPr>
        <w:t xml:space="preserve"> which reportedly result in £263m of efficiency savings. The details of the latter need further exploration. </w:t>
      </w:r>
    </w:p>
    <w:p w:rsidR="001A0BF7" w:rsidRDefault="001A0BF7" w:rsidP="007E05D7">
      <w:pPr>
        <w:pStyle w:val="NoSpacing"/>
        <w:rPr>
          <w:rFonts w:asciiTheme="majorHAnsi" w:hAnsiTheme="majorHAnsi"/>
          <w:bCs/>
        </w:rPr>
      </w:pPr>
    </w:p>
    <w:p w:rsidR="007E05D7" w:rsidRPr="004219E9" w:rsidRDefault="007E05D7" w:rsidP="007E05D7">
      <w:pPr>
        <w:pStyle w:val="NoSpacing"/>
        <w:rPr>
          <w:rFonts w:asciiTheme="majorHAnsi" w:hAnsiTheme="majorHAnsi"/>
          <w:b/>
          <w:bCs/>
          <w:u w:val="single"/>
        </w:rPr>
      </w:pPr>
      <w:r w:rsidRPr="004219E9">
        <w:rPr>
          <w:rFonts w:asciiTheme="majorHAnsi" w:hAnsiTheme="majorHAnsi"/>
          <w:b/>
          <w:bCs/>
          <w:u w:val="single"/>
        </w:rPr>
        <w:t xml:space="preserve">Table </w:t>
      </w:r>
      <w:r w:rsidR="001A0BF7">
        <w:rPr>
          <w:rFonts w:asciiTheme="majorHAnsi" w:hAnsiTheme="majorHAnsi"/>
          <w:b/>
          <w:bCs/>
          <w:u w:val="single"/>
        </w:rPr>
        <w:t>7</w:t>
      </w:r>
      <w:r w:rsidRPr="004219E9">
        <w:rPr>
          <w:rFonts w:asciiTheme="majorHAnsi" w:hAnsiTheme="majorHAnsi"/>
          <w:b/>
          <w:bCs/>
          <w:u w:val="single"/>
        </w:rPr>
        <w:t xml:space="preserve">: </w:t>
      </w:r>
      <w:r>
        <w:rPr>
          <w:rFonts w:asciiTheme="majorHAnsi" w:hAnsiTheme="majorHAnsi"/>
          <w:b/>
          <w:bCs/>
          <w:u w:val="single"/>
        </w:rPr>
        <w:t>Efficiency savings</w:t>
      </w:r>
    </w:p>
    <w:p w:rsidR="007E05D7" w:rsidRDefault="007E05D7" w:rsidP="007E05D7">
      <w:pPr>
        <w:pStyle w:val="NoSpacing"/>
        <w:rPr>
          <w:rFonts w:asciiTheme="majorHAnsi" w:hAnsiTheme="majorHAnsi"/>
          <w:bCs/>
        </w:rPr>
      </w:pPr>
    </w:p>
    <w:tbl>
      <w:tblPr>
        <w:tblStyle w:val="TableGrid"/>
        <w:tblW w:w="0" w:type="auto"/>
        <w:tblLook w:val="04A0" w:firstRow="1" w:lastRow="0" w:firstColumn="1" w:lastColumn="0" w:noHBand="0" w:noVBand="1"/>
      </w:tblPr>
      <w:tblGrid>
        <w:gridCol w:w="3080"/>
        <w:gridCol w:w="3081"/>
        <w:gridCol w:w="3081"/>
      </w:tblGrid>
      <w:tr w:rsidR="007E05D7" w:rsidTr="00BE35B4">
        <w:trPr>
          <w:trHeight w:val="390"/>
        </w:trPr>
        <w:tc>
          <w:tcPr>
            <w:tcW w:w="3080" w:type="dxa"/>
          </w:tcPr>
          <w:p w:rsidR="007E05D7" w:rsidRDefault="007E05D7" w:rsidP="00BE35B4">
            <w:pPr>
              <w:pStyle w:val="NoSpacing"/>
              <w:rPr>
                <w:rFonts w:asciiTheme="majorHAnsi" w:hAnsiTheme="majorHAnsi"/>
                <w:bCs/>
              </w:rPr>
            </w:pPr>
            <w:r>
              <w:rPr>
                <w:rFonts w:asciiTheme="majorHAnsi" w:hAnsiTheme="majorHAnsi"/>
                <w:bCs/>
              </w:rPr>
              <w:t>Number of councils</w:t>
            </w:r>
          </w:p>
        </w:tc>
        <w:tc>
          <w:tcPr>
            <w:tcW w:w="3081" w:type="dxa"/>
          </w:tcPr>
          <w:p w:rsidR="007E05D7" w:rsidRDefault="007E05D7" w:rsidP="00BE35B4">
            <w:pPr>
              <w:pStyle w:val="NoSpacing"/>
              <w:rPr>
                <w:rFonts w:asciiTheme="majorHAnsi" w:hAnsiTheme="majorHAnsi"/>
                <w:bCs/>
              </w:rPr>
            </w:pPr>
            <w:r>
              <w:rPr>
                <w:rFonts w:asciiTheme="majorHAnsi" w:hAnsiTheme="majorHAnsi"/>
                <w:bCs/>
              </w:rPr>
              <w:t xml:space="preserve">Number of shared services arrangements </w:t>
            </w:r>
          </w:p>
        </w:tc>
        <w:tc>
          <w:tcPr>
            <w:tcW w:w="3081" w:type="dxa"/>
          </w:tcPr>
          <w:p w:rsidR="007E05D7" w:rsidRDefault="007E05D7" w:rsidP="00BE35B4">
            <w:pPr>
              <w:pStyle w:val="NoSpacing"/>
              <w:rPr>
                <w:rFonts w:asciiTheme="majorHAnsi" w:hAnsiTheme="majorHAnsi"/>
                <w:bCs/>
              </w:rPr>
            </w:pPr>
            <w:r>
              <w:rPr>
                <w:rFonts w:asciiTheme="majorHAnsi" w:hAnsiTheme="majorHAnsi"/>
                <w:bCs/>
              </w:rPr>
              <w:t>Savings</w:t>
            </w:r>
          </w:p>
        </w:tc>
      </w:tr>
      <w:tr w:rsidR="007E05D7" w:rsidTr="00BE35B4">
        <w:trPr>
          <w:trHeight w:val="390"/>
        </w:trPr>
        <w:tc>
          <w:tcPr>
            <w:tcW w:w="3080" w:type="dxa"/>
          </w:tcPr>
          <w:p w:rsidR="007E05D7" w:rsidRDefault="007E05D7" w:rsidP="00BE35B4">
            <w:pPr>
              <w:pStyle w:val="NoSpacing"/>
              <w:rPr>
                <w:rFonts w:asciiTheme="majorHAnsi" w:hAnsiTheme="majorHAnsi"/>
                <w:bCs/>
              </w:rPr>
            </w:pPr>
            <w:r>
              <w:rPr>
                <w:rFonts w:asciiTheme="majorHAnsi" w:hAnsiTheme="majorHAnsi"/>
                <w:bCs/>
              </w:rPr>
              <w:t>337</w:t>
            </w:r>
          </w:p>
        </w:tc>
        <w:tc>
          <w:tcPr>
            <w:tcW w:w="3081" w:type="dxa"/>
          </w:tcPr>
          <w:p w:rsidR="007E05D7" w:rsidRDefault="007E05D7" w:rsidP="00BE35B4">
            <w:pPr>
              <w:pStyle w:val="NoSpacing"/>
              <w:rPr>
                <w:rFonts w:asciiTheme="majorHAnsi" w:hAnsiTheme="majorHAnsi"/>
                <w:bCs/>
              </w:rPr>
            </w:pPr>
            <w:r>
              <w:rPr>
                <w:rFonts w:asciiTheme="majorHAnsi" w:hAnsiTheme="majorHAnsi"/>
                <w:bCs/>
              </w:rPr>
              <w:t>305</w:t>
            </w:r>
          </w:p>
        </w:tc>
        <w:tc>
          <w:tcPr>
            <w:tcW w:w="3081" w:type="dxa"/>
          </w:tcPr>
          <w:p w:rsidR="007E05D7" w:rsidRDefault="007E05D7" w:rsidP="00BE35B4">
            <w:pPr>
              <w:pStyle w:val="NoSpacing"/>
              <w:rPr>
                <w:rFonts w:asciiTheme="majorHAnsi" w:hAnsiTheme="majorHAnsi"/>
                <w:bCs/>
              </w:rPr>
            </w:pPr>
            <w:r>
              <w:rPr>
                <w:rFonts w:asciiTheme="majorHAnsi" w:hAnsiTheme="majorHAnsi"/>
                <w:bCs/>
              </w:rPr>
              <w:t>£263m efficiency saving</w:t>
            </w:r>
          </w:p>
        </w:tc>
      </w:tr>
    </w:tbl>
    <w:p w:rsidR="0046616B" w:rsidRDefault="0046616B" w:rsidP="000423A2">
      <w:pPr>
        <w:pStyle w:val="NoSpacing"/>
        <w:rPr>
          <w:rFonts w:asciiTheme="majorHAnsi" w:hAnsiTheme="majorHAnsi"/>
        </w:rPr>
      </w:pPr>
    </w:p>
    <w:p w:rsidR="007C661A" w:rsidRPr="00C52F41" w:rsidRDefault="0046616B" w:rsidP="00CA435D">
      <w:pPr>
        <w:pStyle w:val="Heading1"/>
        <w:numPr>
          <w:ilvl w:val="0"/>
          <w:numId w:val="35"/>
        </w:numPr>
        <w:rPr>
          <w:color w:val="000000" w:themeColor="text1"/>
          <w:sz w:val="24"/>
          <w:szCs w:val="24"/>
        </w:rPr>
      </w:pPr>
      <w:bookmarkStart w:id="6" w:name="_Toc382569410"/>
      <w:r w:rsidRPr="00C52F41">
        <w:rPr>
          <w:color w:val="000000" w:themeColor="text1"/>
          <w:sz w:val="24"/>
          <w:szCs w:val="24"/>
        </w:rPr>
        <w:t>Conclusion</w:t>
      </w:r>
      <w:bookmarkEnd w:id="6"/>
    </w:p>
    <w:p w:rsidR="0046616B" w:rsidRPr="00C52F41" w:rsidRDefault="0046616B" w:rsidP="0022029B">
      <w:pPr>
        <w:autoSpaceDE w:val="0"/>
        <w:autoSpaceDN w:val="0"/>
        <w:adjustRightInd w:val="0"/>
        <w:spacing w:after="0" w:line="240" w:lineRule="auto"/>
        <w:rPr>
          <w:rFonts w:ascii="HelveticaNeue-Roman" w:hAnsi="HelveticaNeue-Roman" w:cs="HelveticaNeue-Roman"/>
          <w:sz w:val="24"/>
          <w:szCs w:val="24"/>
        </w:rPr>
      </w:pPr>
    </w:p>
    <w:p w:rsidR="000E4A76" w:rsidRDefault="00CA435D" w:rsidP="0022029B">
      <w:pPr>
        <w:autoSpaceDE w:val="0"/>
        <w:autoSpaceDN w:val="0"/>
        <w:adjustRightInd w:val="0"/>
        <w:spacing w:after="0" w:line="240" w:lineRule="auto"/>
        <w:rPr>
          <w:rFonts w:asciiTheme="majorHAnsi" w:hAnsiTheme="majorHAnsi" w:cs="HelveticaNeue-Roman"/>
        </w:rPr>
      </w:pPr>
      <w:bookmarkStart w:id="7" w:name="_GoBack"/>
      <w:r w:rsidRPr="007D1DE6">
        <w:rPr>
          <w:rFonts w:asciiTheme="majorHAnsi" w:hAnsiTheme="majorHAnsi" w:cs="HelveticaNeue-Roman"/>
        </w:rPr>
        <w:t xml:space="preserve">Shared Services is a concept used by the private sector which has been adopted by the UK government.  For the last decade, shared services system have been introduced to </w:t>
      </w:r>
      <w:proofErr w:type="gramStart"/>
      <w:r w:rsidRPr="007D1DE6">
        <w:rPr>
          <w:rFonts w:asciiTheme="majorHAnsi" w:hAnsiTheme="majorHAnsi" w:cs="HelveticaNeue-Roman"/>
        </w:rPr>
        <w:t>central  government</w:t>
      </w:r>
      <w:proofErr w:type="gramEnd"/>
      <w:r w:rsidRPr="007D1DE6">
        <w:rPr>
          <w:rFonts w:asciiTheme="majorHAnsi" w:hAnsiTheme="majorHAnsi" w:cs="HelveticaNeue-Roman"/>
        </w:rPr>
        <w:t xml:space="preserve"> departments, as a way of saving money.  Evaluations, by the National Audit Office, show that </w:t>
      </w:r>
      <w:r w:rsidR="000E4A76">
        <w:rPr>
          <w:rFonts w:asciiTheme="majorHAnsi" w:hAnsiTheme="majorHAnsi" w:cs="HelveticaNeue-Roman"/>
        </w:rPr>
        <w:t>the most striking feature of many schemes is that there are no savings and quality of services falls.</w:t>
      </w:r>
      <w:r w:rsidRPr="007D1DE6">
        <w:rPr>
          <w:rFonts w:asciiTheme="majorHAnsi" w:hAnsiTheme="majorHAnsi" w:cs="HelveticaNeue-Roman"/>
        </w:rPr>
        <w:t xml:space="preserve">  There is a failure to learn from the experiences of the last 10 years. </w:t>
      </w:r>
    </w:p>
    <w:p w:rsidR="000E4A76" w:rsidRDefault="000E4A76" w:rsidP="0022029B">
      <w:pPr>
        <w:autoSpaceDE w:val="0"/>
        <w:autoSpaceDN w:val="0"/>
        <w:adjustRightInd w:val="0"/>
        <w:spacing w:after="0" w:line="240" w:lineRule="auto"/>
        <w:rPr>
          <w:rFonts w:asciiTheme="majorHAnsi" w:hAnsiTheme="majorHAnsi" w:cs="HelveticaNeue-Roman"/>
        </w:rPr>
      </w:pPr>
    </w:p>
    <w:bookmarkEnd w:id="7"/>
    <w:p w:rsidR="007D1DE6" w:rsidRPr="007D1DE6" w:rsidRDefault="00CA435D" w:rsidP="0022029B">
      <w:pPr>
        <w:autoSpaceDE w:val="0"/>
        <w:autoSpaceDN w:val="0"/>
        <w:adjustRightInd w:val="0"/>
        <w:spacing w:after="0" w:line="240" w:lineRule="auto"/>
        <w:rPr>
          <w:rFonts w:asciiTheme="majorHAnsi" w:hAnsiTheme="majorHAnsi" w:cs="HelveticaNeue-Roman"/>
        </w:rPr>
      </w:pPr>
      <w:r w:rsidRPr="007D1DE6">
        <w:rPr>
          <w:rFonts w:asciiTheme="majorHAnsi" w:hAnsiTheme="majorHAnsi" w:cs="HelveticaNeue-Roman"/>
        </w:rPr>
        <w:t>This is particularly pertinent now because of the predicted outsourcing of shared services by the Ministry of Justice.  T</w:t>
      </w:r>
      <w:r w:rsidR="007D1DE6" w:rsidRPr="007D1DE6">
        <w:rPr>
          <w:rFonts w:asciiTheme="majorHAnsi" w:hAnsiTheme="majorHAnsi" w:cs="HelveticaNeue-Roman"/>
        </w:rPr>
        <w:t xml:space="preserve">he recent bid that </w:t>
      </w:r>
      <w:proofErr w:type="spellStart"/>
      <w:r w:rsidR="007D1DE6" w:rsidRPr="007D1DE6">
        <w:rPr>
          <w:rFonts w:asciiTheme="majorHAnsi" w:hAnsiTheme="majorHAnsi" w:cs="HelveticaNeue-Roman"/>
        </w:rPr>
        <w:t>Steria</w:t>
      </w:r>
      <w:proofErr w:type="spellEnd"/>
      <w:r w:rsidR="007D1DE6" w:rsidRPr="007D1DE6">
        <w:rPr>
          <w:rFonts w:asciiTheme="majorHAnsi" w:hAnsiTheme="majorHAnsi" w:cs="HelveticaNeue-Roman"/>
        </w:rPr>
        <w:t xml:space="preserve"> presented to provide shared services to the DWP, DEFRA and the Environment Agency</w:t>
      </w:r>
      <w:r w:rsidR="007D1DE6">
        <w:rPr>
          <w:rFonts w:asciiTheme="majorHAnsi" w:hAnsiTheme="majorHAnsi" w:cs="HelveticaNeue-Roman"/>
        </w:rPr>
        <w:t>, through the creation of SSCL,</w:t>
      </w:r>
      <w:r w:rsidR="007D1DE6" w:rsidRPr="007D1DE6">
        <w:rPr>
          <w:rFonts w:asciiTheme="majorHAnsi" w:hAnsiTheme="majorHAnsi" w:cs="HelveticaNeue-Roman"/>
        </w:rPr>
        <w:t xml:space="preserve"> shows the assumptions that multinational companies are making when bidding for shared services.  Clearly, the aim of the multinational company is to maximise profits as well as secure future markets</w:t>
      </w:r>
      <w:r w:rsidR="007D1DE6">
        <w:rPr>
          <w:rFonts w:asciiTheme="majorHAnsi" w:hAnsiTheme="majorHAnsi" w:cs="HelveticaNeue-Roman"/>
        </w:rPr>
        <w:t xml:space="preserve"> in the public sector</w:t>
      </w:r>
      <w:r w:rsidR="007D1DE6" w:rsidRPr="007D1DE6">
        <w:rPr>
          <w:rFonts w:asciiTheme="majorHAnsi" w:hAnsiTheme="majorHAnsi" w:cs="HelveticaNeue-Roman"/>
        </w:rPr>
        <w:t>.</w:t>
      </w:r>
      <w:r w:rsidR="007D1DE6">
        <w:rPr>
          <w:rFonts w:asciiTheme="majorHAnsi" w:hAnsiTheme="majorHAnsi" w:cs="HelveticaNeue-Roman"/>
        </w:rPr>
        <w:t xml:space="preserve">  Providing shared services to several government departments will enable </w:t>
      </w:r>
      <w:proofErr w:type="spellStart"/>
      <w:r w:rsidR="007D1DE6">
        <w:rPr>
          <w:rFonts w:asciiTheme="majorHAnsi" w:hAnsiTheme="majorHAnsi" w:cs="HelveticaNeue-Roman"/>
        </w:rPr>
        <w:t>Steria</w:t>
      </w:r>
      <w:proofErr w:type="spellEnd"/>
      <w:r w:rsidR="007D1DE6">
        <w:rPr>
          <w:rFonts w:asciiTheme="majorHAnsi" w:hAnsiTheme="majorHAnsi" w:cs="HelveticaNeue-Roman"/>
        </w:rPr>
        <w:t xml:space="preserve"> to expand.  Meanwhile civil service jobs will be lost and the expertise and competence of government will be undermined.</w:t>
      </w:r>
      <w:r w:rsidR="007D1DE6" w:rsidRPr="007D1DE6">
        <w:rPr>
          <w:rFonts w:asciiTheme="majorHAnsi" w:hAnsiTheme="majorHAnsi" w:cs="HelveticaNeue-Roman"/>
        </w:rPr>
        <w:t xml:space="preserve">  </w:t>
      </w:r>
      <w:r w:rsidR="007D1DE6">
        <w:rPr>
          <w:rFonts w:asciiTheme="majorHAnsi" w:hAnsiTheme="majorHAnsi" w:cs="HelveticaNeue-Roman"/>
        </w:rPr>
        <w:t xml:space="preserve"> </w:t>
      </w:r>
    </w:p>
    <w:p w:rsidR="007D1DE6" w:rsidRDefault="007D1DE6" w:rsidP="0022029B">
      <w:pPr>
        <w:autoSpaceDE w:val="0"/>
        <w:autoSpaceDN w:val="0"/>
        <w:adjustRightInd w:val="0"/>
        <w:spacing w:after="0" w:line="240" w:lineRule="auto"/>
        <w:rPr>
          <w:rFonts w:ascii="HelveticaNeue-Roman" w:hAnsi="HelveticaNeue-Roman" w:cs="HelveticaNeue-Roman"/>
          <w:sz w:val="21"/>
          <w:szCs w:val="21"/>
        </w:rPr>
      </w:pPr>
    </w:p>
    <w:p w:rsidR="007D1DE6" w:rsidRDefault="007D1DE6" w:rsidP="0022029B">
      <w:pPr>
        <w:autoSpaceDE w:val="0"/>
        <w:autoSpaceDN w:val="0"/>
        <w:adjustRightInd w:val="0"/>
        <w:spacing w:after="0" w:line="240" w:lineRule="auto"/>
        <w:rPr>
          <w:rFonts w:ascii="HelveticaNeue-Roman" w:hAnsi="HelveticaNeue-Roman" w:cs="HelveticaNeue-Roman"/>
          <w:sz w:val="21"/>
          <w:szCs w:val="21"/>
        </w:rPr>
      </w:pPr>
    </w:p>
    <w:sectPr w:rsidR="007D1DE6">
      <w:headerReference w:type="default" r:id="rId10"/>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B4" w:rsidRDefault="00BE35B4" w:rsidP="00FB0FB9">
      <w:pPr>
        <w:spacing w:after="0" w:line="240" w:lineRule="auto"/>
      </w:pPr>
      <w:r>
        <w:separator/>
      </w:r>
    </w:p>
  </w:endnote>
  <w:endnote w:type="continuationSeparator" w:id="0">
    <w:p w:rsidR="00BE35B4" w:rsidRDefault="00BE35B4" w:rsidP="00FB0FB9">
      <w:pPr>
        <w:spacing w:after="0" w:line="240" w:lineRule="auto"/>
      </w:pPr>
      <w:r>
        <w:continuationSeparator/>
      </w:r>
    </w:p>
  </w:endnote>
  <w:endnote w:id="1">
    <w:p w:rsidR="00096F3E" w:rsidRPr="0025277C" w:rsidRDefault="00096F3E" w:rsidP="00096F3E">
      <w:pPr>
        <w:pStyle w:val="EndnoteText"/>
        <w:rPr>
          <w:rFonts w:cs="Times New Roman"/>
        </w:rPr>
      </w:pPr>
      <w:r>
        <w:rPr>
          <w:rStyle w:val="EndnoteReference"/>
        </w:rPr>
        <w:endnoteRef/>
      </w:r>
      <w:r>
        <w:t xml:space="preserve"> </w:t>
      </w:r>
      <w:r w:rsidRPr="00096F3E">
        <w:rPr>
          <w:rFonts w:asciiTheme="majorHAnsi" w:hAnsiTheme="majorHAnsi"/>
          <w:lang w:eastAsia="en-GB"/>
        </w:rPr>
        <w:t xml:space="preserve"> </w:t>
      </w:r>
      <w:r w:rsidRPr="0025277C">
        <w:rPr>
          <w:rFonts w:cs="Times New Roman"/>
          <w:lang w:eastAsia="en-GB"/>
        </w:rPr>
        <w:t xml:space="preserve">Su N., </w:t>
      </w:r>
      <w:proofErr w:type="spellStart"/>
      <w:r w:rsidRPr="0025277C">
        <w:rPr>
          <w:rFonts w:cs="Times New Roman"/>
          <w:lang w:eastAsia="en-GB"/>
        </w:rPr>
        <w:t>Akkiraju</w:t>
      </w:r>
      <w:proofErr w:type="spellEnd"/>
      <w:r w:rsidRPr="0025277C">
        <w:rPr>
          <w:rFonts w:cs="Times New Roman"/>
          <w:lang w:eastAsia="en-GB"/>
        </w:rPr>
        <w:t xml:space="preserve"> R., </w:t>
      </w:r>
      <w:proofErr w:type="spellStart"/>
      <w:r w:rsidRPr="0025277C">
        <w:rPr>
          <w:rFonts w:cs="Times New Roman"/>
          <w:lang w:eastAsia="en-GB"/>
        </w:rPr>
        <w:t>Nayak</w:t>
      </w:r>
      <w:proofErr w:type="spellEnd"/>
      <w:r w:rsidRPr="0025277C">
        <w:rPr>
          <w:rFonts w:cs="Times New Roman"/>
          <w:lang w:eastAsia="en-GB"/>
        </w:rPr>
        <w:t xml:space="preserve"> N., &amp; Goodwin R. (2009) Shared Services Transformation: Conceptualization and valuation from the perspective of real options </w:t>
      </w:r>
      <w:r w:rsidRPr="0025277C">
        <w:rPr>
          <w:rFonts w:cs="Times New Roman"/>
          <w:u w:val="single"/>
          <w:lang w:eastAsia="en-GB"/>
        </w:rPr>
        <w:t>Decision Sciences</w:t>
      </w:r>
      <w:r w:rsidRPr="0025277C">
        <w:rPr>
          <w:rFonts w:cs="Times New Roman"/>
          <w:lang w:eastAsia="en-GB"/>
        </w:rPr>
        <w:t xml:space="preserve"> 40(3): 281-302</w:t>
      </w:r>
    </w:p>
  </w:endnote>
  <w:endnote w:id="2">
    <w:p w:rsidR="00096F3E" w:rsidRDefault="00096F3E">
      <w:pPr>
        <w:pStyle w:val="EndnoteText"/>
      </w:pPr>
      <w:r w:rsidRPr="0025277C">
        <w:rPr>
          <w:rStyle w:val="EndnoteReference"/>
          <w:rFonts w:ascii="Times New Roman" w:hAnsi="Times New Roman" w:cs="Times New Roman"/>
        </w:rPr>
        <w:endnoteRef/>
      </w:r>
      <w:r w:rsidRPr="0025277C">
        <w:rPr>
          <w:rFonts w:ascii="Times New Roman" w:hAnsi="Times New Roman" w:cs="Times New Roman"/>
        </w:rPr>
        <w:t xml:space="preserve"> (</w:t>
      </w:r>
      <w:r w:rsidRPr="00096F3E">
        <w:t>Cabinet Office</w:t>
      </w:r>
      <w:r>
        <w:t xml:space="preserve"> (2013)</w:t>
      </w:r>
      <w:r w:rsidRPr="00096F3E">
        <w:t xml:space="preserve"> </w:t>
      </w:r>
      <w:r w:rsidR="0025277C" w:rsidRPr="0025277C">
        <w:rPr>
          <w:u w:val="single"/>
        </w:rPr>
        <w:t>Next Generation Shared Services. The Strategic Plan</w:t>
      </w:r>
      <w:r w:rsidR="0025277C" w:rsidRPr="0025277C">
        <w:t xml:space="preserve"> </w:t>
      </w:r>
      <w:r w:rsidR="0025277C">
        <w:t xml:space="preserve">(updated </w:t>
      </w:r>
      <w:r w:rsidRPr="00096F3E">
        <w:t>1 Nov 2013).</w:t>
      </w:r>
    </w:p>
  </w:endnote>
  <w:endnote w:id="3">
    <w:p w:rsidR="00096F3E" w:rsidRDefault="00096F3E">
      <w:pPr>
        <w:pStyle w:val="EndnoteText"/>
      </w:pPr>
      <w:r>
        <w:rPr>
          <w:rStyle w:val="EndnoteReference"/>
        </w:rPr>
        <w:endnoteRef/>
      </w:r>
      <w:r>
        <w:t xml:space="preserve"> Cabinet Office (20</w:t>
      </w:r>
      <w:r w:rsidR="0025277C">
        <w:t>11</w:t>
      </w:r>
      <w:r>
        <w:t xml:space="preserve">) </w:t>
      </w:r>
      <w:r w:rsidR="0025277C" w:rsidRPr="0025277C">
        <w:rPr>
          <w:u w:val="single"/>
        </w:rPr>
        <w:t>Next Generation Shared Services. The Strategic Plan</w:t>
      </w:r>
    </w:p>
  </w:endnote>
  <w:endnote w:id="4">
    <w:p w:rsidR="00096F3E" w:rsidRDefault="00096F3E">
      <w:pPr>
        <w:pStyle w:val="EndnoteText"/>
      </w:pPr>
      <w:r>
        <w:rPr>
          <w:rStyle w:val="EndnoteReference"/>
        </w:rPr>
        <w:endnoteRef/>
      </w:r>
      <w:r>
        <w:t xml:space="preserve"> </w:t>
      </w:r>
      <w:r w:rsidR="00143075">
        <w:t xml:space="preserve">House of Commons Committee of Public Accounts </w:t>
      </w:r>
      <w:r w:rsidRPr="00096F3E">
        <w:t xml:space="preserve"> </w:t>
      </w:r>
      <w:r>
        <w:t xml:space="preserve">(2012) </w:t>
      </w:r>
      <w:r w:rsidRPr="00096F3E">
        <w:rPr>
          <w:u w:val="single"/>
        </w:rPr>
        <w:t>Efficiency and Reform in Government Corporate Functions through Shared Service Centres</w:t>
      </w:r>
      <w:r>
        <w:rPr>
          <w:u w:val="single"/>
        </w:rPr>
        <w:t xml:space="preserve"> </w:t>
      </w:r>
    </w:p>
  </w:endnote>
  <w:endnote w:id="5">
    <w:p w:rsidR="00DE3348" w:rsidRDefault="00DE3348">
      <w:pPr>
        <w:pStyle w:val="EndnoteText"/>
      </w:pPr>
      <w:r>
        <w:rPr>
          <w:rStyle w:val="EndnoteReference"/>
        </w:rPr>
        <w:endnoteRef/>
      </w:r>
      <w:r>
        <w:t xml:space="preserve"> </w:t>
      </w:r>
      <w:r w:rsidR="0025277C">
        <w:t xml:space="preserve">Cabinet Office (2011) </w:t>
      </w:r>
      <w:r w:rsidR="0025277C" w:rsidRPr="0025277C">
        <w:rPr>
          <w:u w:val="single"/>
        </w:rPr>
        <w:t>Government Shared Services: A Strategic Vision</w:t>
      </w:r>
      <w:r w:rsidR="0025277C">
        <w:t xml:space="preserve"> p. 2  </w:t>
      </w:r>
    </w:p>
  </w:endnote>
  <w:endnote w:id="6">
    <w:p w:rsidR="00DE3348" w:rsidRDefault="00DE3348" w:rsidP="00DE3348">
      <w:pPr>
        <w:pStyle w:val="EndnoteText"/>
      </w:pPr>
      <w:r>
        <w:rPr>
          <w:rStyle w:val="EndnoteReference"/>
        </w:rPr>
        <w:endnoteRef/>
      </w:r>
      <w:r>
        <w:t xml:space="preserve">  </w:t>
      </w:r>
      <w:proofErr w:type="spellStart"/>
      <w:r>
        <w:t>Gershon</w:t>
      </w:r>
      <w:proofErr w:type="spellEnd"/>
      <w:r>
        <w:t xml:space="preserve"> P. (2004) Releasing Resources to the Frontline </w:t>
      </w:r>
      <w:r w:rsidRPr="00DE3348">
        <w:t xml:space="preserve">Independent Review of Public Sector Efficiency </w:t>
      </w:r>
      <w:hyperlink r:id="rId1" w:history="1">
        <w:r w:rsidRPr="0018593F">
          <w:rPr>
            <w:rStyle w:val="Hyperlink"/>
          </w:rPr>
          <w:t>http://webarchive.nationalarchives.gov.uk/+/http:/www.hm-treasury.gov.uk/media/C/A/efficiency_review120704.pdf</w:t>
        </w:r>
      </w:hyperlink>
    </w:p>
  </w:endnote>
  <w:endnote w:id="7">
    <w:p w:rsidR="00DE3348" w:rsidRDefault="00DE3348">
      <w:pPr>
        <w:pStyle w:val="EndnoteText"/>
      </w:pPr>
      <w:r>
        <w:rPr>
          <w:rStyle w:val="EndnoteReference"/>
        </w:rPr>
        <w:endnoteRef/>
      </w:r>
      <w:r>
        <w:t xml:space="preserve"> NAO (2012) </w:t>
      </w:r>
      <w:r w:rsidRPr="00DE3348">
        <w:rPr>
          <w:u w:val="single"/>
        </w:rPr>
        <w:t>Efficiency and reform in government corporate functions through shared service centres</w:t>
      </w:r>
      <w:r>
        <w:rPr>
          <w:u w:val="single"/>
        </w:rPr>
        <w:t xml:space="preserve"> </w:t>
      </w:r>
    </w:p>
  </w:endnote>
  <w:endnote w:id="8">
    <w:p w:rsidR="00815AB9" w:rsidRDefault="00815AB9">
      <w:pPr>
        <w:pStyle w:val="EndnoteText"/>
      </w:pPr>
      <w:r>
        <w:rPr>
          <w:rStyle w:val="EndnoteReference"/>
        </w:rPr>
        <w:endnoteRef/>
      </w:r>
      <w:r>
        <w:t xml:space="preserve"> NAO (2012) </w:t>
      </w:r>
      <w:r w:rsidRPr="00DE3348">
        <w:rPr>
          <w:u w:val="single"/>
        </w:rPr>
        <w:t>Efficiency and reform in government corporate functions through shared service centres</w:t>
      </w:r>
      <w:r w:rsidRPr="00815AB9">
        <w:t xml:space="preserve"> p.6</w:t>
      </w:r>
    </w:p>
  </w:endnote>
  <w:endnote w:id="9">
    <w:p w:rsidR="00815AB9" w:rsidRDefault="00815AB9" w:rsidP="00815AB9">
      <w:pPr>
        <w:pStyle w:val="EndnoteText"/>
      </w:pPr>
      <w:r>
        <w:rPr>
          <w:rStyle w:val="EndnoteReference"/>
        </w:rPr>
        <w:endnoteRef/>
      </w:r>
      <w:r>
        <w:t xml:space="preserve"> </w:t>
      </w:r>
      <w:proofErr w:type="spellStart"/>
      <w:r>
        <w:t>Amyas</w:t>
      </w:r>
      <w:proofErr w:type="spellEnd"/>
      <w:r>
        <w:t xml:space="preserve"> Morse </w:t>
      </w:r>
    </w:p>
    <w:p w:rsidR="00815AB9" w:rsidRDefault="00D71711" w:rsidP="00815AB9">
      <w:pPr>
        <w:pStyle w:val="EndnoteText"/>
      </w:pPr>
      <w:hyperlink r:id="rId2" w:history="1">
        <w:r w:rsidR="00815AB9" w:rsidRPr="0018593F">
          <w:rPr>
            <w:rStyle w:val="Hyperlink"/>
          </w:rPr>
          <w:t>https://www.nao.org.uk/press-releases/efficiency-and-reform-in-government-corporate-functions-through-shared-service-centres-2/</w:t>
        </w:r>
      </w:hyperlink>
    </w:p>
  </w:endnote>
  <w:endnote w:id="10">
    <w:p w:rsidR="00815AB9" w:rsidRDefault="00815AB9">
      <w:pPr>
        <w:pStyle w:val="EndnoteText"/>
      </w:pPr>
      <w:r>
        <w:rPr>
          <w:rStyle w:val="EndnoteReference"/>
        </w:rPr>
        <w:endnoteRef/>
      </w:r>
      <w:r>
        <w:t xml:space="preserve"> Cabinet Office (2012) </w:t>
      </w:r>
      <w:r w:rsidR="0025277C" w:rsidRPr="0025277C">
        <w:rPr>
          <w:u w:val="single"/>
        </w:rPr>
        <w:t>Next Generation Shared Services. The Strategic Plan</w:t>
      </w:r>
      <w:r w:rsidR="0025277C">
        <w:t xml:space="preserve"> </w:t>
      </w:r>
    </w:p>
  </w:endnote>
  <w:endnote w:id="11">
    <w:p w:rsidR="00EC3157" w:rsidRPr="007D74FE" w:rsidRDefault="00EC3157" w:rsidP="00EC3157">
      <w:pPr>
        <w:pStyle w:val="FootnoteText"/>
        <w:rPr>
          <w:bCs/>
        </w:rPr>
      </w:pPr>
      <w:r>
        <w:rPr>
          <w:rStyle w:val="EndnoteReference"/>
        </w:rPr>
        <w:endnoteRef/>
      </w:r>
      <w:r>
        <w:t xml:space="preserve"> </w:t>
      </w:r>
      <w:r w:rsidRPr="007D74FE">
        <w:t>“</w:t>
      </w:r>
      <w:r w:rsidRPr="007D74FE">
        <w:rPr>
          <w:bCs/>
        </w:rPr>
        <w:t xml:space="preserve">Benefit cuts explicitly linked to mental health problems” </w:t>
      </w:r>
      <w:r>
        <w:rPr>
          <w:bCs/>
        </w:rPr>
        <w:t>25 Feb 2014. Available at:</w:t>
      </w:r>
    </w:p>
    <w:p w:rsidR="00EC3157" w:rsidRDefault="00EC3157" w:rsidP="00EC3157">
      <w:pPr>
        <w:pStyle w:val="EndnoteText"/>
      </w:pPr>
      <w:r w:rsidRPr="007D74FE">
        <w:t xml:space="preserve"> http://www.theguardian.com/society/2014/feb/25/benefit-cuts-welfare-linked-mental-health</w:t>
      </w:r>
      <w:r>
        <w:t>.</w:t>
      </w:r>
    </w:p>
  </w:endnote>
  <w:endnote w:id="12">
    <w:p w:rsidR="00EC3157" w:rsidRDefault="00EC3157" w:rsidP="00EC3157">
      <w:pPr>
        <w:pStyle w:val="FootnoteText"/>
      </w:pPr>
      <w:r>
        <w:rPr>
          <w:rStyle w:val="EndnoteReference"/>
        </w:rPr>
        <w:endnoteRef/>
      </w:r>
      <w:r>
        <w:t xml:space="preserve"> </w:t>
      </w:r>
      <w:r w:rsidRPr="00C0079D">
        <w:t>www.computerworlduk.com/news/public-sector/3438242/government-plans-second-shared-service-centre-worth-2bn/?intcmp=in_article;related</w:t>
      </w:r>
    </w:p>
  </w:endnote>
  <w:endnote w:id="13">
    <w:p w:rsidR="00CC160F" w:rsidRDefault="00CC160F" w:rsidP="0025277C">
      <w:pPr>
        <w:pStyle w:val="EndnoteText"/>
      </w:pPr>
      <w:r>
        <w:rPr>
          <w:rStyle w:val="EndnoteReference"/>
        </w:rPr>
        <w:endnoteRef/>
      </w:r>
      <w:r>
        <w:t xml:space="preserve"> </w:t>
      </w:r>
      <w:r w:rsidRPr="00E9712F">
        <w:rPr>
          <w:rFonts w:asciiTheme="majorHAnsi" w:hAnsiTheme="majorHAnsi"/>
        </w:rPr>
        <w:t xml:space="preserve">NAO </w:t>
      </w:r>
      <w:r>
        <w:rPr>
          <w:rFonts w:asciiTheme="majorHAnsi" w:hAnsiTheme="majorHAnsi"/>
        </w:rPr>
        <w:t xml:space="preserve">(2008) </w:t>
      </w:r>
      <w:r w:rsidR="0025277C" w:rsidRPr="0025277C">
        <w:rPr>
          <w:rFonts w:asciiTheme="majorHAnsi" w:hAnsiTheme="majorHAnsi"/>
          <w:u w:val="single"/>
        </w:rPr>
        <w:t xml:space="preserve">Shared services in the Department for Transport and its agencies </w:t>
      </w:r>
      <w:r w:rsidRPr="0025277C">
        <w:rPr>
          <w:rFonts w:asciiTheme="majorHAnsi" w:hAnsiTheme="majorHAnsi"/>
          <w:u w:val="single"/>
        </w:rPr>
        <w:t>Report</w:t>
      </w:r>
      <w:r w:rsidRPr="00E9712F">
        <w:rPr>
          <w:rFonts w:asciiTheme="majorHAnsi" w:hAnsiTheme="majorHAnsi"/>
        </w:rPr>
        <w:t xml:space="preserve"> 2008: 4</w:t>
      </w:r>
    </w:p>
  </w:endnote>
  <w:endnote w:id="14">
    <w:p w:rsidR="00CC160F" w:rsidRDefault="00CC160F">
      <w:pPr>
        <w:pStyle w:val="EndnoteText"/>
      </w:pPr>
      <w:r>
        <w:rPr>
          <w:rStyle w:val="EndnoteReference"/>
        </w:rPr>
        <w:endnoteRef/>
      </w:r>
      <w:r>
        <w:t xml:space="preserve"> </w:t>
      </w:r>
      <w:r w:rsidRPr="00E9712F">
        <w:rPr>
          <w:rFonts w:asciiTheme="majorHAnsi" w:hAnsiTheme="majorHAnsi"/>
        </w:rPr>
        <w:t xml:space="preserve">NAO </w:t>
      </w:r>
      <w:r>
        <w:rPr>
          <w:rFonts w:asciiTheme="majorHAnsi" w:hAnsiTheme="majorHAnsi"/>
        </w:rPr>
        <w:t xml:space="preserve">(2008) </w:t>
      </w:r>
      <w:r w:rsidR="0025277C" w:rsidRPr="0025277C">
        <w:rPr>
          <w:rFonts w:asciiTheme="majorHAnsi" w:hAnsiTheme="majorHAnsi"/>
          <w:u w:val="single"/>
        </w:rPr>
        <w:t xml:space="preserve">Shared services in the Department for Transport and its agencies </w:t>
      </w:r>
      <w:r w:rsidRPr="0025277C">
        <w:rPr>
          <w:rFonts w:asciiTheme="majorHAnsi" w:hAnsiTheme="majorHAnsi"/>
          <w:u w:val="single"/>
        </w:rPr>
        <w:t>Report</w:t>
      </w:r>
      <w:r w:rsidRPr="00E9712F">
        <w:rPr>
          <w:rFonts w:asciiTheme="majorHAnsi" w:hAnsiTheme="majorHAnsi"/>
        </w:rPr>
        <w:t xml:space="preserve"> 2008:</w:t>
      </w:r>
      <w:r>
        <w:rPr>
          <w:rFonts w:asciiTheme="majorHAnsi" w:hAnsiTheme="majorHAnsi"/>
        </w:rPr>
        <w:t xml:space="preserve"> 6</w:t>
      </w:r>
    </w:p>
  </w:endnote>
  <w:endnote w:id="15">
    <w:p w:rsidR="00CC160F" w:rsidRDefault="00CC160F">
      <w:pPr>
        <w:pStyle w:val="EndnoteText"/>
      </w:pPr>
      <w:r>
        <w:rPr>
          <w:rStyle w:val="EndnoteReference"/>
        </w:rPr>
        <w:endnoteRef/>
      </w:r>
      <w:r>
        <w:t xml:space="preserve"> </w:t>
      </w:r>
      <w:r w:rsidRPr="00E9712F">
        <w:rPr>
          <w:rFonts w:asciiTheme="majorHAnsi" w:hAnsiTheme="majorHAnsi"/>
        </w:rPr>
        <w:t xml:space="preserve">NAO </w:t>
      </w:r>
      <w:r>
        <w:rPr>
          <w:rFonts w:asciiTheme="majorHAnsi" w:hAnsiTheme="majorHAnsi"/>
        </w:rPr>
        <w:t xml:space="preserve">(2008) </w:t>
      </w:r>
      <w:r w:rsidR="0025277C" w:rsidRPr="0025277C">
        <w:rPr>
          <w:rFonts w:asciiTheme="majorHAnsi" w:hAnsiTheme="majorHAnsi"/>
          <w:u w:val="single"/>
        </w:rPr>
        <w:t xml:space="preserve">Shared services in the Department for Transport and its agencies </w:t>
      </w:r>
      <w:r w:rsidRPr="0025277C">
        <w:rPr>
          <w:rFonts w:asciiTheme="majorHAnsi" w:hAnsiTheme="majorHAnsi"/>
          <w:u w:val="single"/>
        </w:rPr>
        <w:t>Report</w:t>
      </w:r>
      <w:r w:rsidRPr="00E9712F">
        <w:rPr>
          <w:rFonts w:asciiTheme="majorHAnsi" w:hAnsiTheme="majorHAnsi"/>
        </w:rPr>
        <w:t xml:space="preserve"> 2008:</w:t>
      </w:r>
      <w:r>
        <w:rPr>
          <w:rFonts w:asciiTheme="majorHAnsi" w:hAnsiTheme="majorHAnsi"/>
        </w:rPr>
        <w:t xml:space="preserve"> 6</w:t>
      </w:r>
    </w:p>
  </w:endnote>
  <w:endnote w:id="16">
    <w:p w:rsidR="00CC160F" w:rsidRDefault="00CC160F">
      <w:pPr>
        <w:pStyle w:val="EndnoteText"/>
      </w:pPr>
      <w:r>
        <w:rPr>
          <w:rStyle w:val="EndnoteReference"/>
        </w:rPr>
        <w:endnoteRef/>
      </w:r>
      <w:r>
        <w:t xml:space="preserve"> </w:t>
      </w:r>
      <w:r w:rsidRPr="00CC160F">
        <w:t>http://www.governmentcomputing.com/blogs/ojeu-confirms-arvatos-750m-shared-services-contract</w:t>
      </w:r>
    </w:p>
  </w:endnote>
  <w:endnote w:id="17">
    <w:p w:rsidR="00CC160F" w:rsidRDefault="00CC160F">
      <w:pPr>
        <w:pStyle w:val="EndnoteText"/>
      </w:pPr>
      <w:r>
        <w:rPr>
          <w:rStyle w:val="EndnoteReference"/>
        </w:rPr>
        <w:endnoteRef/>
      </w:r>
      <w:r>
        <w:t xml:space="preserve"> </w:t>
      </w:r>
      <w:hyperlink r:id="rId3" w:history="1">
        <w:r w:rsidRPr="0018593F">
          <w:rPr>
            <w:rStyle w:val="Hyperlink"/>
          </w:rPr>
          <w:t>www.computerworlduk.com/news/public-sector/3438242/government-plans-second-shared-service-centre-worth-2bn/?intcmp=in_article;related</w:t>
        </w:r>
      </w:hyperlink>
    </w:p>
  </w:endnote>
  <w:endnote w:id="18">
    <w:p w:rsidR="00BE35B4" w:rsidRDefault="00BE35B4">
      <w:pPr>
        <w:pStyle w:val="EndnoteText"/>
      </w:pPr>
      <w:r>
        <w:rPr>
          <w:rStyle w:val="EndnoteReference"/>
        </w:rPr>
        <w:endnoteRef/>
      </w:r>
      <w:r>
        <w:t xml:space="preserve"> NAO </w:t>
      </w:r>
      <w:r w:rsidR="00DE3348">
        <w:t xml:space="preserve">(2012) </w:t>
      </w:r>
      <w:r w:rsidR="00DE3348" w:rsidRPr="00DE3348">
        <w:rPr>
          <w:u w:val="single"/>
        </w:rPr>
        <w:t>Efficiency and reform in government corporate functions through shared service centres</w:t>
      </w:r>
    </w:p>
  </w:endnote>
  <w:endnote w:id="19">
    <w:p w:rsidR="005474FF" w:rsidRDefault="005474FF">
      <w:pPr>
        <w:pStyle w:val="EndnoteText"/>
      </w:pPr>
      <w:r>
        <w:rPr>
          <w:rStyle w:val="EndnoteReference"/>
        </w:rPr>
        <w:endnoteRef/>
      </w:r>
      <w:r>
        <w:t xml:space="preserve"> </w:t>
      </w:r>
      <w:hyperlink r:id="rId4" w:history="1">
        <w:r w:rsidRPr="0018593F">
          <w:rPr>
            <w:rStyle w:val="Hyperlink"/>
          </w:rPr>
          <w:t>http://calchaspss.wordpress.com/2012/10/04/its-a-kind-of-accounting-magic-how-a-233m-shared-services-cost-is-turned-into-a-230-saving/</w:t>
        </w:r>
      </w:hyperlink>
    </w:p>
  </w:endnote>
  <w:endnote w:id="20">
    <w:p w:rsidR="005474FF" w:rsidRDefault="005474FF" w:rsidP="005474FF">
      <w:pPr>
        <w:pStyle w:val="FootnoteText"/>
      </w:pPr>
      <w:r>
        <w:rPr>
          <w:rStyle w:val="EndnoteReference"/>
        </w:rPr>
        <w:endnoteRef/>
      </w:r>
      <w:r>
        <w:t xml:space="preserve"> </w:t>
      </w:r>
      <w:r w:rsidRPr="00E3780A">
        <w:t>http://www.computerworlduk.com/news/public-sector/3497458/bt-takes-scottish-nhs-to-court-over-flawed-it-contract-tender-process/?intcmp=rel_articles;pblc-sctr;link_2</w:t>
      </w:r>
    </w:p>
  </w:endnote>
  <w:endnote w:id="21">
    <w:p w:rsidR="005474FF" w:rsidRDefault="005474FF" w:rsidP="005474FF">
      <w:pPr>
        <w:pStyle w:val="FootnoteText"/>
      </w:pPr>
      <w:r>
        <w:rPr>
          <w:rStyle w:val="EndnoteReference"/>
        </w:rPr>
        <w:endnoteRef/>
      </w:r>
      <w:r>
        <w:t xml:space="preserve"> </w:t>
      </w:r>
      <w:r w:rsidRPr="00E3780A">
        <w:t>http://www.computerworlduk.com/news/public-sector/3497458/bt-takes-scottish-nhs-to-court-over-flawed-it-contract-tender-process/?intcmp=rel_articles;pblc-sctr;link_2</w:t>
      </w:r>
    </w:p>
  </w:endnote>
  <w:endnote w:id="22">
    <w:p w:rsidR="005474FF" w:rsidRDefault="005474FF">
      <w:pPr>
        <w:pStyle w:val="EndnoteText"/>
      </w:pPr>
      <w:r>
        <w:rPr>
          <w:rStyle w:val="EndnoteReference"/>
        </w:rPr>
        <w:endnoteRef/>
      </w:r>
      <w:r>
        <w:t xml:space="preserve"> </w:t>
      </w:r>
      <w:hyperlink r:id="rId5" w:history="1">
        <w:r w:rsidRPr="0018593F">
          <w:rPr>
            <w:rStyle w:val="Hyperlink"/>
          </w:rPr>
          <w:t>http://www.capita.co.uk/news-and-opinion/news/2014/capita-signs-swan-framework-contract.aspx</w:t>
        </w:r>
      </w:hyperlink>
    </w:p>
  </w:endnote>
  <w:endnote w:id="23">
    <w:p w:rsidR="005474FF" w:rsidRDefault="005474FF">
      <w:pPr>
        <w:pStyle w:val="EndnoteText"/>
      </w:pPr>
      <w:r>
        <w:rPr>
          <w:rStyle w:val="EndnoteReference"/>
        </w:rPr>
        <w:endnoteRef/>
      </w:r>
      <w:r>
        <w:t xml:space="preserve"> </w:t>
      </w:r>
      <w:r w:rsidRPr="007F242E">
        <w:t>http://www.information-age.com/it-management/outsourcing-and-supplier-management/123457345/dwp--defra-and-environment-agency-to-outsource-to-steria</w:t>
      </w:r>
    </w:p>
  </w:endnote>
  <w:endnote w:id="24">
    <w:p w:rsidR="00965C2C" w:rsidRDefault="00965C2C" w:rsidP="004C67EA">
      <w:pPr>
        <w:pStyle w:val="EndnoteText"/>
      </w:pPr>
      <w:r>
        <w:rPr>
          <w:rStyle w:val="EndnoteReference"/>
        </w:rPr>
        <w:endnoteRef/>
      </w:r>
      <w:r>
        <w:t xml:space="preserve"> </w:t>
      </w:r>
      <w:proofErr w:type="spellStart"/>
      <w:r>
        <w:t>Steria</w:t>
      </w:r>
      <w:proofErr w:type="spellEnd"/>
      <w:r>
        <w:t xml:space="preserve"> </w:t>
      </w:r>
      <w:r w:rsidR="004C67EA">
        <w:t xml:space="preserve">(2013) Response to an Invitation to Negotiate </w:t>
      </w:r>
      <w:r w:rsidR="004C67EA" w:rsidRPr="004C67EA">
        <w:rPr>
          <w:u w:val="single"/>
        </w:rPr>
        <w:t>Shared Services Connected Ltd</w:t>
      </w:r>
    </w:p>
  </w:endnote>
  <w:endnote w:id="25">
    <w:p w:rsidR="004C67EA" w:rsidRDefault="004C67EA">
      <w:pPr>
        <w:pStyle w:val="EndnoteText"/>
      </w:pPr>
      <w:r>
        <w:rPr>
          <w:rStyle w:val="EndnoteReference"/>
        </w:rPr>
        <w:endnoteRef/>
      </w:r>
      <w:r>
        <w:t xml:space="preserve"> </w:t>
      </w:r>
      <w:proofErr w:type="spellStart"/>
      <w:r w:rsidRPr="004C67EA">
        <w:t>Steria</w:t>
      </w:r>
      <w:proofErr w:type="spellEnd"/>
      <w:r w:rsidRPr="004C67EA">
        <w:t xml:space="preserve"> (2013) Response to an Invitation to Negotiate </w:t>
      </w:r>
      <w:r w:rsidRPr="004C67EA">
        <w:rPr>
          <w:u w:val="single"/>
        </w:rPr>
        <w:t>Shared Services Connected Ltd</w:t>
      </w:r>
    </w:p>
  </w:endnote>
  <w:endnote w:id="26">
    <w:p w:rsidR="00C52F41" w:rsidRDefault="00C52F41">
      <w:pPr>
        <w:pStyle w:val="EndnoteText"/>
      </w:pPr>
      <w:r>
        <w:rPr>
          <w:rStyle w:val="EndnoteReference"/>
        </w:rPr>
        <w:endnoteRef/>
      </w:r>
      <w:r>
        <w:t xml:space="preserve"> </w:t>
      </w:r>
      <w:proofErr w:type="spellStart"/>
      <w:r w:rsidRPr="00C52F41">
        <w:t>Steria</w:t>
      </w:r>
      <w:proofErr w:type="spellEnd"/>
      <w:r w:rsidRPr="00C52F41">
        <w:t xml:space="preserve"> (2013) Response to an Invitation to Negotiate </w:t>
      </w:r>
      <w:r w:rsidRPr="00DC0A4F">
        <w:rPr>
          <w:u w:val="single"/>
        </w:rPr>
        <w:t>Shared Services Connected Lt</w:t>
      </w:r>
      <w:r w:rsidRPr="00C52F41">
        <w:t>d</w:t>
      </w:r>
    </w:p>
  </w:endnote>
  <w:endnote w:id="27">
    <w:p w:rsidR="00CA435D" w:rsidRDefault="00CA435D" w:rsidP="00CA435D">
      <w:pPr>
        <w:pStyle w:val="EndnoteText"/>
      </w:pPr>
      <w:r>
        <w:rPr>
          <w:rStyle w:val="EndnoteReference"/>
        </w:rPr>
        <w:endnoteRef/>
      </w:r>
      <w:r>
        <w:t xml:space="preserve"> </w:t>
      </w:r>
      <w:hyperlink r:id="rId6" w:history="1">
        <w:r w:rsidRPr="003027ED">
          <w:rPr>
            <w:rStyle w:val="Hyperlink"/>
          </w:rPr>
          <w:t>http://www.computerweekly.com/news/2240213261/DECC-IT-overhaul-follows-government-digital-standards</w:t>
        </w:r>
      </w:hyperlink>
    </w:p>
  </w:endnote>
  <w:endnote w:id="28">
    <w:p w:rsidR="00CA435D" w:rsidRDefault="00CA435D" w:rsidP="00CA435D">
      <w:pPr>
        <w:pStyle w:val="EndnoteText"/>
      </w:pPr>
      <w:r>
        <w:rPr>
          <w:rStyle w:val="EndnoteReference"/>
        </w:rPr>
        <w:endnoteRef/>
      </w:r>
      <w:r>
        <w:t xml:space="preserve"> </w:t>
      </w:r>
      <w:hyperlink r:id="rId7" w:history="1">
        <w:r w:rsidRPr="003027ED">
          <w:rPr>
            <w:rStyle w:val="Hyperlink"/>
          </w:rPr>
          <w:t>http://www.computerweekly.com/news/2240213261/DECC-IT-overhaul-follows-government-digital-standards</w:t>
        </w:r>
      </w:hyperlink>
    </w:p>
  </w:endnote>
  <w:endnote w:id="29">
    <w:p w:rsidR="001B7F20" w:rsidRDefault="001B7F20">
      <w:pPr>
        <w:pStyle w:val="EndnoteText"/>
      </w:pPr>
      <w:r>
        <w:rPr>
          <w:rStyle w:val="EndnoteReference"/>
        </w:rPr>
        <w:endnoteRef/>
      </w:r>
      <w:r>
        <w:t xml:space="preserve"> </w:t>
      </w:r>
      <w:proofErr w:type="gramStart"/>
      <w:r w:rsidR="0073307F">
        <w:t xml:space="preserve">Local Government Association (2013) </w:t>
      </w:r>
      <w:r w:rsidRPr="007D74FE">
        <w:t>Productivity and Commissioning 11 Oct 2013.</w:t>
      </w:r>
      <w:proofErr w:type="gramEnd"/>
      <w:r w:rsidRPr="007D74FE">
        <w:t xml:space="preserve"> Available at: </w:t>
      </w:r>
      <w:hyperlink r:id="rId8" w:history="1">
        <w:r w:rsidRPr="007D74FE">
          <w:rPr>
            <w:rStyle w:val="Hyperlink"/>
          </w:rPr>
          <w:t>http://www.local.gov.uk/web/guest/productivity/-/journal_content/56/10180/3851597/ARTICLE</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899785"/>
      <w:docPartObj>
        <w:docPartGallery w:val="Page Numbers (Bottom of Page)"/>
        <w:docPartUnique/>
      </w:docPartObj>
    </w:sdtPr>
    <w:sdtEndPr>
      <w:rPr>
        <w:noProof/>
      </w:rPr>
    </w:sdtEndPr>
    <w:sdtContent>
      <w:p w:rsidR="00BE35B4" w:rsidRDefault="00BE35B4">
        <w:pPr>
          <w:pStyle w:val="Footer"/>
          <w:jc w:val="right"/>
        </w:pPr>
      </w:p>
      <w:p w:rsidR="00C47BD7" w:rsidRPr="00C47BD7" w:rsidRDefault="00C47BD7" w:rsidP="00C47BD7">
        <w:pPr>
          <w:pStyle w:val="Footer"/>
          <w:jc w:val="center"/>
          <w:rPr>
            <w:color w:val="FF0000"/>
          </w:rPr>
        </w:pPr>
        <w:r w:rsidRPr="00C47BD7">
          <w:rPr>
            <w:color w:val="FF0000"/>
          </w:rPr>
          <w:t>Public Services International Research Unit (PSIRU), Business Faculty, University of Greenwich, UK</w:t>
        </w:r>
      </w:p>
      <w:p w:rsidR="00BE35B4" w:rsidRDefault="00BE35B4" w:rsidP="007733C2">
        <w:pPr>
          <w:pStyle w:val="Footer"/>
          <w:jc w:val="right"/>
        </w:pPr>
        <w:r>
          <w:fldChar w:fldCharType="begin"/>
        </w:r>
        <w:r>
          <w:instrText xml:space="preserve"> PAGE   \* MERGEFORMAT </w:instrText>
        </w:r>
        <w:r>
          <w:fldChar w:fldCharType="separate"/>
        </w:r>
        <w:r w:rsidR="00D71711">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B4" w:rsidRDefault="00BE35B4" w:rsidP="00FB0FB9">
      <w:pPr>
        <w:spacing w:after="0" w:line="240" w:lineRule="auto"/>
      </w:pPr>
      <w:r>
        <w:separator/>
      </w:r>
    </w:p>
  </w:footnote>
  <w:footnote w:type="continuationSeparator" w:id="0">
    <w:p w:rsidR="00BE35B4" w:rsidRDefault="00BE35B4" w:rsidP="00FB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D7" w:rsidRPr="00C47BD7" w:rsidRDefault="00C47BD7" w:rsidP="00C47BD7">
    <w:pPr>
      <w:pStyle w:val="Header"/>
      <w:jc w:val="center"/>
      <w:rPr>
        <w:rFonts w:asciiTheme="majorHAnsi" w:hAnsiTheme="majorHAnsi"/>
        <w:color w:val="FF0000"/>
        <w:sz w:val="28"/>
        <w:szCs w:val="28"/>
      </w:rPr>
    </w:pPr>
    <w:r w:rsidRPr="00C47BD7">
      <w:rPr>
        <w:rFonts w:asciiTheme="majorHAnsi" w:hAnsiTheme="majorHAnsi"/>
        <w:color w:val="FF0000"/>
        <w:sz w:val="28"/>
        <w:szCs w:val="28"/>
      </w:rPr>
      <w:t xml:space="preserve">PUBLIC SERVICES INTERNATIONAL RESEARCH UNIT (PSIRU) </w:t>
    </w:r>
    <w:hyperlink r:id="rId1" w:history="1">
      <w:r w:rsidRPr="00C47BD7">
        <w:rPr>
          <w:rStyle w:val="Hyperlink"/>
          <w:rFonts w:asciiTheme="majorHAnsi" w:hAnsiTheme="majorHAnsi"/>
          <w:color w:val="FF0000"/>
          <w:sz w:val="28"/>
          <w:szCs w:val="28"/>
        </w:rPr>
        <w:t>www.psiru.org</w:t>
      </w:r>
    </w:hyperlink>
  </w:p>
  <w:p w:rsidR="00C47BD7" w:rsidRDefault="00C47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329"/>
    <w:multiLevelType w:val="multilevel"/>
    <w:tmpl w:val="2BD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931DA"/>
    <w:multiLevelType w:val="multilevel"/>
    <w:tmpl w:val="5C6E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0057A5"/>
    <w:multiLevelType w:val="hybridMultilevel"/>
    <w:tmpl w:val="2A44D5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104EB4"/>
    <w:multiLevelType w:val="hybridMultilevel"/>
    <w:tmpl w:val="8FD8D4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F26FC4"/>
    <w:multiLevelType w:val="hybridMultilevel"/>
    <w:tmpl w:val="091E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D76932"/>
    <w:multiLevelType w:val="hybridMultilevel"/>
    <w:tmpl w:val="BE52C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4F633B"/>
    <w:multiLevelType w:val="hybridMultilevel"/>
    <w:tmpl w:val="58B6D4C8"/>
    <w:lvl w:ilvl="0" w:tplc="0809000F">
      <w:start w:val="1"/>
      <w:numFmt w:val="decimal"/>
      <w:lvlText w:val="%1."/>
      <w:lvlJc w:val="left"/>
      <w:pPr>
        <w:ind w:left="1790" w:hanging="360"/>
      </w:p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
    <w:nsid w:val="164C1658"/>
    <w:multiLevelType w:val="hybridMultilevel"/>
    <w:tmpl w:val="D7404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F61740"/>
    <w:multiLevelType w:val="multilevel"/>
    <w:tmpl w:val="26A27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4B5F37"/>
    <w:multiLevelType w:val="hybridMultilevel"/>
    <w:tmpl w:val="19BA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D7575"/>
    <w:multiLevelType w:val="hybridMultilevel"/>
    <w:tmpl w:val="D070E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490C0A"/>
    <w:multiLevelType w:val="hybridMultilevel"/>
    <w:tmpl w:val="3A0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2324F"/>
    <w:multiLevelType w:val="hybridMultilevel"/>
    <w:tmpl w:val="36DC2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580AC1"/>
    <w:multiLevelType w:val="hybridMultilevel"/>
    <w:tmpl w:val="6B90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A71FEA"/>
    <w:multiLevelType w:val="hybridMultilevel"/>
    <w:tmpl w:val="0CDC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E7462C"/>
    <w:multiLevelType w:val="hybridMultilevel"/>
    <w:tmpl w:val="A1A6CC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3BB960AE"/>
    <w:multiLevelType w:val="multilevel"/>
    <w:tmpl w:val="5C44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141B6C"/>
    <w:multiLevelType w:val="multilevel"/>
    <w:tmpl w:val="489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6C7DDA"/>
    <w:multiLevelType w:val="hybridMultilevel"/>
    <w:tmpl w:val="F276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A94D01"/>
    <w:multiLevelType w:val="hybridMultilevel"/>
    <w:tmpl w:val="A8E4E80C"/>
    <w:lvl w:ilvl="0" w:tplc="5FBC4880">
      <w:start w:val="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CE4DD4"/>
    <w:multiLevelType w:val="hybridMultilevel"/>
    <w:tmpl w:val="21B0CCEC"/>
    <w:lvl w:ilvl="0" w:tplc="442E1BEA">
      <w:start w:val="84"/>
      <w:numFmt w:val="bullet"/>
      <w:lvlText w:val="-"/>
      <w:lvlJc w:val="left"/>
      <w:pPr>
        <w:ind w:left="720" w:hanging="360"/>
      </w:pPr>
      <w:rPr>
        <w:rFonts w:ascii="Cambria" w:eastAsiaTheme="minorHAnsi" w:hAnsi="Cambria"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676768"/>
    <w:multiLevelType w:val="hybridMultilevel"/>
    <w:tmpl w:val="8D08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CF4242"/>
    <w:multiLevelType w:val="hybridMultilevel"/>
    <w:tmpl w:val="1BA6F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F6C152A"/>
    <w:multiLevelType w:val="multilevel"/>
    <w:tmpl w:val="5BF8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BB50E7"/>
    <w:multiLevelType w:val="hybridMultilevel"/>
    <w:tmpl w:val="F348BF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5150258D"/>
    <w:multiLevelType w:val="hybridMultilevel"/>
    <w:tmpl w:val="B596D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1795149"/>
    <w:multiLevelType w:val="hybridMultilevel"/>
    <w:tmpl w:val="64F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127CD3"/>
    <w:multiLevelType w:val="hybridMultilevel"/>
    <w:tmpl w:val="17269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8F188F"/>
    <w:multiLevelType w:val="hybridMultilevel"/>
    <w:tmpl w:val="B6E6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535C0E"/>
    <w:multiLevelType w:val="hybridMultilevel"/>
    <w:tmpl w:val="9EAE08E4"/>
    <w:lvl w:ilvl="0" w:tplc="0809000F">
      <w:start w:val="1"/>
      <w:numFmt w:val="decimal"/>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30">
    <w:nsid w:val="577D2ECF"/>
    <w:multiLevelType w:val="hybridMultilevel"/>
    <w:tmpl w:val="EA22CD3E"/>
    <w:lvl w:ilvl="0" w:tplc="3E92DD7E">
      <w:start w:val="84"/>
      <w:numFmt w:val="bullet"/>
      <w:lvlText w:val="-"/>
      <w:lvlJc w:val="left"/>
      <w:pPr>
        <w:ind w:left="1140" w:hanging="360"/>
      </w:pPr>
      <w:rPr>
        <w:rFonts w:ascii="Cambria" w:eastAsiaTheme="minorHAnsi" w:hAnsi="Cambria" w:cstheme="minorBidi" w:hint="default"/>
        <w:b/>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nsid w:val="5D026C12"/>
    <w:multiLevelType w:val="hybridMultilevel"/>
    <w:tmpl w:val="A4FE17D0"/>
    <w:lvl w:ilvl="0" w:tplc="08090001">
      <w:start w:val="1"/>
      <w:numFmt w:val="bullet"/>
      <w:lvlText w:val=""/>
      <w:lvlJc w:val="left"/>
      <w:pPr>
        <w:ind w:left="1070" w:hanging="360"/>
      </w:pPr>
      <w:rPr>
        <w:rFonts w:ascii="Symbol" w:hAnsi="Symbol"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2">
    <w:nsid w:val="64A00B90"/>
    <w:multiLevelType w:val="hybridMultilevel"/>
    <w:tmpl w:val="5C164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D52113"/>
    <w:multiLevelType w:val="multilevel"/>
    <w:tmpl w:val="191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055A36"/>
    <w:multiLevelType w:val="hybridMultilevel"/>
    <w:tmpl w:val="36A4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5820E1"/>
    <w:multiLevelType w:val="hybridMultilevel"/>
    <w:tmpl w:val="2FDC9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366C32"/>
    <w:multiLevelType w:val="hybridMultilevel"/>
    <w:tmpl w:val="02D84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B131A0"/>
    <w:multiLevelType w:val="multilevel"/>
    <w:tmpl w:val="070C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3D61BA"/>
    <w:multiLevelType w:val="multilevel"/>
    <w:tmpl w:val="AC5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7"/>
  </w:num>
  <w:num w:numId="3">
    <w:abstractNumId w:val="22"/>
  </w:num>
  <w:num w:numId="4">
    <w:abstractNumId w:val="3"/>
  </w:num>
  <w:num w:numId="5">
    <w:abstractNumId w:val="37"/>
  </w:num>
  <w:num w:numId="6">
    <w:abstractNumId w:val="17"/>
  </w:num>
  <w:num w:numId="7">
    <w:abstractNumId w:val="16"/>
  </w:num>
  <w:num w:numId="8">
    <w:abstractNumId w:val="0"/>
  </w:num>
  <w:num w:numId="9">
    <w:abstractNumId w:val="23"/>
  </w:num>
  <w:num w:numId="10">
    <w:abstractNumId w:val="33"/>
  </w:num>
  <w:num w:numId="11">
    <w:abstractNumId w:val="7"/>
  </w:num>
  <w:num w:numId="12">
    <w:abstractNumId w:val="31"/>
  </w:num>
  <w:num w:numId="13">
    <w:abstractNumId w:val="13"/>
  </w:num>
  <w:num w:numId="14">
    <w:abstractNumId w:val="29"/>
  </w:num>
  <w:num w:numId="15">
    <w:abstractNumId w:val="34"/>
  </w:num>
  <w:num w:numId="16">
    <w:abstractNumId w:val="24"/>
  </w:num>
  <w:num w:numId="17">
    <w:abstractNumId w:val="18"/>
  </w:num>
  <w:num w:numId="18">
    <w:abstractNumId w:val="28"/>
  </w:num>
  <w:num w:numId="19">
    <w:abstractNumId w:val="25"/>
  </w:num>
  <w:num w:numId="20">
    <w:abstractNumId w:val="15"/>
  </w:num>
  <w:num w:numId="21">
    <w:abstractNumId w:val="26"/>
  </w:num>
  <w:num w:numId="22">
    <w:abstractNumId w:val="35"/>
  </w:num>
  <w:num w:numId="23">
    <w:abstractNumId w:val="36"/>
  </w:num>
  <w:num w:numId="24">
    <w:abstractNumId w:val="5"/>
  </w:num>
  <w:num w:numId="25">
    <w:abstractNumId w:val="6"/>
  </w:num>
  <w:num w:numId="26">
    <w:abstractNumId w:val="14"/>
  </w:num>
  <w:num w:numId="27">
    <w:abstractNumId w:val="2"/>
  </w:num>
  <w:num w:numId="28">
    <w:abstractNumId w:val="21"/>
  </w:num>
  <w:num w:numId="29">
    <w:abstractNumId w:val="10"/>
  </w:num>
  <w:num w:numId="30">
    <w:abstractNumId w:val="32"/>
  </w:num>
  <w:num w:numId="31">
    <w:abstractNumId w:val="20"/>
  </w:num>
  <w:num w:numId="32">
    <w:abstractNumId w:val="30"/>
  </w:num>
  <w:num w:numId="33">
    <w:abstractNumId w:val="4"/>
  </w:num>
  <w:num w:numId="34">
    <w:abstractNumId w:val="19"/>
  </w:num>
  <w:num w:numId="35">
    <w:abstractNumId w:val="12"/>
  </w:num>
  <w:num w:numId="36">
    <w:abstractNumId w:val="1"/>
  </w:num>
  <w:num w:numId="37">
    <w:abstractNumId w:val="38"/>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4F"/>
    <w:rsid w:val="00004915"/>
    <w:rsid w:val="00005707"/>
    <w:rsid w:val="0002567D"/>
    <w:rsid w:val="00037E40"/>
    <w:rsid w:val="00040263"/>
    <w:rsid w:val="000423A2"/>
    <w:rsid w:val="00045A34"/>
    <w:rsid w:val="0007310D"/>
    <w:rsid w:val="00096F3E"/>
    <w:rsid w:val="000A45A0"/>
    <w:rsid w:val="000D00EE"/>
    <w:rsid w:val="000D71AD"/>
    <w:rsid w:val="000E05BB"/>
    <w:rsid w:val="000E4A76"/>
    <w:rsid w:val="001065BF"/>
    <w:rsid w:val="001238BA"/>
    <w:rsid w:val="00125027"/>
    <w:rsid w:val="00137727"/>
    <w:rsid w:val="0013791E"/>
    <w:rsid w:val="00143075"/>
    <w:rsid w:val="0014421D"/>
    <w:rsid w:val="001445A8"/>
    <w:rsid w:val="00157BFB"/>
    <w:rsid w:val="00172754"/>
    <w:rsid w:val="00195A24"/>
    <w:rsid w:val="001A0BF7"/>
    <w:rsid w:val="001B7F20"/>
    <w:rsid w:val="001E37EF"/>
    <w:rsid w:val="001F1818"/>
    <w:rsid w:val="00200B3A"/>
    <w:rsid w:val="00217E0C"/>
    <w:rsid w:val="0022029B"/>
    <w:rsid w:val="00220F56"/>
    <w:rsid w:val="00222F8E"/>
    <w:rsid w:val="00241DBE"/>
    <w:rsid w:val="0025277C"/>
    <w:rsid w:val="00255B70"/>
    <w:rsid w:val="00261AA7"/>
    <w:rsid w:val="002668E6"/>
    <w:rsid w:val="002768EF"/>
    <w:rsid w:val="002913D1"/>
    <w:rsid w:val="002B2018"/>
    <w:rsid w:val="002B7103"/>
    <w:rsid w:val="002D6A93"/>
    <w:rsid w:val="002F3495"/>
    <w:rsid w:val="00304BD1"/>
    <w:rsid w:val="00315E16"/>
    <w:rsid w:val="003172E4"/>
    <w:rsid w:val="003205CC"/>
    <w:rsid w:val="00322622"/>
    <w:rsid w:val="00327189"/>
    <w:rsid w:val="00360047"/>
    <w:rsid w:val="00366992"/>
    <w:rsid w:val="003755CC"/>
    <w:rsid w:val="003804BE"/>
    <w:rsid w:val="00384186"/>
    <w:rsid w:val="003924AB"/>
    <w:rsid w:val="003A05E6"/>
    <w:rsid w:val="003A25BC"/>
    <w:rsid w:val="003A25FD"/>
    <w:rsid w:val="003C172E"/>
    <w:rsid w:val="003D47B1"/>
    <w:rsid w:val="003E5B57"/>
    <w:rsid w:val="003F5400"/>
    <w:rsid w:val="003F5720"/>
    <w:rsid w:val="00401FB4"/>
    <w:rsid w:val="004219E9"/>
    <w:rsid w:val="00422689"/>
    <w:rsid w:val="00422B4C"/>
    <w:rsid w:val="004431A6"/>
    <w:rsid w:val="0045385E"/>
    <w:rsid w:val="0046616B"/>
    <w:rsid w:val="00466EB5"/>
    <w:rsid w:val="00473F62"/>
    <w:rsid w:val="00482EEE"/>
    <w:rsid w:val="00490D39"/>
    <w:rsid w:val="004C67EA"/>
    <w:rsid w:val="004D05DA"/>
    <w:rsid w:val="004E08F8"/>
    <w:rsid w:val="004E1FA1"/>
    <w:rsid w:val="004F2F12"/>
    <w:rsid w:val="004F641F"/>
    <w:rsid w:val="0052004A"/>
    <w:rsid w:val="005339FD"/>
    <w:rsid w:val="00541E37"/>
    <w:rsid w:val="005474FF"/>
    <w:rsid w:val="0055792E"/>
    <w:rsid w:val="00566DD9"/>
    <w:rsid w:val="0058634A"/>
    <w:rsid w:val="00592421"/>
    <w:rsid w:val="005935FD"/>
    <w:rsid w:val="005A053A"/>
    <w:rsid w:val="005B4433"/>
    <w:rsid w:val="005B66BF"/>
    <w:rsid w:val="005B67A2"/>
    <w:rsid w:val="005C21B7"/>
    <w:rsid w:val="005C2CAF"/>
    <w:rsid w:val="005D4DCB"/>
    <w:rsid w:val="005D64E6"/>
    <w:rsid w:val="005F0A75"/>
    <w:rsid w:val="00631DA3"/>
    <w:rsid w:val="00633680"/>
    <w:rsid w:val="00652CB7"/>
    <w:rsid w:val="00655848"/>
    <w:rsid w:val="0066534F"/>
    <w:rsid w:val="00680F54"/>
    <w:rsid w:val="00690C5E"/>
    <w:rsid w:val="00695675"/>
    <w:rsid w:val="006A4BA5"/>
    <w:rsid w:val="006B4782"/>
    <w:rsid w:val="006B56F7"/>
    <w:rsid w:val="006E1C63"/>
    <w:rsid w:val="006F0A90"/>
    <w:rsid w:val="00706251"/>
    <w:rsid w:val="00716426"/>
    <w:rsid w:val="0073307F"/>
    <w:rsid w:val="00737CC1"/>
    <w:rsid w:val="007429E0"/>
    <w:rsid w:val="00761941"/>
    <w:rsid w:val="0077055F"/>
    <w:rsid w:val="007733C2"/>
    <w:rsid w:val="00782F1A"/>
    <w:rsid w:val="00796618"/>
    <w:rsid w:val="007A5013"/>
    <w:rsid w:val="007B245D"/>
    <w:rsid w:val="007C1904"/>
    <w:rsid w:val="007C661A"/>
    <w:rsid w:val="007D1DE6"/>
    <w:rsid w:val="007D74FE"/>
    <w:rsid w:val="007E05D7"/>
    <w:rsid w:val="007F242E"/>
    <w:rsid w:val="007F5A68"/>
    <w:rsid w:val="00802F78"/>
    <w:rsid w:val="008039AC"/>
    <w:rsid w:val="00815AB9"/>
    <w:rsid w:val="008222A6"/>
    <w:rsid w:val="00822F47"/>
    <w:rsid w:val="00826E95"/>
    <w:rsid w:val="00840C36"/>
    <w:rsid w:val="00847E27"/>
    <w:rsid w:val="008542FD"/>
    <w:rsid w:val="008605AF"/>
    <w:rsid w:val="00866C46"/>
    <w:rsid w:val="00867A9A"/>
    <w:rsid w:val="008728D5"/>
    <w:rsid w:val="0087331F"/>
    <w:rsid w:val="00874474"/>
    <w:rsid w:val="00886A0E"/>
    <w:rsid w:val="008874E8"/>
    <w:rsid w:val="00893E64"/>
    <w:rsid w:val="008A1504"/>
    <w:rsid w:val="008B319D"/>
    <w:rsid w:val="008E61C9"/>
    <w:rsid w:val="008F00F2"/>
    <w:rsid w:val="009178D4"/>
    <w:rsid w:val="00924600"/>
    <w:rsid w:val="00933A87"/>
    <w:rsid w:val="00942E08"/>
    <w:rsid w:val="00943CFC"/>
    <w:rsid w:val="00944C3A"/>
    <w:rsid w:val="009528A1"/>
    <w:rsid w:val="00965C2C"/>
    <w:rsid w:val="0096662B"/>
    <w:rsid w:val="00975D6D"/>
    <w:rsid w:val="0098131C"/>
    <w:rsid w:val="00990EB4"/>
    <w:rsid w:val="009C18EC"/>
    <w:rsid w:val="009C6AAA"/>
    <w:rsid w:val="009D2D76"/>
    <w:rsid w:val="009E0AE7"/>
    <w:rsid w:val="00A06D25"/>
    <w:rsid w:val="00A07376"/>
    <w:rsid w:val="00A46D82"/>
    <w:rsid w:val="00A47E43"/>
    <w:rsid w:val="00A57466"/>
    <w:rsid w:val="00A8168A"/>
    <w:rsid w:val="00A93366"/>
    <w:rsid w:val="00AC151A"/>
    <w:rsid w:val="00AD4685"/>
    <w:rsid w:val="00AD7667"/>
    <w:rsid w:val="00AE61D4"/>
    <w:rsid w:val="00AF3A6A"/>
    <w:rsid w:val="00AF3C90"/>
    <w:rsid w:val="00B01EE2"/>
    <w:rsid w:val="00B021C6"/>
    <w:rsid w:val="00B03D73"/>
    <w:rsid w:val="00B139E1"/>
    <w:rsid w:val="00B17F60"/>
    <w:rsid w:val="00B44174"/>
    <w:rsid w:val="00B50F97"/>
    <w:rsid w:val="00B70AEA"/>
    <w:rsid w:val="00BA017A"/>
    <w:rsid w:val="00BB3DB6"/>
    <w:rsid w:val="00BD0BF0"/>
    <w:rsid w:val="00BD76D3"/>
    <w:rsid w:val="00BE2C46"/>
    <w:rsid w:val="00BE35B4"/>
    <w:rsid w:val="00BE48A0"/>
    <w:rsid w:val="00BF2DCC"/>
    <w:rsid w:val="00BF47B7"/>
    <w:rsid w:val="00BF539A"/>
    <w:rsid w:val="00C0079D"/>
    <w:rsid w:val="00C16686"/>
    <w:rsid w:val="00C17878"/>
    <w:rsid w:val="00C23223"/>
    <w:rsid w:val="00C35F96"/>
    <w:rsid w:val="00C41A6F"/>
    <w:rsid w:val="00C47BD7"/>
    <w:rsid w:val="00C510D1"/>
    <w:rsid w:val="00C52F41"/>
    <w:rsid w:val="00C617BE"/>
    <w:rsid w:val="00C71A38"/>
    <w:rsid w:val="00C7507A"/>
    <w:rsid w:val="00C76014"/>
    <w:rsid w:val="00C830D8"/>
    <w:rsid w:val="00CA29FE"/>
    <w:rsid w:val="00CA435D"/>
    <w:rsid w:val="00CB49D6"/>
    <w:rsid w:val="00CC160F"/>
    <w:rsid w:val="00CC5E63"/>
    <w:rsid w:val="00CD4B7C"/>
    <w:rsid w:val="00D215AF"/>
    <w:rsid w:val="00D30A6E"/>
    <w:rsid w:val="00D31414"/>
    <w:rsid w:val="00D46CF4"/>
    <w:rsid w:val="00D50C30"/>
    <w:rsid w:val="00D5390D"/>
    <w:rsid w:val="00D71711"/>
    <w:rsid w:val="00DB4E26"/>
    <w:rsid w:val="00DC0A4F"/>
    <w:rsid w:val="00DC2508"/>
    <w:rsid w:val="00DD5EAA"/>
    <w:rsid w:val="00DE3348"/>
    <w:rsid w:val="00E119DB"/>
    <w:rsid w:val="00E203FA"/>
    <w:rsid w:val="00E3216D"/>
    <w:rsid w:val="00E33430"/>
    <w:rsid w:val="00E3780A"/>
    <w:rsid w:val="00E62B64"/>
    <w:rsid w:val="00E77E26"/>
    <w:rsid w:val="00E9712F"/>
    <w:rsid w:val="00EB0C17"/>
    <w:rsid w:val="00EC2001"/>
    <w:rsid w:val="00EC3157"/>
    <w:rsid w:val="00ED5A36"/>
    <w:rsid w:val="00EE1A1D"/>
    <w:rsid w:val="00F03BD6"/>
    <w:rsid w:val="00F04A16"/>
    <w:rsid w:val="00F14AF4"/>
    <w:rsid w:val="00F3616C"/>
    <w:rsid w:val="00F40FA3"/>
    <w:rsid w:val="00F51751"/>
    <w:rsid w:val="00F77F59"/>
    <w:rsid w:val="00FA0BAA"/>
    <w:rsid w:val="00FA4738"/>
    <w:rsid w:val="00FB0FB9"/>
    <w:rsid w:val="00FC2F37"/>
    <w:rsid w:val="00FD2520"/>
    <w:rsid w:val="00FE480B"/>
    <w:rsid w:val="00FE7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6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76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6CF4"/>
    <w:pPr>
      <w:ind w:left="720"/>
      <w:contextualSpacing/>
    </w:pPr>
  </w:style>
  <w:style w:type="paragraph" w:styleId="FootnoteText">
    <w:name w:val="footnote text"/>
    <w:basedOn w:val="Normal"/>
    <w:link w:val="FootnoteTextChar"/>
    <w:uiPriority w:val="99"/>
    <w:unhideWhenUsed/>
    <w:rsid w:val="00FB0FB9"/>
    <w:pPr>
      <w:spacing w:after="0" w:line="240" w:lineRule="auto"/>
    </w:pPr>
    <w:rPr>
      <w:sz w:val="20"/>
      <w:szCs w:val="20"/>
    </w:rPr>
  </w:style>
  <w:style w:type="character" w:customStyle="1" w:styleId="FootnoteTextChar">
    <w:name w:val="Footnote Text Char"/>
    <w:basedOn w:val="DefaultParagraphFont"/>
    <w:link w:val="FootnoteText"/>
    <w:uiPriority w:val="99"/>
    <w:rsid w:val="00FB0FB9"/>
    <w:rPr>
      <w:sz w:val="20"/>
      <w:szCs w:val="20"/>
    </w:rPr>
  </w:style>
  <w:style w:type="character" w:styleId="FootnoteReference">
    <w:name w:val="footnote reference"/>
    <w:basedOn w:val="DefaultParagraphFont"/>
    <w:uiPriority w:val="99"/>
    <w:semiHidden/>
    <w:unhideWhenUsed/>
    <w:rsid w:val="00FB0FB9"/>
    <w:rPr>
      <w:vertAlign w:val="superscript"/>
    </w:rPr>
  </w:style>
  <w:style w:type="character" w:styleId="Hyperlink">
    <w:name w:val="Hyperlink"/>
    <w:basedOn w:val="DefaultParagraphFont"/>
    <w:uiPriority w:val="99"/>
    <w:unhideWhenUsed/>
    <w:rsid w:val="00FB0FB9"/>
    <w:rPr>
      <w:color w:val="0000FF" w:themeColor="hyperlink"/>
      <w:u w:val="single"/>
    </w:rPr>
  </w:style>
  <w:style w:type="paragraph" w:styleId="NormalWeb">
    <w:name w:val="Normal (Web)"/>
    <w:basedOn w:val="Normal"/>
    <w:uiPriority w:val="99"/>
    <w:unhideWhenUsed/>
    <w:rsid w:val="000D71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60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imestamp">
    <w:name w:val="article-timestamp"/>
    <w:basedOn w:val="DefaultParagraphFont"/>
    <w:rsid w:val="000E05BB"/>
  </w:style>
  <w:style w:type="character" w:customStyle="1" w:styleId="Heading2Char">
    <w:name w:val="Heading 2 Char"/>
    <w:basedOn w:val="DefaultParagraphFont"/>
    <w:link w:val="Heading2"/>
    <w:uiPriority w:val="9"/>
    <w:rsid w:val="000A4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76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76D3"/>
    <w:rPr>
      <w:rFonts w:asciiTheme="majorHAnsi" w:eastAsiaTheme="majorEastAsia" w:hAnsiTheme="majorHAnsi" w:cstheme="majorBidi"/>
      <w:b/>
      <w:bCs/>
      <w:i/>
      <w:iCs/>
      <w:color w:val="4F81BD" w:themeColor="accent1"/>
    </w:rPr>
  </w:style>
  <w:style w:type="character" w:customStyle="1" w:styleId="facebook-share">
    <w:name w:val="facebook-share"/>
    <w:basedOn w:val="DefaultParagraphFont"/>
    <w:rsid w:val="003E5B57"/>
  </w:style>
  <w:style w:type="character" w:customStyle="1" w:styleId="facebook-share-label">
    <w:name w:val="facebook-share-label"/>
    <w:basedOn w:val="DefaultParagraphFont"/>
    <w:rsid w:val="003E5B57"/>
  </w:style>
  <w:style w:type="character" w:customStyle="1" w:styleId="facebook-share-count">
    <w:name w:val="facebook-share-count"/>
    <w:basedOn w:val="DefaultParagraphFont"/>
    <w:rsid w:val="003E5B57"/>
  </w:style>
  <w:style w:type="character" w:customStyle="1" w:styleId="in-widget">
    <w:name w:val="in-widget"/>
    <w:basedOn w:val="DefaultParagraphFont"/>
    <w:rsid w:val="003E5B57"/>
  </w:style>
  <w:style w:type="character" w:customStyle="1" w:styleId="in-right">
    <w:name w:val="in-right"/>
    <w:basedOn w:val="DefaultParagraphFont"/>
    <w:rsid w:val="003E5B57"/>
  </w:style>
  <w:style w:type="paragraph" w:styleId="BalloonText">
    <w:name w:val="Balloon Text"/>
    <w:basedOn w:val="Normal"/>
    <w:link w:val="BalloonTextChar"/>
    <w:uiPriority w:val="99"/>
    <w:semiHidden/>
    <w:unhideWhenUsed/>
    <w:rsid w:val="003E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57"/>
    <w:rPr>
      <w:rFonts w:ascii="Tahoma" w:hAnsi="Tahoma" w:cs="Tahoma"/>
      <w:sz w:val="16"/>
      <w:szCs w:val="16"/>
    </w:rPr>
  </w:style>
  <w:style w:type="character" w:styleId="Strong">
    <w:name w:val="Strong"/>
    <w:basedOn w:val="DefaultParagraphFont"/>
    <w:uiPriority w:val="22"/>
    <w:qFormat/>
    <w:rsid w:val="00761941"/>
    <w:rPr>
      <w:b/>
      <w:bCs/>
    </w:rPr>
  </w:style>
  <w:style w:type="character" w:styleId="Emphasis">
    <w:name w:val="Emphasis"/>
    <w:basedOn w:val="DefaultParagraphFont"/>
    <w:uiPriority w:val="20"/>
    <w:qFormat/>
    <w:rsid w:val="00BE48A0"/>
    <w:rPr>
      <w:i/>
      <w:iCs/>
    </w:rPr>
  </w:style>
  <w:style w:type="character" w:styleId="FollowedHyperlink">
    <w:name w:val="FollowedHyperlink"/>
    <w:basedOn w:val="DefaultParagraphFont"/>
    <w:uiPriority w:val="99"/>
    <w:semiHidden/>
    <w:unhideWhenUsed/>
    <w:rsid w:val="00466EB5"/>
    <w:rPr>
      <w:color w:val="800080" w:themeColor="followedHyperlink"/>
      <w:u w:val="single"/>
    </w:rPr>
  </w:style>
  <w:style w:type="paragraph" w:customStyle="1" w:styleId="Style1">
    <w:name w:val="Style1"/>
    <w:basedOn w:val="Normal"/>
    <w:link w:val="Style1Char"/>
    <w:qFormat/>
    <w:rsid w:val="000A45A0"/>
    <w:rPr>
      <w:rFonts w:asciiTheme="majorHAnsi" w:hAnsiTheme="majorHAnsi"/>
      <w:b/>
      <w:sz w:val="24"/>
      <w:szCs w:val="24"/>
    </w:rPr>
  </w:style>
  <w:style w:type="paragraph" w:styleId="TOCHeading">
    <w:name w:val="TOC Heading"/>
    <w:basedOn w:val="Heading1"/>
    <w:next w:val="Normal"/>
    <w:uiPriority w:val="39"/>
    <w:semiHidden/>
    <w:unhideWhenUsed/>
    <w:qFormat/>
    <w:rsid w:val="000A45A0"/>
    <w:pPr>
      <w:outlineLvl w:val="9"/>
    </w:pPr>
    <w:rPr>
      <w:lang w:val="en-US" w:eastAsia="ja-JP"/>
    </w:rPr>
  </w:style>
  <w:style w:type="character" w:customStyle="1" w:styleId="Style1Char">
    <w:name w:val="Style1 Char"/>
    <w:basedOn w:val="DefaultParagraphFont"/>
    <w:link w:val="Style1"/>
    <w:rsid w:val="000A45A0"/>
    <w:rPr>
      <w:rFonts w:asciiTheme="majorHAnsi" w:hAnsiTheme="majorHAnsi"/>
      <w:b/>
      <w:sz w:val="24"/>
      <w:szCs w:val="24"/>
    </w:rPr>
  </w:style>
  <w:style w:type="paragraph" w:styleId="TOC1">
    <w:name w:val="toc 1"/>
    <w:basedOn w:val="Normal"/>
    <w:next w:val="Normal"/>
    <w:autoRedefine/>
    <w:uiPriority w:val="39"/>
    <w:unhideWhenUsed/>
    <w:rsid w:val="000A45A0"/>
    <w:pPr>
      <w:spacing w:after="100"/>
    </w:pPr>
  </w:style>
  <w:style w:type="paragraph" w:styleId="TOC2">
    <w:name w:val="toc 2"/>
    <w:basedOn w:val="Normal"/>
    <w:next w:val="Normal"/>
    <w:autoRedefine/>
    <w:uiPriority w:val="39"/>
    <w:unhideWhenUsed/>
    <w:rsid w:val="000A45A0"/>
    <w:pPr>
      <w:spacing w:after="100"/>
      <w:ind w:left="220"/>
    </w:pPr>
  </w:style>
  <w:style w:type="paragraph" w:styleId="TOC3">
    <w:name w:val="toc 3"/>
    <w:basedOn w:val="Normal"/>
    <w:next w:val="Normal"/>
    <w:autoRedefine/>
    <w:uiPriority w:val="39"/>
    <w:unhideWhenUsed/>
    <w:rsid w:val="000A45A0"/>
    <w:pPr>
      <w:spacing w:after="100"/>
      <w:ind w:left="440"/>
    </w:pPr>
  </w:style>
  <w:style w:type="paragraph" w:styleId="EndnoteText">
    <w:name w:val="endnote text"/>
    <w:basedOn w:val="Normal"/>
    <w:link w:val="EndnoteTextChar"/>
    <w:uiPriority w:val="99"/>
    <w:semiHidden/>
    <w:unhideWhenUsed/>
    <w:rsid w:val="007429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9E0"/>
    <w:rPr>
      <w:sz w:val="20"/>
      <w:szCs w:val="20"/>
    </w:rPr>
  </w:style>
  <w:style w:type="character" w:styleId="EndnoteReference">
    <w:name w:val="endnote reference"/>
    <w:basedOn w:val="DefaultParagraphFont"/>
    <w:uiPriority w:val="99"/>
    <w:semiHidden/>
    <w:unhideWhenUsed/>
    <w:rsid w:val="007429E0"/>
    <w:rPr>
      <w:vertAlign w:val="superscript"/>
    </w:rPr>
  </w:style>
  <w:style w:type="paragraph" w:styleId="Header">
    <w:name w:val="header"/>
    <w:basedOn w:val="Normal"/>
    <w:link w:val="HeaderChar"/>
    <w:uiPriority w:val="99"/>
    <w:unhideWhenUsed/>
    <w:rsid w:val="00773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C2"/>
  </w:style>
  <w:style w:type="paragraph" w:styleId="Footer">
    <w:name w:val="footer"/>
    <w:basedOn w:val="Normal"/>
    <w:link w:val="FooterChar"/>
    <w:uiPriority w:val="99"/>
    <w:unhideWhenUsed/>
    <w:rsid w:val="00773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C2"/>
  </w:style>
  <w:style w:type="paragraph" w:styleId="NoSpacing">
    <w:name w:val="No Spacing"/>
    <w:uiPriority w:val="1"/>
    <w:qFormat/>
    <w:rsid w:val="00B03D73"/>
    <w:pPr>
      <w:spacing w:after="0" w:line="240" w:lineRule="auto"/>
    </w:pPr>
  </w:style>
  <w:style w:type="table" w:customStyle="1" w:styleId="TableGrid1">
    <w:name w:val="Table Grid1"/>
    <w:basedOn w:val="TableNormal"/>
    <w:next w:val="TableGrid"/>
    <w:uiPriority w:val="59"/>
    <w:rsid w:val="00520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5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6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76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6CF4"/>
    <w:pPr>
      <w:ind w:left="720"/>
      <w:contextualSpacing/>
    </w:pPr>
  </w:style>
  <w:style w:type="paragraph" w:styleId="FootnoteText">
    <w:name w:val="footnote text"/>
    <w:basedOn w:val="Normal"/>
    <w:link w:val="FootnoteTextChar"/>
    <w:uiPriority w:val="99"/>
    <w:unhideWhenUsed/>
    <w:rsid w:val="00FB0FB9"/>
    <w:pPr>
      <w:spacing w:after="0" w:line="240" w:lineRule="auto"/>
    </w:pPr>
    <w:rPr>
      <w:sz w:val="20"/>
      <w:szCs w:val="20"/>
    </w:rPr>
  </w:style>
  <w:style w:type="character" w:customStyle="1" w:styleId="FootnoteTextChar">
    <w:name w:val="Footnote Text Char"/>
    <w:basedOn w:val="DefaultParagraphFont"/>
    <w:link w:val="FootnoteText"/>
    <w:uiPriority w:val="99"/>
    <w:rsid w:val="00FB0FB9"/>
    <w:rPr>
      <w:sz w:val="20"/>
      <w:szCs w:val="20"/>
    </w:rPr>
  </w:style>
  <w:style w:type="character" w:styleId="FootnoteReference">
    <w:name w:val="footnote reference"/>
    <w:basedOn w:val="DefaultParagraphFont"/>
    <w:uiPriority w:val="99"/>
    <w:semiHidden/>
    <w:unhideWhenUsed/>
    <w:rsid w:val="00FB0FB9"/>
    <w:rPr>
      <w:vertAlign w:val="superscript"/>
    </w:rPr>
  </w:style>
  <w:style w:type="character" w:styleId="Hyperlink">
    <w:name w:val="Hyperlink"/>
    <w:basedOn w:val="DefaultParagraphFont"/>
    <w:uiPriority w:val="99"/>
    <w:unhideWhenUsed/>
    <w:rsid w:val="00FB0FB9"/>
    <w:rPr>
      <w:color w:val="0000FF" w:themeColor="hyperlink"/>
      <w:u w:val="single"/>
    </w:rPr>
  </w:style>
  <w:style w:type="paragraph" w:styleId="NormalWeb">
    <w:name w:val="Normal (Web)"/>
    <w:basedOn w:val="Normal"/>
    <w:uiPriority w:val="99"/>
    <w:unhideWhenUsed/>
    <w:rsid w:val="000D71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60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imestamp">
    <w:name w:val="article-timestamp"/>
    <w:basedOn w:val="DefaultParagraphFont"/>
    <w:rsid w:val="000E05BB"/>
  </w:style>
  <w:style w:type="character" w:customStyle="1" w:styleId="Heading2Char">
    <w:name w:val="Heading 2 Char"/>
    <w:basedOn w:val="DefaultParagraphFont"/>
    <w:link w:val="Heading2"/>
    <w:uiPriority w:val="9"/>
    <w:rsid w:val="000A4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76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76D3"/>
    <w:rPr>
      <w:rFonts w:asciiTheme="majorHAnsi" w:eastAsiaTheme="majorEastAsia" w:hAnsiTheme="majorHAnsi" w:cstheme="majorBidi"/>
      <w:b/>
      <w:bCs/>
      <w:i/>
      <w:iCs/>
      <w:color w:val="4F81BD" w:themeColor="accent1"/>
    </w:rPr>
  </w:style>
  <w:style w:type="character" w:customStyle="1" w:styleId="facebook-share">
    <w:name w:val="facebook-share"/>
    <w:basedOn w:val="DefaultParagraphFont"/>
    <w:rsid w:val="003E5B57"/>
  </w:style>
  <w:style w:type="character" w:customStyle="1" w:styleId="facebook-share-label">
    <w:name w:val="facebook-share-label"/>
    <w:basedOn w:val="DefaultParagraphFont"/>
    <w:rsid w:val="003E5B57"/>
  </w:style>
  <w:style w:type="character" w:customStyle="1" w:styleId="facebook-share-count">
    <w:name w:val="facebook-share-count"/>
    <w:basedOn w:val="DefaultParagraphFont"/>
    <w:rsid w:val="003E5B57"/>
  </w:style>
  <w:style w:type="character" w:customStyle="1" w:styleId="in-widget">
    <w:name w:val="in-widget"/>
    <w:basedOn w:val="DefaultParagraphFont"/>
    <w:rsid w:val="003E5B57"/>
  </w:style>
  <w:style w:type="character" w:customStyle="1" w:styleId="in-right">
    <w:name w:val="in-right"/>
    <w:basedOn w:val="DefaultParagraphFont"/>
    <w:rsid w:val="003E5B57"/>
  </w:style>
  <w:style w:type="paragraph" w:styleId="BalloonText">
    <w:name w:val="Balloon Text"/>
    <w:basedOn w:val="Normal"/>
    <w:link w:val="BalloonTextChar"/>
    <w:uiPriority w:val="99"/>
    <w:semiHidden/>
    <w:unhideWhenUsed/>
    <w:rsid w:val="003E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57"/>
    <w:rPr>
      <w:rFonts w:ascii="Tahoma" w:hAnsi="Tahoma" w:cs="Tahoma"/>
      <w:sz w:val="16"/>
      <w:szCs w:val="16"/>
    </w:rPr>
  </w:style>
  <w:style w:type="character" w:styleId="Strong">
    <w:name w:val="Strong"/>
    <w:basedOn w:val="DefaultParagraphFont"/>
    <w:uiPriority w:val="22"/>
    <w:qFormat/>
    <w:rsid w:val="00761941"/>
    <w:rPr>
      <w:b/>
      <w:bCs/>
    </w:rPr>
  </w:style>
  <w:style w:type="character" w:styleId="Emphasis">
    <w:name w:val="Emphasis"/>
    <w:basedOn w:val="DefaultParagraphFont"/>
    <w:uiPriority w:val="20"/>
    <w:qFormat/>
    <w:rsid w:val="00BE48A0"/>
    <w:rPr>
      <w:i/>
      <w:iCs/>
    </w:rPr>
  </w:style>
  <w:style w:type="character" w:styleId="FollowedHyperlink">
    <w:name w:val="FollowedHyperlink"/>
    <w:basedOn w:val="DefaultParagraphFont"/>
    <w:uiPriority w:val="99"/>
    <w:semiHidden/>
    <w:unhideWhenUsed/>
    <w:rsid w:val="00466EB5"/>
    <w:rPr>
      <w:color w:val="800080" w:themeColor="followedHyperlink"/>
      <w:u w:val="single"/>
    </w:rPr>
  </w:style>
  <w:style w:type="paragraph" w:customStyle="1" w:styleId="Style1">
    <w:name w:val="Style1"/>
    <w:basedOn w:val="Normal"/>
    <w:link w:val="Style1Char"/>
    <w:qFormat/>
    <w:rsid w:val="000A45A0"/>
    <w:rPr>
      <w:rFonts w:asciiTheme="majorHAnsi" w:hAnsiTheme="majorHAnsi"/>
      <w:b/>
      <w:sz w:val="24"/>
      <w:szCs w:val="24"/>
    </w:rPr>
  </w:style>
  <w:style w:type="paragraph" w:styleId="TOCHeading">
    <w:name w:val="TOC Heading"/>
    <w:basedOn w:val="Heading1"/>
    <w:next w:val="Normal"/>
    <w:uiPriority w:val="39"/>
    <w:semiHidden/>
    <w:unhideWhenUsed/>
    <w:qFormat/>
    <w:rsid w:val="000A45A0"/>
    <w:pPr>
      <w:outlineLvl w:val="9"/>
    </w:pPr>
    <w:rPr>
      <w:lang w:val="en-US" w:eastAsia="ja-JP"/>
    </w:rPr>
  </w:style>
  <w:style w:type="character" w:customStyle="1" w:styleId="Style1Char">
    <w:name w:val="Style1 Char"/>
    <w:basedOn w:val="DefaultParagraphFont"/>
    <w:link w:val="Style1"/>
    <w:rsid w:val="000A45A0"/>
    <w:rPr>
      <w:rFonts w:asciiTheme="majorHAnsi" w:hAnsiTheme="majorHAnsi"/>
      <w:b/>
      <w:sz w:val="24"/>
      <w:szCs w:val="24"/>
    </w:rPr>
  </w:style>
  <w:style w:type="paragraph" w:styleId="TOC1">
    <w:name w:val="toc 1"/>
    <w:basedOn w:val="Normal"/>
    <w:next w:val="Normal"/>
    <w:autoRedefine/>
    <w:uiPriority w:val="39"/>
    <w:unhideWhenUsed/>
    <w:rsid w:val="000A45A0"/>
    <w:pPr>
      <w:spacing w:after="100"/>
    </w:pPr>
  </w:style>
  <w:style w:type="paragraph" w:styleId="TOC2">
    <w:name w:val="toc 2"/>
    <w:basedOn w:val="Normal"/>
    <w:next w:val="Normal"/>
    <w:autoRedefine/>
    <w:uiPriority w:val="39"/>
    <w:unhideWhenUsed/>
    <w:rsid w:val="000A45A0"/>
    <w:pPr>
      <w:spacing w:after="100"/>
      <w:ind w:left="220"/>
    </w:pPr>
  </w:style>
  <w:style w:type="paragraph" w:styleId="TOC3">
    <w:name w:val="toc 3"/>
    <w:basedOn w:val="Normal"/>
    <w:next w:val="Normal"/>
    <w:autoRedefine/>
    <w:uiPriority w:val="39"/>
    <w:unhideWhenUsed/>
    <w:rsid w:val="000A45A0"/>
    <w:pPr>
      <w:spacing w:after="100"/>
      <w:ind w:left="440"/>
    </w:pPr>
  </w:style>
  <w:style w:type="paragraph" w:styleId="EndnoteText">
    <w:name w:val="endnote text"/>
    <w:basedOn w:val="Normal"/>
    <w:link w:val="EndnoteTextChar"/>
    <w:uiPriority w:val="99"/>
    <w:semiHidden/>
    <w:unhideWhenUsed/>
    <w:rsid w:val="007429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29E0"/>
    <w:rPr>
      <w:sz w:val="20"/>
      <w:szCs w:val="20"/>
    </w:rPr>
  </w:style>
  <w:style w:type="character" w:styleId="EndnoteReference">
    <w:name w:val="endnote reference"/>
    <w:basedOn w:val="DefaultParagraphFont"/>
    <w:uiPriority w:val="99"/>
    <w:semiHidden/>
    <w:unhideWhenUsed/>
    <w:rsid w:val="007429E0"/>
    <w:rPr>
      <w:vertAlign w:val="superscript"/>
    </w:rPr>
  </w:style>
  <w:style w:type="paragraph" w:styleId="Header">
    <w:name w:val="header"/>
    <w:basedOn w:val="Normal"/>
    <w:link w:val="HeaderChar"/>
    <w:uiPriority w:val="99"/>
    <w:unhideWhenUsed/>
    <w:rsid w:val="00773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C2"/>
  </w:style>
  <w:style w:type="paragraph" w:styleId="Footer">
    <w:name w:val="footer"/>
    <w:basedOn w:val="Normal"/>
    <w:link w:val="FooterChar"/>
    <w:uiPriority w:val="99"/>
    <w:unhideWhenUsed/>
    <w:rsid w:val="00773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C2"/>
  </w:style>
  <w:style w:type="paragraph" w:styleId="NoSpacing">
    <w:name w:val="No Spacing"/>
    <w:uiPriority w:val="1"/>
    <w:qFormat/>
    <w:rsid w:val="00B03D73"/>
    <w:pPr>
      <w:spacing w:after="0" w:line="240" w:lineRule="auto"/>
    </w:pPr>
  </w:style>
  <w:style w:type="table" w:customStyle="1" w:styleId="TableGrid1">
    <w:name w:val="Table Grid1"/>
    <w:basedOn w:val="TableNormal"/>
    <w:next w:val="TableGrid"/>
    <w:uiPriority w:val="59"/>
    <w:rsid w:val="00520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404">
      <w:bodyDiv w:val="1"/>
      <w:marLeft w:val="0"/>
      <w:marRight w:val="0"/>
      <w:marTop w:val="0"/>
      <w:marBottom w:val="0"/>
      <w:divBdr>
        <w:top w:val="none" w:sz="0" w:space="0" w:color="auto"/>
        <w:left w:val="none" w:sz="0" w:space="0" w:color="auto"/>
        <w:bottom w:val="none" w:sz="0" w:space="0" w:color="auto"/>
        <w:right w:val="none" w:sz="0" w:space="0" w:color="auto"/>
      </w:divBdr>
      <w:divsChild>
        <w:div w:id="1317107845">
          <w:marLeft w:val="0"/>
          <w:marRight w:val="0"/>
          <w:marTop w:val="0"/>
          <w:marBottom w:val="0"/>
          <w:divBdr>
            <w:top w:val="none" w:sz="0" w:space="0" w:color="auto"/>
            <w:left w:val="none" w:sz="0" w:space="0" w:color="auto"/>
            <w:bottom w:val="none" w:sz="0" w:space="0" w:color="auto"/>
            <w:right w:val="none" w:sz="0" w:space="0" w:color="auto"/>
          </w:divBdr>
        </w:div>
        <w:div w:id="1155804785">
          <w:marLeft w:val="0"/>
          <w:marRight w:val="0"/>
          <w:marTop w:val="0"/>
          <w:marBottom w:val="0"/>
          <w:divBdr>
            <w:top w:val="none" w:sz="0" w:space="0" w:color="auto"/>
            <w:left w:val="none" w:sz="0" w:space="0" w:color="auto"/>
            <w:bottom w:val="none" w:sz="0" w:space="0" w:color="auto"/>
            <w:right w:val="none" w:sz="0" w:space="0" w:color="auto"/>
          </w:divBdr>
        </w:div>
        <w:div w:id="944732304">
          <w:marLeft w:val="0"/>
          <w:marRight w:val="0"/>
          <w:marTop w:val="0"/>
          <w:marBottom w:val="0"/>
          <w:divBdr>
            <w:top w:val="none" w:sz="0" w:space="0" w:color="auto"/>
            <w:left w:val="none" w:sz="0" w:space="0" w:color="auto"/>
            <w:bottom w:val="none" w:sz="0" w:space="0" w:color="auto"/>
            <w:right w:val="none" w:sz="0" w:space="0" w:color="auto"/>
          </w:divBdr>
        </w:div>
        <w:div w:id="1674988110">
          <w:marLeft w:val="0"/>
          <w:marRight w:val="0"/>
          <w:marTop w:val="0"/>
          <w:marBottom w:val="0"/>
          <w:divBdr>
            <w:top w:val="none" w:sz="0" w:space="0" w:color="auto"/>
            <w:left w:val="none" w:sz="0" w:space="0" w:color="auto"/>
            <w:bottom w:val="none" w:sz="0" w:space="0" w:color="auto"/>
            <w:right w:val="none" w:sz="0" w:space="0" w:color="auto"/>
          </w:divBdr>
        </w:div>
        <w:div w:id="584657357">
          <w:marLeft w:val="0"/>
          <w:marRight w:val="0"/>
          <w:marTop w:val="0"/>
          <w:marBottom w:val="0"/>
          <w:divBdr>
            <w:top w:val="none" w:sz="0" w:space="0" w:color="auto"/>
            <w:left w:val="none" w:sz="0" w:space="0" w:color="auto"/>
            <w:bottom w:val="none" w:sz="0" w:space="0" w:color="auto"/>
            <w:right w:val="none" w:sz="0" w:space="0" w:color="auto"/>
          </w:divBdr>
        </w:div>
        <w:div w:id="669872994">
          <w:marLeft w:val="0"/>
          <w:marRight w:val="0"/>
          <w:marTop w:val="0"/>
          <w:marBottom w:val="0"/>
          <w:divBdr>
            <w:top w:val="none" w:sz="0" w:space="0" w:color="auto"/>
            <w:left w:val="none" w:sz="0" w:space="0" w:color="auto"/>
            <w:bottom w:val="none" w:sz="0" w:space="0" w:color="auto"/>
            <w:right w:val="none" w:sz="0" w:space="0" w:color="auto"/>
          </w:divBdr>
        </w:div>
        <w:div w:id="705913434">
          <w:marLeft w:val="0"/>
          <w:marRight w:val="0"/>
          <w:marTop w:val="0"/>
          <w:marBottom w:val="0"/>
          <w:divBdr>
            <w:top w:val="none" w:sz="0" w:space="0" w:color="auto"/>
            <w:left w:val="none" w:sz="0" w:space="0" w:color="auto"/>
            <w:bottom w:val="none" w:sz="0" w:space="0" w:color="auto"/>
            <w:right w:val="none" w:sz="0" w:space="0" w:color="auto"/>
          </w:divBdr>
        </w:div>
        <w:div w:id="1199854396">
          <w:marLeft w:val="0"/>
          <w:marRight w:val="0"/>
          <w:marTop w:val="0"/>
          <w:marBottom w:val="0"/>
          <w:divBdr>
            <w:top w:val="none" w:sz="0" w:space="0" w:color="auto"/>
            <w:left w:val="none" w:sz="0" w:space="0" w:color="auto"/>
            <w:bottom w:val="none" w:sz="0" w:space="0" w:color="auto"/>
            <w:right w:val="none" w:sz="0" w:space="0" w:color="auto"/>
          </w:divBdr>
        </w:div>
        <w:div w:id="1451433080">
          <w:marLeft w:val="0"/>
          <w:marRight w:val="0"/>
          <w:marTop w:val="0"/>
          <w:marBottom w:val="0"/>
          <w:divBdr>
            <w:top w:val="none" w:sz="0" w:space="0" w:color="auto"/>
            <w:left w:val="none" w:sz="0" w:space="0" w:color="auto"/>
            <w:bottom w:val="none" w:sz="0" w:space="0" w:color="auto"/>
            <w:right w:val="none" w:sz="0" w:space="0" w:color="auto"/>
          </w:divBdr>
        </w:div>
        <w:div w:id="629743475">
          <w:marLeft w:val="0"/>
          <w:marRight w:val="0"/>
          <w:marTop w:val="0"/>
          <w:marBottom w:val="0"/>
          <w:divBdr>
            <w:top w:val="none" w:sz="0" w:space="0" w:color="auto"/>
            <w:left w:val="none" w:sz="0" w:space="0" w:color="auto"/>
            <w:bottom w:val="none" w:sz="0" w:space="0" w:color="auto"/>
            <w:right w:val="none" w:sz="0" w:space="0" w:color="auto"/>
          </w:divBdr>
        </w:div>
      </w:divsChild>
    </w:div>
    <w:div w:id="51588157">
      <w:bodyDiv w:val="1"/>
      <w:marLeft w:val="0"/>
      <w:marRight w:val="0"/>
      <w:marTop w:val="0"/>
      <w:marBottom w:val="0"/>
      <w:divBdr>
        <w:top w:val="none" w:sz="0" w:space="0" w:color="auto"/>
        <w:left w:val="none" w:sz="0" w:space="0" w:color="auto"/>
        <w:bottom w:val="none" w:sz="0" w:space="0" w:color="auto"/>
        <w:right w:val="none" w:sz="0" w:space="0" w:color="auto"/>
      </w:divBdr>
      <w:divsChild>
        <w:div w:id="612638615">
          <w:marLeft w:val="0"/>
          <w:marRight w:val="0"/>
          <w:marTop w:val="0"/>
          <w:marBottom w:val="0"/>
          <w:divBdr>
            <w:top w:val="none" w:sz="0" w:space="0" w:color="auto"/>
            <w:left w:val="none" w:sz="0" w:space="0" w:color="auto"/>
            <w:bottom w:val="none" w:sz="0" w:space="0" w:color="auto"/>
            <w:right w:val="none" w:sz="0" w:space="0" w:color="auto"/>
          </w:divBdr>
          <w:divsChild>
            <w:div w:id="893197218">
              <w:marLeft w:val="0"/>
              <w:marRight w:val="0"/>
              <w:marTop w:val="0"/>
              <w:marBottom w:val="0"/>
              <w:divBdr>
                <w:top w:val="none" w:sz="0" w:space="0" w:color="auto"/>
                <w:left w:val="none" w:sz="0" w:space="0" w:color="auto"/>
                <w:bottom w:val="none" w:sz="0" w:space="0" w:color="auto"/>
                <w:right w:val="none" w:sz="0" w:space="0" w:color="auto"/>
              </w:divBdr>
              <w:divsChild>
                <w:div w:id="166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6681">
          <w:marLeft w:val="0"/>
          <w:marRight w:val="0"/>
          <w:marTop w:val="0"/>
          <w:marBottom w:val="0"/>
          <w:divBdr>
            <w:top w:val="none" w:sz="0" w:space="0" w:color="auto"/>
            <w:left w:val="none" w:sz="0" w:space="0" w:color="auto"/>
            <w:bottom w:val="none" w:sz="0" w:space="0" w:color="auto"/>
            <w:right w:val="none" w:sz="0" w:space="0" w:color="auto"/>
          </w:divBdr>
          <w:divsChild>
            <w:div w:id="1910069297">
              <w:marLeft w:val="0"/>
              <w:marRight w:val="0"/>
              <w:marTop w:val="0"/>
              <w:marBottom w:val="0"/>
              <w:divBdr>
                <w:top w:val="none" w:sz="0" w:space="0" w:color="auto"/>
                <w:left w:val="none" w:sz="0" w:space="0" w:color="auto"/>
                <w:bottom w:val="none" w:sz="0" w:space="0" w:color="auto"/>
                <w:right w:val="none" w:sz="0" w:space="0" w:color="auto"/>
              </w:divBdr>
              <w:divsChild>
                <w:div w:id="1430854950">
                  <w:marLeft w:val="0"/>
                  <w:marRight w:val="0"/>
                  <w:marTop w:val="0"/>
                  <w:marBottom w:val="0"/>
                  <w:divBdr>
                    <w:top w:val="none" w:sz="0" w:space="0" w:color="auto"/>
                    <w:left w:val="none" w:sz="0" w:space="0" w:color="auto"/>
                    <w:bottom w:val="none" w:sz="0" w:space="0" w:color="auto"/>
                    <w:right w:val="none" w:sz="0" w:space="0" w:color="auto"/>
                  </w:divBdr>
                  <w:divsChild>
                    <w:div w:id="1754550310">
                      <w:marLeft w:val="0"/>
                      <w:marRight w:val="0"/>
                      <w:marTop w:val="0"/>
                      <w:marBottom w:val="0"/>
                      <w:divBdr>
                        <w:top w:val="none" w:sz="0" w:space="0" w:color="auto"/>
                        <w:left w:val="none" w:sz="0" w:space="0" w:color="auto"/>
                        <w:bottom w:val="none" w:sz="0" w:space="0" w:color="auto"/>
                        <w:right w:val="none" w:sz="0" w:space="0" w:color="auto"/>
                      </w:divBdr>
                    </w:div>
                  </w:divsChild>
                </w:div>
                <w:div w:id="102962976">
                  <w:marLeft w:val="0"/>
                  <w:marRight w:val="0"/>
                  <w:marTop w:val="0"/>
                  <w:marBottom w:val="0"/>
                  <w:divBdr>
                    <w:top w:val="none" w:sz="0" w:space="0" w:color="auto"/>
                    <w:left w:val="none" w:sz="0" w:space="0" w:color="auto"/>
                    <w:bottom w:val="none" w:sz="0" w:space="0" w:color="auto"/>
                    <w:right w:val="none" w:sz="0" w:space="0" w:color="auto"/>
                  </w:divBdr>
                  <w:divsChild>
                    <w:div w:id="12421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017">
              <w:marLeft w:val="0"/>
              <w:marRight w:val="0"/>
              <w:marTop w:val="0"/>
              <w:marBottom w:val="0"/>
              <w:divBdr>
                <w:top w:val="none" w:sz="0" w:space="0" w:color="auto"/>
                <w:left w:val="none" w:sz="0" w:space="0" w:color="auto"/>
                <w:bottom w:val="none" w:sz="0" w:space="0" w:color="auto"/>
                <w:right w:val="none" w:sz="0" w:space="0" w:color="auto"/>
              </w:divBdr>
              <w:divsChild>
                <w:div w:id="159741585">
                  <w:marLeft w:val="0"/>
                  <w:marRight w:val="0"/>
                  <w:marTop w:val="0"/>
                  <w:marBottom w:val="0"/>
                  <w:divBdr>
                    <w:top w:val="none" w:sz="0" w:space="0" w:color="auto"/>
                    <w:left w:val="none" w:sz="0" w:space="0" w:color="auto"/>
                    <w:bottom w:val="none" w:sz="0" w:space="0" w:color="auto"/>
                    <w:right w:val="none" w:sz="0" w:space="0" w:color="auto"/>
                  </w:divBdr>
                  <w:divsChild>
                    <w:div w:id="258374625">
                      <w:marLeft w:val="0"/>
                      <w:marRight w:val="0"/>
                      <w:marTop w:val="0"/>
                      <w:marBottom w:val="0"/>
                      <w:divBdr>
                        <w:top w:val="none" w:sz="0" w:space="0" w:color="auto"/>
                        <w:left w:val="none" w:sz="0" w:space="0" w:color="auto"/>
                        <w:bottom w:val="none" w:sz="0" w:space="0" w:color="auto"/>
                        <w:right w:val="none" w:sz="0" w:space="0" w:color="auto"/>
                      </w:divBdr>
                      <w:divsChild>
                        <w:div w:id="2051149021">
                          <w:marLeft w:val="0"/>
                          <w:marRight w:val="0"/>
                          <w:marTop w:val="0"/>
                          <w:marBottom w:val="0"/>
                          <w:divBdr>
                            <w:top w:val="none" w:sz="0" w:space="0" w:color="auto"/>
                            <w:left w:val="none" w:sz="0" w:space="0" w:color="auto"/>
                            <w:bottom w:val="none" w:sz="0" w:space="0" w:color="auto"/>
                            <w:right w:val="none" w:sz="0" w:space="0" w:color="auto"/>
                          </w:divBdr>
                        </w:div>
                      </w:divsChild>
                    </w:div>
                    <w:div w:id="3332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587">
      <w:bodyDiv w:val="1"/>
      <w:marLeft w:val="0"/>
      <w:marRight w:val="0"/>
      <w:marTop w:val="0"/>
      <w:marBottom w:val="0"/>
      <w:divBdr>
        <w:top w:val="none" w:sz="0" w:space="0" w:color="auto"/>
        <w:left w:val="none" w:sz="0" w:space="0" w:color="auto"/>
        <w:bottom w:val="none" w:sz="0" w:space="0" w:color="auto"/>
        <w:right w:val="none" w:sz="0" w:space="0" w:color="auto"/>
      </w:divBdr>
    </w:div>
    <w:div w:id="134571707">
      <w:bodyDiv w:val="1"/>
      <w:marLeft w:val="0"/>
      <w:marRight w:val="0"/>
      <w:marTop w:val="0"/>
      <w:marBottom w:val="0"/>
      <w:divBdr>
        <w:top w:val="none" w:sz="0" w:space="0" w:color="auto"/>
        <w:left w:val="none" w:sz="0" w:space="0" w:color="auto"/>
        <w:bottom w:val="none" w:sz="0" w:space="0" w:color="auto"/>
        <w:right w:val="none" w:sz="0" w:space="0" w:color="auto"/>
      </w:divBdr>
      <w:divsChild>
        <w:div w:id="418525063">
          <w:marLeft w:val="0"/>
          <w:marRight w:val="0"/>
          <w:marTop w:val="0"/>
          <w:marBottom w:val="0"/>
          <w:divBdr>
            <w:top w:val="none" w:sz="0" w:space="0" w:color="auto"/>
            <w:left w:val="none" w:sz="0" w:space="0" w:color="auto"/>
            <w:bottom w:val="none" w:sz="0" w:space="0" w:color="auto"/>
            <w:right w:val="none" w:sz="0" w:space="0" w:color="auto"/>
          </w:divBdr>
        </w:div>
        <w:div w:id="1423796000">
          <w:marLeft w:val="0"/>
          <w:marRight w:val="0"/>
          <w:marTop w:val="0"/>
          <w:marBottom w:val="0"/>
          <w:divBdr>
            <w:top w:val="none" w:sz="0" w:space="0" w:color="auto"/>
            <w:left w:val="none" w:sz="0" w:space="0" w:color="auto"/>
            <w:bottom w:val="none" w:sz="0" w:space="0" w:color="auto"/>
            <w:right w:val="none" w:sz="0" w:space="0" w:color="auto"/>
          </w:divBdr>
        </w:div>
        <w:div w:id="1635677789">
          <w:marLeft w:val="0"/>
          <w:marRight w:val="0"/>
          <w:marTop w:val="0"/>
          <w:marBottom w:val="0"/>
          <w:divBdr>
            <w:top w:val="none" w:sz="0" w:space="0" w:color="auto"/>
            <w:left w:val="none" w:sz="0" w:space="0" w:color="auto"/>
            <w:bottom w:val="none" w:sz="0" w:space="0" w:color="auto"/>
            <w:right w:val="none" w:sz="0" w:space="0" w:color="auto"/>
          </w:divBdr>
        </w:div>
        <w:div w:id="148137891">
          <w:marLeft w:val="0"/>
          <w:marRight w:val="0"/>
          <w:marTop w:val="0"/>
          <w:marBottom w:val="0"/>
          <w:divBdr>
            <w:top w:val="none" w:sz="0" w:space="0" w:color="auto"/>
            <w:left w:val="none" w:sz="0" w:space="0" w:color="auto"/>
            <w:bottom w:val="none" w:sz="0" w:space="0" w:color="auto"/>
            <w:right w:val="none" w:sz="0" w:space="0" w:color="auto"/>
          </w:divBdr>
        </w:div>
      </w:divsChild>
    </w:div>
    <w:div w:id="227301194">
      <w:bodyDiv w:val="1"/>
      <w:marLeft w:val="0"/>
      <w:marRight w:val="0"/>
      <w:marTop w:val="0"/>
      <w:marBottom w:val="0"/>
      <w:divBdr>
        <w:top w:val="none" w:sz="0" w:space="0" w:color="auto"/>
        <w:left w:val="none" w:sz="0" w:space="0" w:color="auto"/>
        <w:bottom w:val="none" w:sz="0" w:space="0" w:color="auto"/>
        <w:right w:val="none" w:sz="0" w:space="0" w:color="auto"/>
      </w:divBdr>
      <w:divsChild>
        <w:div w:id="119080087">
          <w:marLeft w:val="0"/>
          <w:marRight w:val="0"/>
          <w:marTop w:val="0"/>
          <w:marBottom w:val="0"/>
          <w:divBdr>
            <w:top w:val="none" w:sz="0" w:space="0" w:color="auto"/>
            <w:left w:val="none" w:sz="0" w:space="0" w:color="auto"/>
            <w:bottom w:val="none" w:sz="0" w:space="0" w:color="auto"/>
            <w:right w:val="none" w:sz="0" w:space="0" w:color="auto"/>
          </w:divBdr>
          <w:divsChild>
            <w:div w:id="616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470">
      <w:bodyDiv w:val="1"/>
      <w:marLeft w:val="0"/>
      <w:marRight w:val="0"/>
      <w:marTop w:val="0"/>
      <w:marBottom w:val="0"/>
      <w:divBdr>
        <w:top w:val="none" w:sz="0" w:space="0" w:color="auto"/>
        <w:left w:val="none" w:sz="0" w:space="0" w:color="auto"/>
        <w:bottom w:val="none" w:sz="0" w:space="0" w:color="auto"/>
        <w:right w:val="none" w:sz="0" w:space="0" w:color="auto"/>
      </w:divBdr>
    </w:div>
    <w:div w:id="256405342">
      <w:bodyDiv w:val="1"/>
      <w:marLeft w:val="0"/>
      <w:marRight w:val="0"/>
      <w:marTop w:val="0"/>
      <w:marBottom w:val="0"/>
      <w:divBdr>
        <w:top w:val="none" w:sz="0" w:space="0" w:color="auto"/>
        <w:left w:val="none" w:sz="0" w:space="0" w:color="auto"/>
        <w:bottom w:val="none" w:sz="0" w:space="0" w:color="auto"/>
        <w:right w:val="none" w:sz="0" w:space="0" w:color="auto"/>
      </w:divBdr>
    </w:div>
    <w:div w:id="270671371">
      <w:bodyDiv w:val="1"/>
      <w:marLeft w:val="0"/>
      <w:marRight w:val="0"/>
      <w:marTop w:val="0"/>
      <w:marBottom w:val="0"/>
      <w:divBdr>
        <w:top w:val="none" w:sz="0" w:space="0" w:color="auto"/>
        <w:left w:val="none" w:sz="0" w:space="0" w:color="auto"/>
        <w:bottom w:val="none" w:sz="0" w:space="0" w:color="auto"/>
        <w:right w:val="none" w:sz="0" w:space="0" w:color="auto"/>
      </w:divBdr>
    </w:div>
    <w:div w:id="309754637">
      <w:bodyDiv w:val="1"/>
      <w:marLeft w:val="0"/>
      <w:marRight w:val="0"/>
      <w:marTop w:val="0"/>
      <w:marBottom w:val="0"/>
      <w:divBdr>
        <w:top w:val="none" w:sz="0" w:space="0" w:color="auto"/>
        <w:left w:val="none" w:sz="0" w:space="0" w:color="auto"/>
        <w:bottom w:val="none" w:sz="0" w:space="0" w:color="auto"/>
        <w:right w:val="none" w:sz="0" w:space="0" w:color="auto"/>
      </w:divBdr>
      <w:divsChild>
        <w:div w:id="2034307699">
          <w:marLeft w:val="0"/>
          <w:marRight w:val="0"/>
          <w:marTop w:val="0"/>
          <w:marBottom w:val="0"/>
          <w:divBdr>
            <w:top w:val="none" w:sz="0" w:space="0" w:color="auto"/>
            <w:left w:val="none" w:sz="0" w:space="0" w:color="auto"/>
            <w:bottom w:val="none" w:sz="0" w:space="0" w:color="auto"/>
            <w:right w:val="none" w:sz="0" w:space="0" w:color="auto"/>
          </w:divBdr>
        </w:div>
        <w:div w:id="1661545728">
          <w:marLeft w:val="0"/>
          <w:marRight w:val="0"/>
          <w:marTop w:val="0"/>
          <w:marBottom w:val="0"/>
          <w:divBdr>
            <w:top w:val="none" w:sz="0" w:space="0" w:color="auto"/>
            <w:left w:val="none" w:sz="0" w:space="0" w:color="auto"/>
            <w:bottom w:val="none" w:sz="0" w:space="0" w:color="auto"/>
            <w:right w:val="none" w:sz="0" w:space="0" w:color="auto"/>
          </w:divBdr>
        </w:div>
        <w:div w:id="2088844794">
          <w:marLeft w:val="0"/>
          <w:marRight w:val="0"/>
          <w:marTop w:val="0"/>
          <w:marBottom w:val="0"/>
          <w:divBdr>
            <w:top w:val="none" w:sz="0" w:space="0" w:color="auto"/>
            <w:left w:val="none" w:sz="0" w:space="0" w:color="auto"/>
            <w:bottom w:val="none" w:sz="0" w:space="0" w:color="auto"/>
            <w:right w:val="none" w:sz="0" w:space="0" w:color="auto"/>
          </w:divBdr>
        </w:div>
        <w:div w:id="1043552993">
          <w:marLeft w:val="0"/>
          <w:marRight w:val="0"/>
          <w:marTop w:val="0"/>
          <w:marBottom w:val="0"/>
          <w:divBdr>
            <w:top w:val="none" w:sz="0" w:space="0" w:color="auto"/>
            <w:left w:val="none" w:sz="0" w:space="0" w:color="auto"/>
            <w:bottom w:val="none" w:sz="0" w:space="0" w:color="auto"/>
            <w:right w:val="none" w:sz="0" w:space="0" w:color="auto"/>
          </w:divBdr>
        </w:div>
      </w:divsChild>
    </w:div>
    <w:div w:id="313948510">
      <w:bodyDiv w:val="1"/>
      <w:marLeft w:val="0"/>
      <w:marRight w:val="0"/>
      <w:marTop w:val="0"/>
      <w:marBottom w:val="0"/>
      <w:divBdr>
        <w:top w:val="none" w:sz="0" w:space="0" w:color="auto"/>
        <w:left w:val="none" w:sz="0" w:space="0" w:color="auto"/>
        <w:bottom w:val="none" w:sz="0" w:space="0" w:color="auto"/>
        <w:right w:val="none" w:sz="0" w:space="0" w:color="auto"/>
      </w:divBdr>
      <w:divsChild>
        <w:div w:id="1911580052">
          <w:marLeft w:val="0"/>
          <w:marRight w:val="0"/>
          <w:marTop w:val="0"/>
          <w:marBottom w:val="0"/>
          <w:divBdr>
            <w:top w:val="none" w:sz="0" w:space="0" w:color="auto"/>
            <w:left w:val="none" w:sz="0" w:space="0" w:color="auto"/>
            <w:bottom w:val="none" w:sz="0" w:space="0" w:color="auto"/>
            <w:right w:val="none" w:sz="0" w:space="0" w:color="auto"/>
          </w:divBdr>
        </w:div>
      </w:divsChild>
    </w:div>
    <w:div w:id="406005004">
      <w:bodyDiv w:val="1"/>
      <w:marLeft w:val="0"/>
      <w:marRight w:val="0"/>
      <w:marTop w:val="0"/>
      <w:marBottom w:val="0"/>
      <w:divBdr>
        <w:top w:val="none" w:sz="0" w:space="0" w:color="auto"/>
        <w:left w:val="none" w:sz="0" w:space="0" w:color="auto"/>
        <w:bottom w:val="none" w:sz="0" w:space="0" w:color="auto"/>
        <w:right w:val="none" w:sz="0" w:space="0" w:color="auto"/>
      </w:divBdr>
      <w:divsChild>
        <w:div w:id="1311328095">
          <w:marLeft w:val="0"/>
          <w:marRight w:val="0"/>
          <w:marTop w:val="0"/>
          <w:marBottom w:val="0"/>
          <w:divBdr>
            <w:top w:val="none" w:sz="0" w:space="0" w:color="auto"/>
            <w:left w:val="none" w:sz="0" w:space="0" w:color="auto"/>
            <w:bottom w:val="none" w:sz="0" w:space="0" w:color="auto"/>
            <w:right w:val="none" w:sz="0" w:space="0" w:color="auto"/>
          </w:divBdr>
          <w:divsChild>
            <w:div w:id="317466301">
              <w:marLeft w:val="0"/>
              <w:marRight w:val="0"/>
              <w:marTop w:val="0"/>
              <w:marBottom w:val="0"/>
              <w:divBdr>
                <w:top w:val="none" w:sz="0" w:space="0" w:color="auto"/>
                <w:left w:val="none" w:sz="0" w:space="0" w:color="auto"/>
                <w:bottom w:val="none" w:sz="0" w:space="0" w:color="auto"/>
                <w:right w:val="none" w:sz="0" w:space="0" w:color="auto"/>
              </w:divBdr>
              <w:divsChild>
                <w:div w:id="1975405834">
                  <w:marLeft w:val="0"/>
                  <w:marRight w:val="0"/>
                  <w:marTop w:val="0"/>
                  <w:marBottom w:val="0"/>
                  <w:divBdr>
                    <w:top w:val="none" w:sz="0" w:space="0" w:color="auto"/>
                    <w:left w:val="none" w:sz="0" w:space="0" w:color="auto"/>
                    <w:bottom w:val="none" w:sz="0" w:space="0" w:color="auto"/>
                    <w:right w:val="none" w:sz="0" w:space="0" w:color="auto"/>
                  </w:divBdr>
                  <w:divsChild>
                    <w:div w:id="441262825">
                      <w:marLeft w:val="0"/>
                      <w:marRight w:val="0"/>
                      <w:marTop w:val="0"/>
                      <w:marBottom w:val="0"/>
                      <w:divBdr>
                        <w:top w:val="none" w:sz="0" w:space="0" w:color="auto"/>
                        <w:left w:val="none" w:sz="0" w:space="0" w:color="auto"/>
                        <w:bottom w:val="none" w:sz="0" w:space="0" w:color="auto"/>
                        <w:right w:val="none" w:sz="0" w:space="0" w:color="auto"/>
                      </w:divBdr>
                    </w:div>
                    <w:div w:id="1202546887">
                      <w:marLeft w:val="0"/>
                      <w:marRight w:val="0"/>
                      <w:marTop w:val="0"/>
                      <w:marBottom w:val="0"/>
                      <w:divBdr>
                        <w:top w:val="none" w:sz="0" w:space="0" w:color="auto"/>
                        <w:left w:val="none" w:sz="0" w:space="0" w:color="auto"/>
                        <w:bottom w:val="none" w:sz="0" w:space="0" w:color="auto"/>
                        <w:right w:val="none" w:sz="0" w:space="0" w:color="auto"/>
                      </w:divBdr>
                    </w:div>
                    <w:div w:id="1629042381">
                      <w:marLeft w:val="0"/>
                      <w:marRight w:val="0"/>
                      <w:marTop w:val="0"/>
                      <w:marBottom w:val="0"/>
                      <w:divBdr>
                        <w:top w:val="none" w:sz="0" w:space="0" w:color="auto"/>
                        <w:left w:val="none" w:sz="0" w:space="0" w:color="auto"/>
                        <w:bottom w:val="none" w:sz="0" w:space="0" w:color="auto"/>
                        <w:right w:val="none" w:sz="0" w:space="0" w:color="auto"/>
                      </w:divBdr>
                    </w:div>
                    <w:div w:id="15660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4586">
              <w:marLeft w:val="0"/>
              <w:marRight w:val="0"/>
              <w:marTop w:val="0"/>
              <w:marBottom w:val="0"/>
              <w:divBdr>
                <w:top w:val="none" w:sz="0" w:space="0" w:color="auto"/>
                <w:left w:val="none" w:sz="0" w:space="0" w:color="auto"/>
                <w:bottom w:val="none" w:sz="0" w:space="0" w:color="auto"/>
                <w:right w:val="none" w:sz="0" w:space="0" w:color="auto"/>
              </w:divBdr>
              <w:divsChild>
                <w:div w:id="746028941">
                  <w:marLeft w:val="0"/>
                  <w:marRight w:val="0"/>
                  <w:marTop w:val="0"/>
                  <w:marBottom w:val="0"/>
                  <w:divBdr>
                    <w:top w:val="none" w:sz="0" w:space="0" w:color="auto"/>
                    <w:left w:val="none" w:sz="0" w:space="0" w:color="auto"/>
                    <w:bottom w:val="none" w:sz="0" w:space="0" w:color="auto"/>
                    <w:right w:val="none" w:sz="0" w:space="0" w:color="auto"/>
                  </w:divBdr>
                  <w:divsChild>
                    <w:div w:id="1496535874">
                      <w:marLeft w:val="0"/>
                      <w:marRight w:val="0"/>
                      <w:marTop w:val="0"/>
                      <w:marBottom w:val="0"/>
                      <w:divBdr>
                        <w:top w:val="none" w:sz="0" w:space="0" w:color="auto"/>
                        <w:left w:val="none" w:sz="0" w:space="0" w:color="auto"/>
                        <w:bottom w:val="none" w:sz="0" w:space="0" w:color="auto"/>
                        <w:right w:val="none" w:sz="0" w:space="0" w:color="auto"/>
                      </w:divBdr>
                      <w:divsChild>
                        <w:div w:id="560561864">
                          <w:marLeft w:val="0"/>
                          <w:marRight w:val="0"/>
                          <w:marTop w:val="0"/>
                          <w:marBottom w:val="0"/>
                          <w:divBdr>
                            <w:top w:val="none" w:sz="0" w:space="0" w:color="auto"/>
                            <w:left w:val="none" w:sz="0" w:space="0" w:color="auto"/>
                            <w:bottom w:val="none" w:sz="0" w:space="0" w:color="auto"/>
                            <w:right w:val="none" w:sz="0" w:space="0" w:color="auto"/>
                          </w:divBdr>
                        </w:div>
                        <w:div w:id="17130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32351">
      <w:bodyDiv w:val="1"/>
      <w:marLeft w:val="0"/>
      <w:marRight w:val="0"/>
      <w:marTop w:val="0"/>
      <w:marBottom w:val="0"/>
      <w:divBdr>
        <w:top w:val="none" w:sz="0" w:space="0" w:color="auto"/>
        <w:left w:val="none" w:sz="0" w:space="0" w:color="auto"/>
        <w:bottom w:val="none" w:sz="0" w:space="0" w:color="auto"/>
        <w:right w:val="none" w:sz="0" w:space="0" w:color="auto"/>
      </w:divBdr>
      <w:divsChild>
        <w:div w:id="2105760865">
          <w:marLeft w:val="0"/>
          <w:marRight w:val="0"/>
          <w:marTop w:val="0"/>
          <w:marBottom w:val="0"/>
          <w:divBdr>
            <w:top w:val="none" w:sz="0" w:space="0" w:color="auto"/>
            <w:left w:val="none" w:sz="0" w:space="0" w:color="auto"/>
            <w:bottom w:val="none" w:sz="0" w:space="0" w:color="auto"/>
            <w:right w:val="none" w:sz="0" w:space="0" w:color="auto"/>
          </w:divBdr>
          <w:divsChild>
            <w:div w:id="1058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0930">
      <w:bodyDiv w:val="1"/>
      <w:marLeft w:val="0"/>
      <w:marRight w:val="0"/>
      <w:marTop w:val="0"/>
      <w:marBottom w:val="0"/>
      <w:divBdr>
        <w:top w:val="none" w:sz="0" w:space="0" w:color="auto"/>
        <w:left w:val="none" w:sz="0" w:space="0" w:color="auto"/>
        <w:bottom w:val="none" w:sz="0" w:space="0" w:color="auto"/>
        <w:right w:val="none" w:sz="0" w:space="0" w:color="auto"/>
      </w:divBdr>
      <w:divsChild>
        <w:div w:id="1770391746">
          <w:marLeft w:val="0"/>
          <w:marRight w:val="0"/>
          <w:marTop w:val="0"/>
          <w:marBottom w:val="0"/>
          <w:divBdr>
            <w:top w:val="none" w:sz="0" w:space="0" w:color="auto"/>
            <w:left w:val="none" w:sz="0" w:space="0" w:color="auto"/>
            <w:bottom w:val="none" w:sz="0" w:space="0" w:color="auto"/>
            <w:right w:val="none" w:sz="0" w:space="0" w:color="auto"/>
          </w:divBdr>
        </w:div>
        <w:div w:id="182865628">
          <w:marLeft w:val="0"/>
          <w:marRight w:val="0"/>
          <w:marTop w:val="0"/>
          <w:marBottom w:val="0"/>
          <w:divBdr>
            <w:top w:val="none" w:sz="0" w:space="0" w:color="auto"/>
            <w:left w:val="none" w:sz="0" w:space="0" w:color="auto"/>
            <w:bottom w:val="none" w:sz="0" w:space="0" w:color="auto"/>
            <w:right w:val="none" w:sz="0" w:space="0" w:color="auto"/>
          </w:divBdr>
        </w:div>
        <w:div w:id="1835097819">
          <w:marLeft w:val="0"/>
          <w:marRight w:val="0"/>
          <w:marTop w:val="0"/>
          <w:marBottom w:val="0"/>
          <w:divBdr>
            <w:top w:val="none" w:sz="0" w:space="0" w:color="auto"/>
            <w:left w:val="none" w:sz="0" w:space="0" w:color="auto"/>
            <w:bottom w:val="none" w:sz="0" w:space="0" w:color="auto"/>
            <w:right w:val="none" w:sz="0" w:space="0" w:color="auto"/>
          </w:divBdr>
        </w:div>
      </w:divsChild>
    </w:div>
    <w:div w:id="446051593">
      <w:bodyDiv w:val="1"/>
      <w:marLeft w:val="0"/>
      <w:marRight w:val="0"/>
      <w:marTop w:val="0"/>
      <w:marBottom w:val="0"/>
      <w:divBdr>
        <w:top w:val="none" w:sz="0" w:space="0" w:color="auto"/>
        <w:left w:val="none" w:sz="0" w:space="0" w:color="auto"/>
        <w:bottom w:val="none" w:sz="0" w:space="0" w:color="auto"/>
        <w:right w:val="none" w:sz="0" w:space="0" w:color="auto"/>
      </w:divBdr>
    </w:div>
    <w:div w:id="487209616">
      <w:bodyDiv w:val="1"/>
      <w:marLeft w:val="0"/>
      <w:marRight w:val="0"/>
      <w:marTop w:val="0"/>
      <w:marBottom w:val="0"/>
      <w:divBdr>
        <w:top w:val="none" w:sz="0" w:space="0" w:color="auto"/>
        <w:left w:val="none" w:sz="0" w:space="0" w:color="auto"/>
        <w:bottom w:val="none" w:sz="0" w:space="0" w:color="auto"/>
        <w:right w:val="none" w:sz="0" w:space="0" w:color="auto"/>
      </w:divBdr>
      <w:divsChild>
        <w:div w:id="1077627627">
          <w:marLeft w:val="0"/>
          <w:marRight w:val="0"/>
          <w:marTop w:val="0"/>
          <w:marBottom w:val="0"/>
          <w:divBdr>
            <w:top w:val="none" w:sz="0" w:space="0" w:color="auto"/>
            <w:left w:val="none" w:sz="0" w:space="0" w:color="auto"/>
            <w:bottom w:val="none" w:sz="0" w:space="0" w:color="auto"/>
            <w:right w:val="none" w:sz="0" w:space="0" w:color="auto"/>
          </w:divBdr>
        </w:div>
        <w:div w:id="881598597">
          <w:marLeft w:val="0"/>
          <w:marRight w:val="0"/>
          <w:marTop w:val="0"/>
          <w:marBottom w:val="0"/>
          <w:divBdr>
            <w:top w:val="none" w:sz="0" w:space="0" w:color="auto"/>
            <w:left w:val="none" w:sz="0" w:space="0" w:color="auto"/>
            <w:bottom w:val="none" w:sz="0" w:space="0" w:color="auto"/>
            <w:right w:val="none" w:sz="0" w:space="0" w:color="auto"/>
          </w:divBdr>
        </w:div>
        <w:div w:id="545334275">
          <w:marLeft w:val="0"/>
          <w:marRight w:val="0"/>
          <w:marTop w:val="0"/>
          <w:marBottom w:val="0"/>
          <w:divBdr>
            <w:top w:val="none" w:sz="0" w:space="0" w:color="auto"/>
            <w:left w:val="none" w:sz="0" w:space="0" w:color="auto"/>
            <w:bottom w:val="none" w:sz="0" w:space="0" w:color="auto"/>
            <w:right w:val="none" w:sz="0" w:space="0" w:color="auto"/>
          </w:divBdr>
        </w:div>
      </w:divsChild>
    </w:div>
    <w:div w:id="489247198">
      <w:bodyDiv w:val="1"/>
      <w:marLeft w:val="0"/>
      <w:marRight w:val="0"/>
      <w:marTop w:val="0"/>
      <w:marBottom w:val="0"/>
      <w:divBdr>
        <w:top w:val="none" w:sz="0" w:space="0" w:color="auto"/>
        <w:left w:val="none" w:sz="0" w:space="0" w:color="auto"/>
        <w:bottom w:val="none" w:sz="0" w:space="0" w:color="auto"/>
        <w:right w:val="none" w:sz="0" w:space="0" w:color="auto"/>
      </w:divBdr>
    </w:div>
    <w:div w:id="532353844">
      <w:bodyDiv w:val="1"/>
      <w:marLeft w:val="0"/>
      <w:marRight w:val="0"/>
      <w:marTop w:val="0"/>
      <w:marBottom w:val="0"/>
      <w:divBdr>
        <w:top w:val="none" w:sz="0" w:space="0" w:color="auto"/>
        <w:left w:val="none" w:sz="0" w:space="0" w:color="auto"/>
        <w:bottom w:val="none" w:sz="0" w:space="0" w:color="auto"/>
        <w:right w:val="none" w:sz="0" w:space="0" w:color="auto"/>
      </w:divBdr>
      <w:divsChild>
        <w:div w:id="373503892">
          <w:marLeft w:val="0"/>
          <w:marRight w:val="0"/>
          <w:marTop w:val="0"/>
          <w:marBottom w:val="0"/>
          <w:divBdr>
            <w:top w:val="none" w:sz="0" w:space="0" w:color="auto"/>
            <w:left w:val="none" w:sz="0" w:space="0" w:color="auto"/>
            <w:bottom w:val="none" w:sz="0" w:space="0" w:color="auto"/>
            <w:right w:val="none" w:sz="0" w:space="0" w:color="auto"/>
          </w:divBdr>
        </w:div>
        <w:div w:id="909391129">
          <w:marLeft w:val="0"/>
          <w:marRight w:val="0"/>
          <w:marTop w:val="0"/>
          <w:marBottom w:val="0"/>
          <w:divBdr>
            <w:top w:val="none" w:sz="0" w:space="0" w:color="auto"/>
            <w:left w:val="none" w:sz="0" w:space="0" w:color="auto"/>
            <w:bottom w:val="none" w:sz="0" w:space="0" w:color="auto"/>
            <w:right w:val="none" w:sz="0" w:space="0" w:color="auto"/>
          </w:divBdr>
        </w:div>
      </w:divsChild>
    </w:div>
    <w:div w:id="569001794">
      <w:bodyDiv w:val="1"/>
      <w:marLeft w:val="0"/>
      <w:marRight w:val="0"/>
      <w:marTop w:val="0"/>
      <w:marBottom w:val="0"/>
      <w:divBdr>
        <w:top w:val="none" w:sz="0" w:space="0" w:color="auto"/>
        <w:left w:val="none" w:sz="0" w:space="0" w:color="auto"/>
        <w:bottom w:val="none" w:sz="0" w:space="0" w:color="auto"/>
        <w:right w:val="none" w:sz="0" w:space="0" w:color="auto"/>
      </w:divBdr>
      <w:divsChild>
        <w:div w:id="1612738566">
          <w:marLeft w:val="0"/>
          <w:marRight w:val="0"/>
          <w:marTop w:val="0"/>
          <w:marBottom w:val="0"/>
          <w:divBdr>
            <w:top w:val="none" w:sz="0" w:space="0" w:color="auto"/>
            <w:left w:val="none" w:sz="0" w:space="0" w:color="auto"/>
            <w:bottom w:val="none" w:sz="0" w:space="0" w:color="auto"/>
            <w:right w:val="none" w:sz="0" w:space="0" w:color="auto"/>
          </w:divBdr>
        </w:div>
        <w:div w:id="921571684">
          <w:marLeft w:val="0"/>
          <w:marRight w:val="0"/>
          <w:marTop w:val="0"/>
          <w:marBottom w:val="0"/>
          <w:divBdr>
            <w:top w:val="none" w:sz="0" w:space="0" w:color="auto"/>
            <w:left w:val="none" w:sz="0" w:space="0" w:color="auto"/>
            <w:bottom w:val="none" w:sz="0" w:space="0" w:color="auto"/>
            <w:right w:val="none" w:sz="0" w:space="0" w:color="auto"/>
          </w:divBdr>
        </w:div>
        <w:div w:id="791021141">
          <w:marLeft w:val="0"/>
          <w:marRight w:val="0"/>
          <w:marTop w:val="0"/>
          <w:marBottom w:val="0"/>
          <w:divBdr>
            <w:top w:val="none" w:sz="0" w:space="0" w:color="auto"/>
            <w:left w:val="none" w:sz="0" w:space="0" w:color="auto"/>
            <w:bottom w:val="none" w:sz="0" w:space="0" w:color="auto"/>
            <w:right w:val="none" w:sz="0" w:space="0" w:color="auto"/>
          </w:divBdr>
        </w:div>
        <w:div w:id="1951739838">
          <w:marLeft w:val="0"/>
          <w:marRight w:val="0"/>
          <w:marTop w:val="0"/>
          <w:marBottom w:val="0"/>
          <w:divBdr>
            <w:top w:val="none" w:sz="0" w:space="0" w:color="auto"/>
            <w:left w:val="none" w:sz="0" w:space="0" w:color="auto"/>
            <w:bottom w:val="none" w:sz="0" w:space="0" w:color="auto"/>
            <w:right w:val="none" w:sz="0" w:space="0" w:color="auto"/>
          </w:divBdr>
        </w:div>
        <w:div w:id="343899671">
          <w:marLeft w:val="0"/>
          <w:marRight w:val="0"/>
          <w:marTop w:val="0"/>
          <w:marBottom w:val="0"/>
          <w:divBdr>
            <w:top w:val="none" w:sz="0" w:space="0" w:color="auto"/>
            <w:left w:val="none" w:sz="0" w:space="0" w:color="auto"/>
            <w:bottom w:val="none" w:sz="0" w:space="0" w:color="auto"/>
            <w:right w:val="none" w:sz="0" w:space="0" w:color="auto"/>
          </w:divBdr>
        </w:div>
        <w:div w:id="1827941839">
          <w:marLeft w:val="0"/>
          <w:marRight w:val="0"/>
          <w:marTop w:val="0"/>
          <w:marBottom w:val="0"/>
          <w:divBdr>
            <w:top w:val="none" w:sz="0" w:space="0" w:color="auto"/>
            <w:left w:val="none" w:sz="0" w:space="0" w:color="auto"/>
            <w:bottom w:val="none" w:sz="0" w:space="0" w:color="auto"/>
            <w:right w:val="none" w:sz="0" w:space="0" w:color="auto"/>
          </w:divBdr>
        </w:div>
        <w:div w:id="1679697278">
          <w:marLeft w:val="0"/>
          <w:marRight w:val="0"/>
          <w:marTop w:val="0"/>
          <w:marBottom w:val="0"/>
          <w:divBdr>
            <w:top w:val="none" w:sz="0" w:space="0" w:color="auto"/>
            <w:left w:val="none" w:sz="0" w:space="0" w:color="auto"/>
            <w:bottom w:val="none" w:sz="0" w:space="0" w:color="auto"/>
            <w:right w:val="none" w:sz="0" w:space="0" w:color="auto"/>
          </w:divBdr>
        </w:div>
        <w:div w:id="1680699472">
          <w:marLeft w:val="0"/>
          <w:marRight w:val="0"/>
          <w:marTop w:val="0"/>
          <w:marBottom w:val="0"/>
          <w:divBdr>
            <w:top w:val="none" w:sz="0" w:space="0" w:color="auto"/>
            <w:left w:val="none" w:sz="0" w:space="0" w:color="auto"/>
            <w:bottom w:val="none" w:sz="0" w:space="0" w:color="auto"/>
            <w:right w:val="none" w:sz="0" w:space="0" w:color="auto"/>
          </w:divBdr>
        </w:div>
        <w:div w:id="1570657138">
          <w:marLeft w:val="0"/>
          <w:marRight w:val="0"/>
          <w:marTop w:val="0"/>
          <w:marBottom w:val="0"/>
          <w:divBdr>
            <w:top w:val="none" w:sz="0" w:space="0" w:color="auto"/>
            <w:left w:val="none" w:sz="0" w:space="0" w:color="auto"/>
            <w:bottom w:val="none" w:sz="0" w:space="0" w:color="auto"/>
            <w:right w:val="none" w:sz="0" w:space="0" w:color="auto"/>
          </w:divBdr>
        </w:div>
        <w:div w:id="1814710351">
          <w:marLeft w:val="0"/>
          <w:marRight w:val="0"/>
          <w:marTop w:val="0"/>
          <w:marBottom w:val="0"/>
          <w:divBdr>
            <w:top w:val="none" w:sz="0" w:space="0" w:color="auto"/>
            <w:left w:val="none" w:sz="0" w:space="0" w:color="auto"/>
            <w:bottom w:val="none" w:sz="0" w:space="0" w:color="auto"/>
            <w:right w:val="none" w:sz="0" w:space="0" w:color="auto"/>
          </w:divBdr>
        </w:div>
        <w:div w:id="740254911">
          <w:marLeft w:val="0"/>
          <w:marRight w:val="0"/>
          <w:marTop w:val="0"/>
          <w:marBottom w:val="0"/>
          <w:divBdr>
            <w:top w:val="none" w:sz="0" w:space="0" w:color="auto"/>
            <w:left w:val="none" w:sz="0" w:space="0" w:color="auto"/>
            <w:bottom w:val="none" w:sz="0" w:space="0" w:color="auto"/>
            <w:right w:val="none" w:sz="0" w:space="0" w:color="auto"/>
          </w:divBdr>
        </w:div>
        <w:div w:id="684787983">
          <w:marLeft w:val="0"/>
          <w:marRight w:val="0"/>
          <w:marTop w:val="0"/>
          <w:marBottom w:val="0"/>
          <w:divBdr>
            <w:top w:val="none" w:sz="0" w:space="0" w:color="auto"/>
            <w:left w:val="none" w:sz="0" w:space="0" w:color="auto"/>
            <w:bottom w:val="none" w:sz="0" w:space="0" w:color="auto"/>
            <w:right w:val="none" w:sz="0" w:space="0" w:color="auto"/>
          </w:divBdr>
        </w:div>
      </w:divsChild>
    </w:div>
    <w:div w:id="601953838">
      <w:bodyDiv w:val="1"/>
      <w:marLeft w:val="0"/>
      <w:marRight w:val="0"/>
      <w:marTop w:val="0"/>
      <w:marBottom w:val="0"/>
      <w:divBdr>
        <w:top w:val="none" w:sz="0" w:space="0" w:color="auto"/>
        <w:left w:val="none" w:sz="0" w:space="0" w:color="auto"/>
        <w:bottom w:val="none" w:sz="0" w:space="0" w:color="auto"/>
        <w:right w:val="none" w:sz="0" w:space="0" w:color="auto"/>
      </w:divBdr>
      <w:divsChild>
        <w:div w:id="254291335">
          <w:marLeft w:val="0"/>
          <w:marRight w:val="0"/>
          <w:marTop w:val="0"/>
          <w:marBottom w:val="0"/>
          <w:divBdr>
            <w:top w:val="none" w:sz="0" w:space="0" w:color="auto"/>
            <w:left w:val="none" w:sz="0" w:space="0" w:color="auto"/>
            <w:bottom w:val="none" w:sz="0" w:space="0" w:color="auto"/>
            <w:right w:val="none" w:sz="0" w:space="0" w:color="auto"/>
          </w:divBdr>
        </w:div>
      </w:divsChild>
    </w:div>
    <w:div w:id="612369235">
      <w:bodyDiv w:val="1"/>
      <w:marLeft w:val="0"/>
      <w:marRight w:val="0"/>
      <w:marTop w:val="0"/>
      <w:marBottom w:val="0"/>
      <w:divBdr>
        <w:top w:val="none" w:sz="0" w:space="0" w:color="auto"/>
        <w:left w:val="none" w:sz="0" w:space="0" w:color="auto"/>
        <w:bottom w:val="none" w:sz="0" w:space="0" w:color="auto"/>
        <w:right w:val="none" w:sz="0" w:space="0" w:color="auto"/>
      </w:divBdr>
      <w:divsChild>
        <w:div w:id="2103798595">
          <w:marLeft w:val="0"/>
          <w:marRight w:val="0"/>
          <w:marTop w:val="0"/>
          <w:marBottom w:val="0"/>
          <w:divBdr>
            <w:top w:val="none" w:sz="0" w:space="0" w:color="auto"/>
            <w:left w:val="none" w:sz="0" w:space="0" w:color="auto"/>
            <w:bottom w:val="none" w:sz="0" w:space="0" w:color="auto"/>
            <w:right w:val="none" w:sz="0" w:space="0" w:color="auto"/>
          </w:divBdr>
        </w:div>
      </w:divsChild>
    </w:div>
    <w:div w:id="634526411">
      <w:bodyDiv w:val="1"/>
      <w:marLeft w:val="0"/>
      <w:marRight w:val="0"/>
      <w:marTop w:val="0"/>
      <w:marBottom w:val="0"/>
      <w:divBdr>
        <w:top w:val="none" w:sz="0" w:space="0" w:color="auto"/>
        <w:left w:val="none" w:sz="0" w:space="0" w:color="auto"/>
        <w:bottom w:val="none" w:sz="0" w:space="0" w:color="auto"/>
        <w:right w:val="none" w:sz="0" w:space="0" w:color="auto"/>
      </w:divBdr>
      <w:divsChild>
        <w:div w:id="1439525354">
          <w:marLeft w:val="0"/>
          <w:marRight w:val="0"/>
          <w:marTop w:val="0"/>
          <w:marBottom w:val="0"/>
          <w:divBdr>
            <w:top w:val="none" w:sz="0" w:space="0" w:color="auto"/>
            <w:left w:val="none" w:sz="0" w:space="0" w:color="auto"/>
            <w:bottom w:val="none" w:sz="0" w:space="0" w:color="auto"/>
            <w:right w:val="none" w:sz="0" w:space="0" w:color="auto"/>
          </w:divBdr>
        </w:div>
        <w:div w:id="1750612677">
          <w:marLeft w:val="0"/>
          <w:marRight w:val="0"/>
          <w:marTop w:val="0"/>
          <w:marBottom w:val="0"/>
          <w:divBdr>
            <w:top w:val="none" w:sz="0" w:space="0" w:color="auto"/>
            <w:left w:val="none" w:sz="0" w:space="0" w:color="auto"/>
            <w:bottom w:val="none" w:sz="0" w:space="0" w:color="auto"/>
            <w:right w:val="none" w:sz="0" w:space="0" w:color="auto"/>
          </w:divBdr>
        </w:div>
      </w:divsChild>
    </w:div>
    <w:div w:id="687633402">
      <w:bodyDiv w:val="1"/>
      <w:marLeft w:val="0"/>
      <w:marRight w:val="0"/>
      <w:marTop w:val="0"/>
      <w:marBottom w:val="0"/>
      <w:divBdr>
        <w:top w:val="none" w:sz="0" w:space="0" w:color="auto"/>
        <w:left w:val="none" w:sz="0" w:space="0" w:color="auto"/>
        <w:bottom w:val="none" w:sz="0" w:space="0" w:color="auto"/>
        <w:right w:val="none" w:sz="0" w:space="0" w:color="auto"/>
      </w:divBdr>
    </w:div>
    <w:div w:id="713625872">
      <w:bodyDiv w:val="1"/>
      <w:marLeft w:val="0"/>
      <w:marRight w:val="0"/>
      <w:marTop w:val="0"/>
      <w:marBottom w:val="0"/>
      <w:divBdr>
        <w:top w:val="none" w:sz="0" w:space="0" w:color="auto"/>
        <w:left w:val="none" w:sz="0" w:space="0" w:color="auto"/>
        <w:bottom w:val="none" w:sz="0" w:space="0" w:color="auto"/>
        <w:right w:val="none" w:sz="0" w:space="0" w:color="auto"/>
      </w:divBdr>
    </w:div>
    <w:div w:id="731930116">
      <w:bodyDiv w:val="1"/>
      <w:marLeft w:val="0"/>
      <w:marRight w:val="0"/>
      <w:marTop w:val="0"/>
      <w:marBottom w:val="0"/>
      <w:divBdr>
        <w:top w:val="none" w:sz="0" w:space="0" w:color="auto"/>
        <w:left w:val="none" w:sz="0" w:space="0" w:color="auto"/>
        <w:bottom w:val="none" w:sz="0" w:space="0" w:color="auto"/>
        <w:right w:val="none" w:sz="0" w:space="0" w:color="auto"/>
      </w:divBdr>
      <w:divsChild>
        <w:div w:id="617643078">
          <w:marLeft w:val="0"/>
          <w:marRight w:val="0"/>
          <w:marTop w:val="0"/>
          <w:marBottom w:val="0"/>
          <w:divBdr>
            <w:top w:val="none" w:sz="0" w:space="0" w:color="auto"/>
            <w:left w:val="none" w:sz="0" w:space="0" w:color="auto"/>
            <w:bottom w:val="none" w:sz="0" w:space="0" w:color="auto"/>
            <w:right w:val="none" w:sz="0" w:space="0" w:color="auto"/>
          </w:divBdr>
        </w:div>
        <w:div w:id="891111000">
          <w:marLeft w:val="0"/>
          <w:marRight w:val="0"/>
          <w:marTop w:val="0"/>
          <w:marBottom w:val="0"/>
          <w:divBdr>
            <w:top w:val="none" w:sz="0" w:space="0" w:color="auto"/>
            <w:left w:val="none" w:sz="0" w:space="0" w:color="auto"/>
            <w:bottom w:val="none" w:sz="0" w:space="0" w:color="auto"/>
            <w:right w:val="none" w:sz="0" w:space="0" w:color="auto"/>
          </w:divBdr>
        </w:div>
      </w:divsChild>
    </w:div>
    <w:div w:id="761994917">
      <w:bodyDiv w:val="1"/>
      <w:marLeft w:val="0"/>
      <w:marRight w:val="0"/>
      <w:marTop w:val="0"/>
      <w:marBottom w:val="0"/>
      <w:divBdr>
        <w:top w:val="none" w:sz="0" w:space="0" w:color="auto"/>
        <w:left w:val="none" w:sz="0" w:space="0" w:color="auto"/>
        <w:bottom w:val="none" w:sz="0" w:space="0" w:color="auto"/>
        <w:right w:val="none" w:sz="0" w:space="0" w:color="auto"/>
      </w:divBdr>
    </w:div>
    <w:div w:id="773018521">
      <w:bodyDiv w:val="1"/>
      <w:marLeft w:val="0"/>
      <w:marRight w:val="0"/>
      <w:marTop w:val="0"/>
      <w:marBottom w:val="0"/>
      <w:divBdr>
        <w:top w:val="none" w:sz="0" w:space="0" w:color="auto"/>
        <w:left w:val="none" w:sz="0" w:space="0" w:color="auto"/>
        <w:bottom w:val="none" w:sz="0" w:space="0" w:color="auto"/>
        <w:right w:val="none" w:sz="0" w:space="0" w:color="auto"/>
      </w:divBdr>
    </w:div>
    <w:div w:id="831026924">
      <w:bodyDiv w:val="1"/>
      <w:marLeft w:val="0"/>
      <w:marRight w:val="0"/>
      <w:marTop w:val="0"/>
      <w:marBottom w:val="0"/>
      <w:divBdr>
        <w:top w:val="none" w:sz="0" w:space="0" w:color="auto"/>
        <w:left w:val="none" w:sz="0" w:space="0" w:color="auto"/>
        <w:bottom w:val="none" w:sz="0" w:space="0" w:color="auto"/>
        <w:right w:val="none" w:sz="0" w:space="0" w:color="auto"/>
      </w:divBdr>
      <w:divsChild>
        <w:div w:id="1988434220">
          <w:marLeft w:val="0"/>
          <w:marRight w:val="0"/>
          <w:marTop w:val="0"/>
          <w:marBottom w:val="0"/>
          <w:divBdr>
            <w:top w:val="none" w:sz="0" w:space="0" w:color="auto"/>
            <w:left w:val="none" w:sz="0" w:space="0" w:color="auto"/>
            <w:bottom w:val="none" w:sz="0" w:space="0" w:color="auto"/>
            <w:right w:val="none" w:sz="0" w:space="0" w:color="auto"/>
          </w:divBdr>
          <w:divsChild>
            <w:div w:id="400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3143">
      <w:bodyDiv w:val="1"/>
      <w:marLeft w:val="0"/>
      <w:marRight w:val="0"/>
      <w:marTop w:val="0"/>
      <w:marBottom w:val="0"/>
      <w:divBdr>
        <w:top w:val="none" w:sz="0" w:space="0" w:color="auto"/>
        <w:left w:val="none" w:sz="0" w:space="0" w:color="auto"/>
        <w:bottom w:val="none" w:sz="0" w:space="0" w:color="auto"/>
        <w:right w:val="none" w:sz="0" w:space="0" w:color="auto"/>
      </w:divBdr>
    </w:div>
    <w:div w:id="899098569">
      <w:bodyDiv w:val="1"/>
      <w:marLeft w:val="0"/>
      <w:marRight w:val="0"/>
      <w:marTop w:val="0"/>
      <w:marBottom w:val="0"/>
      <w:divBdr>
        <w:top w:val="none" w:sz="0" w:space="0" w:color="auto"/>
        <w:left w:val="none" w:sz="0" w:space="0" w:color="auto"/>
        <w:bottom w:val="none" w:sz="0" w:space="0" w:color="auto"/>
        <w:right w:val="none" w:sz="0" w:space="0" w:color="auto"/>
      </w:divBdr>
    </w:div>
    <w:div w:id="901597514">
      <w:bodyDiv w:val="1"/>
      <w:marLeft w:val="0"/>
      <w:marRight w:val="0"/>
      <w:marTop w:val="0"/>
      <w:marBottom w:val="0"/>
      <w:divBdr>
        <w:top w:val="none" w:sz="0" w:space="0" w:color="auto"/>
        <w:left w:val="none" w:sz="0" w:space="0" w:color="auto"/>
        <w:bottom w:val="none" w:sz="0" w:space="0" w:color="auto"/>
        <w:right w:val="none" w:sz="0" w:space="0" w:color="auto"/>
      </w:divBdr>
      <w:divsChild>
        <w:div w:id="209191307">
          <w:marLeft w:val="0"/>
          <w:marRight w:val="0"/>
          <w:marTop w:val="0"/>
          <w:marBottom w:val="0"/>
          <w:divBdr>
            <w:top w:val="none" w:sz="0" w:space="0" w:color="auto"/>
            <w:left w:val="none" w:sz="0" w:space="0" w:color="auto"/>
            <w:bottom w:val="none" w:sz="0" w:space="0" w:color="auto"/>
            <w:right w:val="none" w:sz="0" w:space="0" w:color="auto"/>
          </w:divBdr>
        </w:div>
      </w:divsChild>
    </w:div>
    <w:div w:id="901670201">
      <w:bodyDiv w:val="1"/>
      <w:marLeft w:val="0"/>
      <w:marRight w:val="0"/>
      <w:marTop w:val="0"/>
      <w:marBottom w:val="0"/>
      <w:divBdr>
        <w:top w:val="none" w:sz="0" w:space="0" w:color="auto"/>
        <w:left w:val="none" w:sz="0" w:space="0" w:color="auto"/>
        <w:bottom w:val="none" w:sz="0" w:space="0" w:color="auto"/>
        <w:right w:val="none" w:sz="0" w:space="0" w:color="auto"/>
      </w:divBdr>
    </w:div>
    <w:div w:id="970864703">
      <w:bodyDiv w:val="1"/>
      <w:marLeft w:val="0"/>
      <w:marRight w:val="0"/>
      <w:marTop w:val="0"/>
      <w:marBottom w:val="0"/>
      <w:divBdr>
        <w:top w:val="none" w:sz="0" w:space="0" w:color="auto"/>
        <w:left w:val="none" w:sz="0" w:space="0" w:color="auto"/>
        <w:bottom w:val="none" w:sz="0" w:space="0" w:color="auto"/>
        <w:right w:val="none" w:sz="0" w:space="0" w:color="auto"/>
      </w:divBdr>
    </w:div>
    <w:div w:id="977489106">
      <w:bodyDiv w:val="1"/>
      <w:marLeft w:val="0"/>
      <w:marRight w:val="0"/>
      <w:marTop w:val="0"/>
      <w:marBottom w:val="0"/>
      <w:divBdr>
        <w:top w:val="none" w:sz="0" w:space="0" w:color="auto"/>
        <w:left w:val="none" w:sz="0" w:space="0" w:color="auto"/>
        <w:bottom w:val="none" w:sz="0" w:space="0" w:color="auto"/>
        <w:right w:val="none" w:sz="0" w:space="0" w:color="auto"/>
      </w:divBdr>
    </w:div>
    <w:div w:id="999507338">
      <w:bodyDiv w:val="1"/>
      <w:marLeft w:val="0"/>
      <w:marRight w:val="0"/>
      <w:marTop w:val="0"/>
      <w:marBottom w:val="0"/>
      <w:divBdr>
        <w:top w:val="none" w:sz="0" w:space="0" w:color="auto"/>
        <w:left w:val="none" w:sz="0" w:space="0" w:color="auto"/>
        <w:bottom w:val="none" w:sz="0" w:space="0" w:color="auto"/>
        <w:right w:val="none" w:sz="0" w:space="0" w:color="auto"/>
      </w:divBdr>
      <w:divsChild>
        <w:div w:id="526334888">
          <w:marLeft w:val="0"/>
          <w:marRight w:val="0"/>
          <w:marTop w:val="0"/>
          <w:marBottom w:val="0"/>
          <w:divBdr>
            <w:top w:val="none" w:sz="0" w:space="0" w:color="auto"/>
            <w:left w:val="none" w:sz="0" w:space="0" w:color="auto"/>
            <w:bottom w:val="none" w:sz="0" w:space="0" w:color="auto"/>
            <w:right w:val="none" w:sz="0" w:space="0" w:color="auto"/>
          </w:divBdr>
        </w:div>
        <w:div w:id="1011377617">
          <w:marLeft w:val="0"/>
          <w:marRight w:val="0"/>
          <w:marTop w:val="0"/>
          <w:marBottom w:val="0"/>
          <w:divBdr>
            <w:top w:val="none" w:sz="0" w:space="0" w:color="auto"/>
            <w:left w:val="none" w:sz="0" w:space="0" w:color="auto"/>
            <w:bottom w:val="none" w:sz="0" w:space="0" w:color="auto"/>
            <w:right w:val="none" w:sz="0" w:space="0" w:color="auto"/>
          </w:divBdr>
        </w:div>
        <w:div w:id="950864228">
          <w:marLeft w:val="0"/>
          <w:marRight w:val="0"/>
          <w:marTop w:val="0"/>
          <w:marBottom w:val="0"/>
          <w:divBdr>
            <w:top w:val="none" w:sz="0" w:space="0" w:color="auto"/>
            <w:left w:val="none" w:sz="0" w:space="0" w:color="auto"/>
            <w:bottom w:val="none" w:sz="0" w:space="0" w:color="auto"/>
            <w:right w:val="none" w:sz="0" w:space="0" w:color="auto"/>
          </w:divBdr>
        </w:div>
        <w:div w:id="1593660694">
          <w:marLeft w:val="0"/>
          <w:marRight w:val="0"/>
          <w:marTop w:val="0"/>
          <w:marBottom w:val="0"/>
          <w:divBdr>
            <w:top w:val="none" w:sz="0" w:space="0" w:color="auto"/>
            <w:left w:val="none" w:sz="0" w:space="0" w:color="auto"/>
            <w:bottom w:val="none" w:sz="0" w:space="0" w:color="auto"/>
            <w:right w:val="none" w:sz="0" w:space="0" w:color="auto"/>
          </w:divBdr>
        </w:div>
        <w:div w:id="1210384965">
          <w:marLeft w:val="0"/>
          <w:marRight w:val="0"/>
          <w:marTop w:val="0"/>
          <w:marBottom w:val="0"/>
          <w:divBdr>
            <w:top w:val="none" w:sz="0" w:space="0" w:color="auto"/>
            <w:left w:val="none" w:sz="0" w:space="0" w:color="auto"/>
            <w:bottom w:val="none" w:sz="0" w:space="0" w:color="auto"/>
            <w:right w:val="none" w:sz="0" w:space="0" w:color="auto"/>
          </w:divBdr>
        </w:div>
        <w:div w:id="358891459">
          <w:marLeft w:val="0"/>
          <w:marRight w:val="0"/>
          <w:marTop w:val="0"/>
          <w:marBottom w:val="0"/>
          <w:divBdr>
            <w:top w:val="none" w:sz="0" w:space="0" w:color="auto"/>
            <w:left w:val="none" w:sz="0" w:space="0" w:color="auto"/>
            <w:bottom w:val="none" w:sz="0" w:space="0" w:color="auto"/>
            <w:right w:val="none" w:sz="0" w:space="0" w:color="auto"/>
          </w:divBdr>
        </w:div>
        <w:div w:id="838159329">
          <w:marLeft w:val="0"/>
          <w:marRight w:val="0"/>
          <w:marTop w:val="0"/>
          <w:marBottom w:val="0"/>
          <w:divBdr>
            <w:top w:val="none" w:sz="0" w:space="0" w:color="auto"/>
            <w:left w:val="none" w:sz="0" w:space="0" w:color="auto"/>
            <w:bottom w:val="none" w:sz="0" w:space="0" w:color="auto"/>
            <w:right w:val="none" w:sz="0" w:space="0" w:color="auto"/>
          </w:divBdr>
        </w:div>
        <w:div w:id="75326456">
          <w:marLeft w:val="0"/>
          <w:marRight w:val="0"/>
          <w:marTop w:val="0"/>
          <w:marBottom w:val="0"/>
          <w:divBdr>
            <w:top w:val="none" w:sz="0" w:space="0" w:color="auto"/>
            <w:left w:val="none" w:sz="0" w:space="0" w:color="auto"/>
            <w:bottom w:val="none" w:sz="0" w:space="0" w:color="auto"/>
            <w:right w:val="none" w:sz="0" w:space="0" w:color="auto"/>
          </w:divBdr>
        </w:div>
        <w:div w:id="1237014020">
          <w:marLeft w:val="0"/>
          <w:marRight w:val="0"/>
          <w:marTop w:val="0"/>
          <w:marBottom w:val="0"/>
          <w:divBdr>
            <w:top w:val="none" w:sz="0" w:space="0" w:color="auto"/>
            <w:left w:val="none" w:sz="0" w:space="0" w:color="auto"/>
            <w:bottom w:val="none" w:sz="0" w:space="0" w:color="auto"/>
            <w:right w:val="none" w:sz="0" w:space="0" w:color="auto"/>
          </w:divBdr>
        </w:div>
        <w:div w:id="1962955319">
          <w:marLeft w:val="0"/>
          <w:marRight w:val="0"/>
          <w:marTop w:val="0"/>
          <w:marBottom w:val="0"/>
          <w:divBdr>
            <w:top w:val="none" w:sz="0" w:space="0" w:color="auto"/>
            <w:left w:val="none" w:sz="0" w:space="0" w:color="auto"/>
            <w:bottom w:val="none" w:sz="0" w:space="0" w:color="auto"/>
            <w:right w:val="none" w:sz="0" w:space="0" w:color="auto"/>
          </w:divBdr>
        </w:div>
      </w:divsChild>
    </w:div>
    <w:div w:id="1047989732">
      <w:bodyDiv w:val="1"/>
      <w:marLeft w:val="0"/>
      <w:marRight w:val="0"/>
      <w:marTop w:val="0"/>
      <w:marBottom w:val="0"/>
      <w:divBdr>
        <w:top w:val="none" w:sz="0" w:space="0" w:color="auto"/>
        <w:left w:val="none" w:sz="0" w:space="0" w:color="auto"/>
        <w:bottom w:val="none" w:sz="0" w:space="0" w:color="auto"/>
        <w:right w:val="none" w:sz="0" w:space="0" w:color="auto"/>
      </w:divBdr>
    </w:div>
    <w:div w:id="1110011610">
      <w:bodyDiv w:val="1"/>
      <w:marLeft w:val="0"/>
      <w:marRight w:val="0"/>
      <w:marTop w:val="0"/>
      <w:marBottom w:val="0"/>
      <w:divBdr>
        <w:top w:val="none" w:sz="0" w:space="0" w:color="auto"/>
        <w:left w:val="none" w:sz="0" w:space="0" w:color="auto"/>
        <w:bottom w:val="none" w:sz="0" w:space="0" w:color="auto"/>
        <w:right w:val="none" w:sz="0" w:space="0" w:color="auto"/>
      </w:divBdr>
      <w:divsChild>
        <w:div w:id="1980068307">
          <w:marLeft w:val="0"/>
          <w:marRight w:val="0"/>
          <w:marTop w:val="0"/>
          <w:marBottom w:val="0"/>
          <w:divBdr>
            <w:top w:val="none" w:sz="0" w:space="0" w:color="auto"/>
            <w:left w:val="none" w:sz="0" w:space="0" w:color="auto"/>
            <w:bottom w:val="none" w:sz="0" w:space="0" w:color="auto"/>
            <w:right w:val="none" w:sz="0" w:space="0" w:color="auto"/>
          </w:divBdr>
          <w:divsChild>
            <w:div w:id="102460960">
              <w:marLeft w:val="0"/>
              <w:marRight w:val="0"/>
              <w:marTop w:val="0"/>
              <w:marBottom w:val="0"/>
              <w:divBdr>
                <w:top w:val="none" w:sz="0" w:space="0" w:color="auto"/>
                <w:left w:val="none" w:sz="0" w:space="0" w:color="auto"/>
                <w:bottom w:val="none" w:sz="0" w:space="0" w:color="auto"/>
                <w:right w:val="none" w:sz="0" w:space="0" w:color="auto"/>
              </w:divBdr>
              <w:divsChild>
                <w:div w:id="4916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3341">
          <w:marLeft w:val="0"/>
          <w:marRight w:val="0"/>
          <w:marTop w:val="0"/>
          <w:marBottom w:val="0"/>
          <w:divBdr>
            <w:top w:val="none" w:sz="0" w:space="0" w:color="auto"/>
            <w:left w:val="none" w:sz="0" w:space="0" w:color="auto"/>
            <w:bottom w:val="none" w:sz="0" w:space="0" w:color="auto"/>
            <w:right w:val="none" w:sz="0" w:space="0" w:color="auto"/>
          </w:divBdr>
          <w:divsChild>
            <w:div w:id="1654675745">
              <w:marLeft w:val="0"/>
              <w:marRight w:val="0"/>
              <w:marTop w:val="0"/>
              <w:marBottom w:val="0"/>
              <w:divBdr>
                <w:top w:val="none" w:sz="0" w:space="0" w:color="auto"/>
                <w:left w:val="none" w:sz="0" w:space="0" w:color="auto"/>
                <w:bottom w:val="none" w:sz="0" w:space="0" w:color="auto"/>
                <w:right w:val="none" w:sz="0" w:space="0" w:color="auto"/>
              </w:divBdr>
              <w:divsChild>
                <w:div w:id="1537618866">
                  <w:marLeft w:val="0"/>
                  <w:marRight w:val="0"/>
                  <w:marTop w:val="0"/>
                  <w:marBottom w:val="0"/>
                  <w:divBdr>
                    <w:top w:val="none" w:sz="0" w:space="0" w:color="auto"/>
                    <w:left w:val="none" w:sz="0" w:space="0" w:color="auto"/>
                    <w:bottom w:val="none" w:sz="0" w:space="0" w:color="auto"/>
                    <w:right w:val="none" w:sz="0" w:space="0" w:color="auto"/>
                  </w:divBdr>
                  <w:divsChild>
                    <w:div w:id="1294095889">
                      <w:marLeft w:val="0"/>
                      <w:marRight w:val="0"/>
                      <w:marTop w:val="0"/>
                      <w:marBottom w:val="0"/>
                      <w:divBdr>
                        <w:top w:val="none" w:sz="0" w:space="0" w:color="auto"/>
                        <w:left w:val="none" w:sz="0" w:space="0" w:color="auto"/>
                        <w:bottom w:val="none" w:sz="0" w:space="0" w:color="auto"/>
                        <w:right w:val="none" w:sz="0" w:space="0" w:color="auto"/>
                      </w:divBdr>
                    </w:div>
                  </w:divsChild>
                </w:div>
                <w:div w:id="1545485686">
                  <w:marLeft w:val="0"/>
                  <w:marRight w:val="0"/>
                  <w:marTop w:val="0"/>
                  <w:marBottom w:val="0"/>
                  <w:divBdr>
                    <w:top w:val="none" w:sz="0" w:space="0" w:color="auto"/>
                    <w:left w:val="none" w:sz="0" w:space="0" w:color="auto"/>
                    <w:bottom w:val="none" w:sz="0" w:space="0" w:color="auto"/>
                    <w:right w:val="none" w:sz="0" w:space="0" w:color="auto"/>
                  </w:divBdr>
                  <w:divsChild>
                    <w:div w:id="4221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5175">
              <w:marLeft w:val="0"/>
              <w:marRight w:val="0"/>
              <w:marTop w:val="0"/>
              <w:marBottom w:val="0"/>
              <w:divBdr>
                <w:top w:val="none" w:sz="0" w:space="0" w:color="auto"/>
                <w:left w:val="none" w:sz="0" w:space="0" w:color="auto"/>
                <w:bottom w:val="none" w:sz="0" w:space="0" w:color="auto"/>
                <w:right w:val="none" w:sz="0" w:space="0" w:color="auto"/>
              </w:divBdr>
              <w:divsChild>
                <w:div w:id="367800462">
                  <w:marLeft w:val="0"/>
                  <w:marRight w:val="0"/>
                  <w:marTop w:val="0"/>
                  <w:marBottom w:val="0"/>
                  <w:divBdr>
                    <w:top w:val="none" w:sz="0" w:space="0" w:color="auto"/>
                    <w:left w:val="none" w:sz="0" w:space="0" w:color="auto"/>
                    <w:bottom w:val="none" w:sz="0" w:space="0" w:color="auto"/>
                    <w:right w:val="none" w:sz="0" w:space="0" w:color="auto"/>
                  </w:divBdr>
                  <w:divsChild>
                    <w:div w:id="560946083">
                      <w:marLeft w:val="0"/>
                      <w:marRight w:val="0"/>
                      <w:marTop w:val="0"/>
                      <w:marBottom w:val="0"/>
                      <w:divBdr>
                        <w:top w:val="none" w:sz="0" w:space="0" w:color="auto"/>
                        <w:left w:val="none" w:sz="0" w:space="0" w:color="auto"/>
                        <w:bottom w:val="none" w:sz="0" w:space="0" w:color="auto"/>
                        <w:right w:val="none" w:sz="0" w:space="0" w:color="auto"/>
                      </w:divBdr>
                      <w:divsChild>
                        <w:div w:id="1481773318">
                          <w:marLeft w:val="0"/>
                          <w:marRight w:val="0"/>
                          <w:marTop w:val="0"/>
                          <w:marBottom w:val="0"/>
                          <w:divBdr>
                            <w:top w:val="none" w:sz="0" w:space="0" w:color="auto"/>
                            <w:left w:val="none" w:sz="0" w:space="0" w:color="auto"/>
                            <w:bottom w:val="none" w:sz="0" w:space="0" w:color="auto"/>
                            <w:right w:val="none" w:sz="0" w:space="0" w:color="auto"/>
                          </w:divBdr>
                        </w:div>
                      </w:divsChild>
                    </w:div>
                    <w:div w:id="6168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0569">
      <w:bodyDiv w:val="1"/>
      <w:marLeft w:val="0"/>
      <w:marRight w:val="0"/>
      <w:marTop w:val="0"/>
      <w:marBottom w:val="0"/>
      <w:divBdr>
        <w:top w:val="none" w:sz="0" w:space="0" w:color="auto"/>
        <w:left w:val="none" w:sz="0" w:space="0" w:color="auto"/>
        <w:bottom w:val="none" w:sz="0" w:space="0" w:color="auto"/>
        <w:right w:val="none" w:sz="0" w:space="0" w:color="auto"/>
      </w:divBdr>
      <w:divsChild>
        <w:div w:id="475270173">
          <w:marLeft w:val="0"/>
          <w:marRight w:val="0"/>
          <w:marTop w:val="0"/>
          <w:marBottom w:val="0"/>
          <w:divBdr>
            <w:top w:val="none" w:sz="0" w:space="0" w:color="auto"/>
            <w:left w:val="none" w:sz="0" w:space="0" w:color="auto"/>
            <w:bottom w:val="none" w:sz="0" w:space="0" w:color="auto"/>
            <w:right w:val="none" w:sz="0" w:space="0" w:color="auto"/>
          </w:divBdr>
        </w:div>
      </w:divsChild>
    </w:div>
    <w:div w:id="1181965266">
      <w:bodyDiv w:val="1"/>
      <w:marLeft w:val="0"/>
      <w:marRight w:val="0"/>
      <w:marTop w:val="0"/>
      <w:marBottom w:val="0"/>
      <w:divBdr>
        <w:top w:val="none" w:sz="0" w:space="0" w:color="auto"/>
        <w:left w:val="none" w:sz="0" w:space="0" w:color="auto"/>
        <w:bottom w:val="none" w:sz="0" w:space="0" w:color="auto"/>
        <w:right w:val="none" w:sz="0" w:space="0" w:color="auto"/>
      </w:divBdr>
    </w:div>
    <w:div w:id="1201745897">
      <w:bodyDiv w:val="1"/>
      <w:marLeft w:val="0"/>
      <w:marRight w:val="0"/>
      <w:marTop w:val="0"/>
      <w:marBottom w:val="0"/>
      <w:divBdr>
        <w:top w:val="none" w:sz="0" w:space="0" w:color="auto"/>
        <w:left w:val="none" w:sz="0" w:space="0" w:color="auto"/>
        <w:bottom w:val="none" w:sz="0" w:space="0" w:color="auto"/>
        <w:right w:val="none" w:sz="0" w:space="0" w:color="auto"/>
      </w:divBdr>
    </w:div>
    <w:div w:id="1203516820">
      <w:bodyDiv w:val="1"/>
      <w:marLeft w:val="0"/>
      <w:marRight w:val="0"/>
      <w:marTop w:val="0"/>
      <w:marBottom w:val="0"/>
      <w:divBdr>
        <w:top w:val="none" w:sz="0" w:space="0" w:color="auto"/>
        <w:left w:val="none" w:sz="0" w:space="0" w:color="auto"/>
        <w:bottom w:val="none" w:sz="0" w:space="0" w:color="auto"/>
        <w:right w:val="none" w:sz="0" w:space="0" w:color="auto"/>
      </w:divBdr>
      <w:divsChild>
        <w:div w:id="1459373116">
          <w:marLeft w:val="0"/>
          <w:marRight w:val="0"/>
          <w:marTop w:val="0"/>
          <w:marBottom w:val="0"/>
          <w:divBdr>
            <w:top w:val="none" w:sz="0" w:space="0" w:color="auto"/>
            <w:left w:val="none" w:sz="0" w:space="0" w:color="auto"/>
            <w:bottom w:val="none" w:sz="0" w:space="0" w:color="auto"/>
            <w:right w:val="none" w:sz="0" w:space="0" w:color="auto"/>
          </w:divBdr>
          <w:divsChild>
            <w:div w:id="5530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120">
      <w:bodyDiv w:val="1"/>
      <w:marLeft w:val="0"/>
      <w:marRight w:val="0"/>
      <w:marTop w:val="0"/>
      <w:marBottom w:val="0"/>
      <w:divBdr>
        <w:top w:val="none" w:sz="0" w:space="0" w:color="auto"/>
        <w:left w:val="none" w:sz="0" w:space="0" w:color="auto"/>
        <w:bottom w:val="none" w:sz="0" w:space="0" w:color="auto"/>
        <w:right w:val="none" w:sz="0" w:space="0" w:color="auto"/>
      </w:divBdr>
    </w:div>
    <w:div w:id="1311011445">
      <w:bodyDiv w:val="1"/>
      <w:marLeft w:val="0"/>
      <w:marRight w:val="0"/>
      <w:marTop w:val="0"/>
      <w:marBottom w:val="0"/>
      <w:divBdr>
        <w:top w:val="none" w:sz="0" w:space="0" w:color="auto"/>
        <w:left w:val="none" w:sz="0" w:space="0" w:color="auto"/>
        <w:bottom w:val="none" w:sz="0" w:space="0" w:color="auto"/>
        <w:right w:val="none" w:sz="0" w:space="0" w:color="auto"/>
      </w:divBdr>
    </w:div>
    <w:div w:id="1330477549">
      <w:bodyDiv w:val="1"/>
      <w:marLeft w:val="0"/>
      <w:marRight w:val="0"/>
      <w:marTop w:val="0"/>
      <w:marBottom w:val="0"/>
      <w:divBdr>
        <w:top w:val="none" w:sz="0" w:space="0" w:color="auto"/>
        <w:left w:val="none" w:sz="0" w:space="0" w:color="auto"/>
        <w:bottom w:val="none" w:sz="0" w:space="0" w:color="auto"/>
        <w:right w:val="none" w:sz="0" w:space="0" w:color="auto"/>
      </w:divBdr>
    </w:div>
    <w:div w:id="1369523268">
      <w:bodyDiv w:val="1"/>
      <w:marLeft w:val="0"/>
      <w:marRight w:val="0"/>
      <w:marTop w:val="0"/>
      <w:marBottom w:val="0"/>
      <w:divBdr>
        <w:top w:val="none" w:sz="0" w:space="0" w:color="auto"/>
        <w:left w:val="none" w:sz="0" w:space="0" w:color="auto"/>
        <w:bottom w:val="none" w:sz="0" w:space="0" w:color="auto"/>
        <w:right w:val="none" w:sz="0" w:space="0" w:color="auto"/>
      </w:divBdr>
      <w:divsChild>
        <w:div w:id="1807508420">
          <w:marLeft w:val="0"/>
          <w:marRight w:val="0"/>
          <w:marTop w:val="0"/>
          <w:marBottom w:val="0"/>
          <w:divBdr>
            <w:top w:val="none" w:sz="0" w:space="0" w:color="auto"/>
            <w:left w:val="none" w:sz="0" w:space="0" w:color="auto"/>
            <w:bottom w:val="none" w:sz="0" w:space="0" w:color="auto"/>
            <w:right w:val="none" w:sz="0" w:space="0" w:color="auto"/>
          </w:divBdr>
        </w:div>
        <w:div w:id="95105623">
          <w:marLeft w:val="0"/>
          <w:marRight w:val="0"/>
          <w:marTop w:val="0"/>
          <w:marBottom w:val="0"/>
          <w:divBdr>
            <w:top w:val="none" w:sz="0" w:space="0" w:color="auto"/>
            <w:left w:val="none" w:sz="0" w:space="0" w:color="auto"/>
            <w:bottom w:val="none" w:sz="0" w:space="0" w:color="auto"/>
            <w:right w:val="none" w:sz="0" w:space="0" w:color="auto"/>
          </w:divBdr>
        </w:div>
        <w:div w:id="1380134333">
          <w:marLeft w:val="0"/>
          <w:marRight w:val="0"/>
          <w:marTop w:val="0"/>
          <w:marBottom w:val="0"/>
          <w:divBdr>
            <w:top w:val="none" w:sz="0" w:space="0" w:color="auto"/>
            <w:left w:val="none" w:sz="0" w:space="0" w:color="auto"/>
            <w:bottom w:val="none" w:sz="0" w:space="0" w:color="auto"/>
            <w:right w:val="none" w:sz="0" w:space="0" w:color="auto"/>
          </w:divBdr>
        </w:div>
        <w:div w:id="1002319370">
          <w:marLeft w:val="0"/>
          <w:marRight w:val="0"/>
          <w:marTop w:val="0"/>
          <w:marBottom w:val="0"/>
          <w:divBdr>
            <w:top w:val="none" w:sz="0" w:space="0" w:color="auto"/>
            <w:left w:val="none" w:sz="0" w:space="0" w:color="auto"/>
            <w:bottom w:val="none" w:sz="0" w:space="0" w:color="auto"/>
            <w:right w:val="none" w:sz="0" w:space="0" w:color="auto"/>
          </w:divBdr>
        </w:div>
      </w:divsChild>
    </w:div>
    <w:div w:id="1395279019">
      <w:bodyDiv w:val="1"/>
      <w:marLeft w:val="0"/>
      <w:marRight w:val="0"/>
      <w:marTop w:val="0"/>
      <w:marBottom w:val="0"/>
      <w:divBdr>
        <w:top w:val="none" w:sz="0" w:space="0" w:color="auto"/>
        <w:left w:val="none" w:sz="0" w:space="0" w:color="auto"/>
        <w:bottom w:val="none" w:sz="0" w:space="0" w:color="auto"/>
        <w:right w:val="none" w:sz="0" w:space="0" w:color="auto"/>
      </w:divBdr>
      <w:divsChild>
        <w:div w:id="628050094">
          <w:marLeft w:val="0"/>
          <w:marRight w:val="0"/>
          <w:marTop w:val="0"/>
          <w:marBottom w:val="0"/>
          <w:divBdr>
            <w:top w:val="none" w:sz="0" w:space="0" w:color="auto"/>
            <w:left w:val="none" w:sz="0" w:space="0" w:color="auto"/>
            <w:bottom w:val="none" w:sz="0" w:space="0" w:color="auto"/>
            <w:right w:val="none" w:sz="0" w:space="0" w:color="auto"/>
          </w:divBdr>
        </w:div>
        <w:div w:id="1440949024">
          <w:marLeft w:val="0"/>
          <w:marRight w:val="0"/>
          <w:marTop w:val="0"/>
          <w:marBottom w:val="0"/>
          <w:divBdr>
            <w:top w:val="none" w:sz="0" w:space="0" w:color="auto"/>
            <w:left w:val="none" w:sz="0" w:space="0" w:color="auto"/>
            <w:bottom w:val="none" w:sz="0" w:space="0" w:color="auto"/>
            <w:right w:val="none" w:sz="0" w:space="0" w:color="auto"/>
          </w:divBdr>
        </w:div>
        <w:div w:id="498665992">
          <w:marLeft w:val="0"/>
          <w:marRight w:val="0"/>
          <w:marTop w:val="0"/>
          <w:marBottom w:val="0"/>
          <w:divBdr>
            <w:top w:val="none" w:sz="0" w:space="0" w:color="auto"/>
            <w:left w:val="none" w:sz="0" w:space="0" w:color="auto"/>
            <w:bottom w:val="none" w:sz="0" w:space="0" w:color="auto"/>
            <w:right w:val="none" w:sz="0" w:space="0" w:color="auto"/>
          </w:divBdr>
        </w:div>
        <w:div w:id="1805268800">
          <w:marLeft w:val="0"/>
          <w:marRight w:val="0"/>
          <w:marTop w:val="0"/>
          <w:marBottom w:val="0"/>
          <w:divBdr>
            <w:top w:val="none" w:sz="0" w:space="0" w:color="auto"/>
            <w:left w:val="none" w:sz="0" w:space="0" w:color="auto"/>
            <w:bottom w:val="none" w:sz="0" w:space="0" w:color="auto"/>
            <w:right w:val="none" w:sz="0" w:space="0" w:color="auto"/>
          </w:divBdr>
        </w:div>
        <w:div w:id="754592576">
          <w:marLeft w:val="0"/>
          <w:marRight w:val="0"/>
          <w:marTop w:val="0"/>
          <w:marBottom w:val="0"/>
          <w:divBdr>
            <w:top w:val="none" w:sz="0" w:space="0" w:color="auto"/>
            <w:left w:val="none" w:sz="0" w:space="0" w:color="auto"/>
            <w:bottom w:val="none" w:sz="0" w:space="0" w:color="auto"/>
            <w:right w:val="none" w:sz="0" w:space="0" w:color="auto"/>
          </w:divBdr>
        </w:div>
      </w:divsChild>
    </w:div>
    <w:div w:id="1425877016">
      <w:bodyDiv w:val="1"/>
      <w:marLeft w:val="0"/>
      <w:marRight w:val="0"/>
      <w:marTop w:val="0"/>
      <w:marBottom w:val="0"/>
      <w:divBdr>
        <w:top w:val="none" w:sz="0" w:space="0" w:color="auto"/>
        <w:left w:val="none" w:sz="0" w:space="0" w:color="auto"/>
        <w:bottom w:val="none" w:sz="0" w:space="0" w:color="auto"/>
        <w:right w:val="none" w:sz="0" w:space="0" w:color="auto"/>
      </w:divBdr>
    </w:div>
    <w:div w:id="1429035025">
      <w:bodyDiv w:val="1"/>
      <w:marLeft w:val="0"/>
      <w:marRight w:val="0"/>
      <w:marTop w:val="0"/>
      <w:marBottom w:val="0"/>
      <w:divBdr>
        <w:top w:val="none" w:sz="0" w:space="0" w:color="auto"/>
        <w:left w:val="none" w:sz="0" w:space="0" w:color="auto"/>
        <w:bottom w:val="none" w:sz="0" w:space="0" w:color="auto"/>
        <w:right w:val="none" w:sz="0" w:space="0" w:color="auto"/>
      </w:divBdr>
      <w:divsChild>
        <w:div w:id="255554818">
          <w:marLeft w:val="0"/>
          <w:marRight w:val="0"/>
          <w:marTop w:val="0"/>
          <w:marBottom w:val="0"/>
          <w:divBdr>
            <w:top w:val="none" w:sz="0" w:space="0" w:color="auto"/>
            <w:left w:val="none" w:sz="0" w:space="0" w:color="auto"/>
            <w:bottom w:val="none" w:sz="0" w:space="0" w:color="auto"/>
            <w:right w:val="none" w:sz="0" w:space="0" w:color="auto"/>
          </w:divBdr>
        </w:div>
        <w:div w:id="1858158554">
          <w:marLeft w:val="0"/>
          <w:marRight w:val="0"/>
          <w:marTop w:val="0"/>
          <w:marBottom w:val="0"/>
          <w:divBdr>
            <w:top w:val="none" w:sz="0" w:space="0" w:color="auto"/>
            <w:left w:val="none" w:sz="0" w:space="0" w:color="auto"/>
            <w:bottom w:val="none" w:sz="0" w:space="0" w:color="auto"/>
            <w:right w:val="none" w:sz="0" w:space="0" w:color="auto"/>
          </w:divBdr>
        </w:div>
        <w:div w:id="669256950">
          <w:marLeft w:val="0"/>
          <w:marRight w:val="0"/>
          <w:marTop w:val="0"/>
          <w:marBottom w:val="0"/>
          <w:divBdr>
            <w:top w:val="none" w:sz="0" w:space="0" w:color="auto"/>
            <w:left w:val="none" w:sz="0" w:space="0" w:color="auto"/>
            <w:bottom w:val="none" w:sz="0" w:space="0" w:color="auto"/>
            <w:right w:val="none" w:sz="0" w:space="0" w:color="auto"/>
          </w:divBdr>
        </w:div>
      </w:divsChild>
    </w:div>
    <w:div w:id="1450971479">
      <w:bodyDiv w:val="1"/>
      <w:marLeft w:val="0"/>
      <w:marRight w:val="0"/>
      <w:marTop w:val="0"/>
      <w:marBottom w:val="0"/>
      <w:divBdr>
        <w:top w:val="none" w:sz="0" w:space="0" w:color="auto"/>
        <w:left w:val="none" w:sz="0" w:space="0" w:color="auto"/>
        <w:bottom w:val="none" w:sz="0" w:space="0" w:color="auto"/>
        <w:right w:val="none" w:sz="0" w:space="0" w:color="auto"/>
      </w:divBdr>
      <w:divsChild>
        <w:div w:id="1486051803">
          <w:marLeft w:val="0"/>
          <w:marRight w:val="0"/>
          <w:marTop w:val="0"/>
          <w:marBottom w:val="0"/>
          <w:divBdr>
            <w:top w:val="none" w:sz="0" w:space="0" w:color="auto"/>
            <w:left w:val="none" w:sz="0" w:space="0" w:color="auto"/>
            <w:bottom w:val="none" w:sz="0" w:space="0" w:color="auto"/>
            <w:right w:val="none" w:sz="0" w:space="0" w:color="auto"/>
          </w:divBdr>
          <w:divsChild>
            <w:div w:id="191918568">
              <w:marLeft w:val="0"/>
              <w:marRight w:val="0"/>
              <w:marTop w:val="0"/>
              <w:marBottom w:val="0"/>
              <w:divBdr>
                <w:top w:val="none" w:sz="0" w:space="0" w:color="auto"/>
                <w:left w:val="none" w:sz="0" w:space="0" w:color="auto"/>
                <w:bottom w:val="none" w:sz="0" w:space="0" w:color="auto"/>
                <w:right w:val="none" w:sz="0" w:space="0" w:color="auto"/>
              </w:divBdr>
              <w:divsChild>
                <w:div w:id="1091703599">
                  <w:marLeft w:val="0"/>
                  <w:marRight w:val="0"/>
                  <w:marTop w:val="0"/>
                  <w:marBottom w:val="0"/>
                  <w:divBdr>
                    <w:top w:val="none" w:sz="0" w:space="0" w:color="auto"/>
                    <w:left w:val="none" w:sz="0" w:space="0" w:color="auto"/>
                    <w:bottom w:val="none" w:sz="0" w:space="0" w:color="auto"/>
                    <w:right w:val="none" w:sz="0" w:space="0" w:color="auto"/>
                  </w:divBdr>
                  <w:divsChild>
                    <w:div w:id="1526670221">
                      <w:marLeft w:val="0"/>
                      <w:marRight w:val="0"/>
                      <w:marTop w:val="0"/>
                      <w:marBottom w:val="0"/>
                      <w:divBdr>
                        <w:top w:val="none" w:sz="0" w:space="0" w:color="auto"/>
                        <w:left w:val="none" w:sz="0" w:space="0" w:color="auto"/>
                        <w:bottom w:val="none" w:sz="0" w:space="0" w:color="auto"/>
                        <w:right w:val="none" w:sz="0" w:space="0" w:color="auto"/>
                      </w:divBdr>
                    </w:div>
                    <w:div w:id="1034580705">
                      <w:marLeft w:val="0"/>
                      <w:marRight w:val="0"/>
                      <w:marTop w:val="0"/>
                      <w:marBottom w:val="0"/>
                      <w:divBdr>
                        <w:top w:val="none" w:sz="0" w:space="0" w:color="auto"/>
                        <w:left w:val="none" w:sz="0" w:space="0" w:color="auto"/>
                        <w:bottom w:val="none" w:sz="0" w:space="0" w:color="auto"/>
                        <w:right w:val="none" w:sz="0" w:space="0" w:color="auto"/>
                      </w:divBdr>
                    </w:div>
                    <w:div w:id="1141506902">
                      <w:marLeft w:val="0"/>
                      <w:marRight w:val="0"/>
                      <w:marTop w:val="0"/>
                      <w:marBottom w:val="0"/>
                      <w:divBdr>
                        <w:top w:val="none" w:sz="0" w:space="0" w:color="auto"/>
                        <w:left w:val="none" w:sz="0" w:space="0" w:color="auto"/>
                        <w:bottom w:val="none" w:sz="0" w:space="0" w:color="auto"/>
                        <w:right w:val="none" w:sz="0" w:space="0" w:color="auto"/>
                      </w:divBdr>
                    </w:div>
                    <w:div w:id="8104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657">
              <w:marLeft w:val="0"/>
              <w:marRight w:val="0"/>
              <w:marTop w:val="0"/>
              <w:marBottom w:val="0"/>
              <w:divBdr>
                <w:top w:val="none" w:sz="0" w:space="0" w:color="auto"/>
                <w:left w:val="none" w:sz="0" w:space="0" w:color="auto"/>
                <w:bottom w:val="none" w:sz="0" w:space="0" w:color="auto"/>
                <w:right w:val="none" w:sz="0" w:space="0" w:color="auto"/>
              </w:divBdr>
              <w:divsChild>
                <w:div w:id="1656377526">
                  <w:marLeft w:val="0"/>
                  <w:marRight w:val="0"/>
                  <w:marTop w:val="0"/>
                  <w:marBottom w:val="0"/>
                  <w:divBdr>
                    <w:top w:val="none" w:sz="0" w:space="0" w:color="auto"/>
                    <w:left w:val="none" w:sz="0" w:space="0" w:color="auto"/>
                    <w:bottom w:val="none" w:sz="0" w:space="0" w:color="auto"/>
                    <w:right w:val="none" w:sz="0" w:space="0" w:color="auto"/>
                  </w:divBdr>
                  <w:divsChild>
                    <w:div w:id="1070732108">
                      <w:marLeft w:val="0"/>
                      <w:marRight w:val="0"/>
                      <w:marTop w:val="0"/>
                      <w:marBottom w:val="0"/>
                      <w:divBdr>
                        <w:top w:val="none" w:sz="0" w:space="0" w:color="auto"/>
                        <w:left w:val="none" w:sz="0" w:space="0" w:color="auto"/>
                        <w:bottom w:val="none" w:sz="0" w:space="0" w:color="auto"/>
                        <w:right w:val="none" w:sz="0" w:space="0" w:color="auto"/>
                      </w:divBdr>
                      <w:divsChild>
                        <w:div w:id="2097632890">
                          <w:marLeft w:val="0"/>
                          <w:marRight w:val="0"/>
                          <w:marTop w:val="0"/>
                          <w:marBottom w:val="0"/>
                          <w:divBdr>
                            <w:top w:val="none" w:sz="0" w:space="0" w:color="auto"/>
                            <w:left w:val="none" w:sz="0" w:space="0" w:color="auto"/>
                            <w:bottom w:val="none" w:sz="0" w:space="0" w:color="auto"/>
                            <w:right w:val="none" w:sz="0" w:space="0" w:color="auto"/>
                          </w:divBdr>
                        </w:div>
                        <w:div w:id="6819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94436">
      <w:bodyDiv w:val="1"/>
      <w:marLeft w:val="0"/>
      <w:marRight w:val="0"/>
      <w:marTop w:val="0"/>
      <w:marBottom w:val="0"/>
      <w:divBdr>
        <w:top w:val="none" w:sz="0" w:space="0" w:color="auto"/>
        <w:left w:val="none" w:sz="0" w:space="0" w:color="auto"/>
        <w:bottom w:val="none" w:sz="0" w:space="0" w:color="auto"/>
        <w:right w:val="none" w:sz="0" w:space="0" w:color="auto"/>
      </w:divBdr>
    </w:div>
    <w:div w:id="1536502893">
      <w:bodyDiv w:val="1"/>
      <w:marLeft w:val="0"/>
      <w:marRight w:val="0"/>
      <w:marTop w:val="0"/>
      <w:marBottom w:val="0"/>
      <w:divBdr>
        <w:top w:val="none" w:sz="0" w:space="0" w:color="auto"/>
        <w:left w:val="none" w:sz="0" w:space="0" w:color="auto"/>
        <w:bottom w:val="none" w:sz="0" w:space="0" w:color="auto"/>
        <w:right w:val="none" w:sz="0" w:space="0" w:color="auto"/>
      </w:divBdr>
      <w:divsChild>
        <w:div w:id="2015917964">
          <w:marLeft w:val="0"/>
          <w:marRight w:val="0"/>
          <w:marTop w:val="0"/>
          <w:marBottom w:val="0"/>
          <w:divBdr>
            <w:top w:val="none" w:sz="0" w:space="0" w:color="auto"/>
            <w:left w:val="none" w:sz="0" w:space="0" w:color="auto"/>
            <w:bottom w:val="none" w:sz="0" w:space="0" w:color="auto"/>
            <w:right w:val="none" w:sz="0" w:space="0" w:color="auto"/>
          </w:divBdr>
          <w:divsChild>
            <w:div w:id="16949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218">
      <w:bodyDiv w:val="1"/>
      <w:marLeft w:val="0"/>
      <w:marRight w:val="0"/>
      <w:marTop w:val="0"/>
      <w:marBottom w:val="0"/>
      <w:divBdr>
        <w:top w:val="none" w:sz="0" w:space="0" w:color="auto"/>
        <w:left w:val="none" w:sz="0" w:space="0" w:color="auto"/>
        <w:bottom w:val="none" w:sz="0" w:space="0" w:color="auto"/>
        <w:right w:val="none" w:sz="0" w:space="0" w:color="auto"/>
      </w:divBdr>
      <w:divsChild>
        <w:div w:id="1275091336">
          <w:marLeft w:val="0"/>
          <w:marRight w:val="0"/>
          <w:marTop w:val="0"/>
          <w:marBottom w:val="0"/>
          <w:divBdr>
            <w:top w:val="none" w:sz="0" w:space="0" w:color="auto"/>
            <w:left w:val="none" w:sz="0" w:space="0" w:color="auto"/>
            <w:bottom w:val="none" w:sz="0" w:space="0" w:color="auto"/>
            <w:right w:val="none" w:sz="0" w:space="0" w:color="auto"/>
          </w:divBdr>
          <w:divsChild>
            <w:div w:id="1360203419">
              <w:marLeft w:val="0"/>
              <w:marRight w:val="0"/>
              <w:marTop w:val="0"/>
              <w:marBottom w:val="0"/>
              <w:divBdr>
                <w:top w:val="none" w:sz="0" w:space="0" w:color="auto"/>
                <w:left w:val="none" w:sz="0" w:space="0" w:color="auto"/>
                <w:bottom w:val="none" w:sz="0" w:space="0" w:color="auto"/>
                <w:right w:val="none" w:sz="0" w:space="0" w:color="auto"/>
              </w:divBdr>
            </w:div>
            <w:div w:id="1465080580">
              <w:marLeft w:val="0"/>
              <w:marRight w:val="0"/>
              <w:marTop w:val="0"/>
              <w:marBottom w:val="0"/>
              <w:divBdr>
                <w:top w:val="none" w:sz="0" w:space="0" w:color="auto"/>
                <w:left w:val="none" w:sz="0" w:space="0" w:color="auto"/>
                <w:bottom w:val="none" w:sz="0" w:space="0" w:color="auto"/>
                <w:right w:val="none" w:sz="0" w:space="0" w:color="auto"/>
              </w:divBdr>
              <w:divsChild>
                <w:div w:id="1832982662">
                  <w:marLeft w:val="0"/>
                  <w:marRight w:val="0"/>
                  <w:marTop w:val="0"/>
                  <w:marBottom w:val="0"/>
                  <w:divBdr>
                    <w:top w:val="none" w:sz="0" w:space="0" w:color="auto"/>
                    <w:left w:val="none" w:sz="0" w:space="0" w:color="auto"/>
                    <w:bottom w:val="none" w:sz="0" w:space="0" w:color="auto"/>
                    <w:right w:val="none" w:sz="0" w:space="0" w:color="auto"/>
                  </w:divBdr>
                  <w:divsChild>
                    <w:div w:id="1279919290">
                      <w:marLeft w:val="0"/>
                      <w:marRight w:val="0"/>
                      <w:marTop w:val="0"/>
                      <w:marBottom w:val="0"/>
                      <w:divBdr>
                        <w:top w:val="none" w:sz="0" w:space="0" w:color="auto"/>
                        <w:left w:val="none" w:sz="0" w:space="0" w:color="auto"/>
                        <w:bottom w:val="none" w:sz="0" w:space="0" w:color="auto"/>
                        <w:right w:val="none" w:sz="0" w:space="0" w:color="auto"/>
                      </w:divBdr>
                    </w:div>
                  </w:divsChild>
                </w:div>
                <w:div w:id="17163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5532">
      <w:bodyDiv w:val="1"/>
      <w:marLeft w:val="0"/>
      <w:marRight w:val="0"/>
      <w:marTop w:val="0"/>
      <w:marBottom w:val="0"/>
      <w:divBdr>
        <w:top w:val="none" w:sz="0" w:space="0" w:color="auto"/>
        <w:left w:val="none" w:sz="0" w:space="0" w:color="auto"/>
        <w:bottom w:val="none" w:sz="0" w:space="0" w:color="auto"/>
        <w:right w:val="none" w:sz="0" w:space="0" w:color="auto"/>
      </w:divBdr>
      <w:divsChild>
        <w:div w:id="1343387668">
          <w:marLeft w:val="0"/>
          <w:marRight w:val="0"/>
          <w:marTop w:val="0"/>
          <w:marBottom w:val="0"/>
          <w:divBdr>
            <w:top w:val="none" w:sz="0" w:space="0" w:color="auto"/>
            <w:left w:val="none" w:sz="0" w:space="0" w:color="auto"/>
            <w:bottom w:val="none" w:sz="0" w:space="0" w:color="auto"/>
            <w:right w:val="none" w:sz="0" w:space="0" w:color="auto"/>
          </w:divBdr>
        </w:div>
        <w:div w:id="1383210660">
          <w:marLeft w:val="0"/>
          <w:marRight w:val="0"/>
          <w:marTop w:val="0"/>
          <w:marBottom w:val="0"/>
          <w:divBdr>
            <w:top w:val="none" w:sz="0" w:space="0" w:color="auto"/>
            <w:left w:val="none" w:sz="0" w:space="0" w:color="auto"/>
            <w:bottom w:val="none" w:sz="0" w:space="0" w:color="auto"/>
            <w:right w:val="none" w:sz="0" w:space="0" w:color="auto"/>
          </w:divBdr>
        </w:div>
        <w:div w:id="377511432">
          <w:marLeft w:val="0"/>
          <w:marRight w:val="0"/>
          <w:marTop w:val="0"/>
          <w:marBottom w:val="0"/>
          <w:divBdr>
            <w:top w:val="none" w:sz="0" w:space="0" w:color="auto"/>
            <w:left w:val="none" w:sz="0" w:space="0" w:color="auto"/>
            <w:bottom w:val="none" w:sz="0" w:space="0" w:color="auto"/>
            <w:right w:val="none" w:sz="0" w:space="0" w:color="auto"/>
          </w:divBdr>
        </w:div>
        <w:div w:id="1929078636">
          <w:marLeft w:val="0"/>
          <w:marRight w:val="0"/>
          <w:marTop w:val="0"/>
          <w:marBottom w:val="0"/>
          <w:divBdr>
            <w:top w:val="none" w:sz="0" w:space="0" w:color="auto"/>
            <w:left w:val="none" w:sz="0" w:space="0" w:color="auto"/>
            <w:bottom w:val="none" w:sz="0" w:space="0" w:color="auto"/>
            <w:right w:val="none" w:sz="0" w:space="0" w:color="auto"/>
          </w:divBdr>
        </w:div>
        <w:div w:id="812795621">
          <w:marLeft w:val="0"/>
          <w:marRight w:val="0"/>
          <w:marTop w:val="0"/>
          <w:marBottom w:val="0"/>
          <w:divBdr>
            <w:top w:val="none" w:sz="0" w:space="0" w:color="auto"/>
            <w:left w:val="none" w:sz="0" w:space="0" w:color="auto"/>
            <w:bottom w:val="none" w:sz="0" w:space="0" w:color="auto"/>
            <w:right w:val="none" w:sz="0" w:space="0" w:color="auto"/>
          </w:divBdr>
        </w:div>
        <w:div w:id="1444500692">
          <w:marLeft w:val="0"/>
          <w:marRight w:val="0"/>
          <w:marTop w:val="0"/>
          <w:marBottom w:val="0"/>
          <w:divBdr>
            <w:top w:val="none" w:sz="0" w:space="0" w:color="auto"/>
            <w:left w:val="none" w:sz="0" w:space="0" w:color="auto"/>
            <w:bottom w:val="none" w:sz="0" w:space="0" w:color="auto"/>
            <w:right w:val="none" w:sz="0" w:space="0" w:color="auto"/>
          </w:divBdr>
        </w:div>
        <w:div w:id="1944681732">
          <w:marLeft w:val="0"/>
          <w:marRight w:val="0"/>
          <w:marTop w:val="0"/>
          <w:marBottom w:val="0"/>
          <w:divBdr>
            <w:top w:val="none" w:sz="0" w:space="0" w:color="auto"/>
            <w:left w:val="none" w:sz="0" w:space="0" w:color="auto"/>
            <w:bottom w:val="none" w:sz="0" w:space="0" w:color="auto"/>
            <w:right w:val="none" w:sz="0" w:space="0" w:color="auto"/>
          </w:divBdr>
        </w:div>
        <w:div w:id="1010990231">
          <w:marLeft w:val="0"/>
          <w:marRight w:val="0"/>
          <w:marTop w:val="0"/>
          <w:marBottom w:val="0"/>
          <w:divBdr>
            <w:top w:val="none" w:sz="0" w:space="0" w:color="auto"/>
            <w:left w:val="none" w:sz="0" w:space="0" w:color="auto"/>
            <w:bottom w:val="none" w:sz="0" w:space="0" w:color="auto"/>
            <w:right w:val="none" w:sz="0" w:space="0" w:color="auto"/>
          </w:divBdr>
        </w:div>
        <w:div w:id="1445878821">
          <w:marLeft w:val="0"/>
          <w:marRight w:val="0"/>
          <w:marTop w:val="0"/>
          <w:marBottom w:val="0"/>
          <w:divBdr>
            <w:top w:val="none" w:sz="0" w:space="0" w:color="auto"/>
            <w:left w:val="none" w:sz="0" w:space="0" w:color="auto"/>
            <w:bottom w:val="none" w:sz="0" w:space="0" w:color="auto"/>
            <w:right w:val="none" w:sz="0" w:space="0" w:color="auto"/>
          </w:divBdr>
        </w:div>
        <w:div w:id="525211592">
          <w:marLeft w:val="0"/>
          <w:marRight w:val="0"/>
          <w:marTop w:val="0"/>
          <w:marBottom w:val="0"/>
          <w:divBdr>
            <w:top w:val="none" w:sz="0" w:space="0" w:color="auto"/>
            <w:left w:val="none" w:sz="0" w:space="0" w:color="auto"/>
            <w:bottom w:val="none" w:sz="0" w:space="0" w:color="auto"/>
            <w:right w:val="none" w:sz="0" w:space="0" w:color="auto"/>
          </w:divBdr>
        </w:div>
      </w:divsChild>
    </w:div>
    <w:div w:id="1665626520">
      <w:bodyDiv w:val="1"/>
      <w:marLeft w:val="0"/>
      <w:marRight w:val="0"/>
      <w:marTop w:val="0"/>
      <w:marBottom w:val="0"/>
      <w:divBdr>
        <w:top w:val="none" w:sz="0" w:space="0" w:color="auto"/>
        <w:left w:val="none" w:sz="0" w:space="0" w:color="auto"/>
        <w:bottom w:val="none" w:sz="0" w:space="0" w:color="auto"/>
        <w:right w:val="none" w:sz="0" w:space="0" w:color="auto"/>
      </w:divBdr>
      <w:divsChild>
        <w:div w:id="2518769">
          <w:marLeft w:val="0"/>
          <w:marRight w:val="0"/>
          <w:marTop w:val="0"/>
          <w:marBottom w:val="0"/>
          <w:divBdr>
            <w:top w:val="none" w:sz="0" w:space="0" w:color="auto"/>
            <w:left w:val="none" w:sz="0" w:space="0" w:color="auto"/>
            <w:bottom w:val="none" w:sz="0" w:space="0" w:color="auto"/>
            <w:right w:val="none" w:sz="0" w:space="0" w:color="auto"/>
          </w:divBdr>
        </w:div>
        <w:div w:id="800876994">
          <w:marLeft w:val="0"/>
          <w:marRight w:val="0"/>
          <w:marTop w:val="0"/>
          <w:marBottom w:val="0"/>
          <w:divBdr>
            <w:top w:val="none" w:sz="0" w:space="0" w:color="auto"/>
            <w:left w:val="none" w:sz="0" w:space="0" w:color="auto"/>
            <w:bottom w:val="none" w:sz="0" w:space="0" w:color="auto"/>
            <w:right w:val="none" w:sz="0" w:space="0" w:color="auto"/>
          </w:divBdr>
        </w:div>
      </w:divsChild>
    </w:div>
    <w:div w:id="1669792165">
      <w:bodyDiv w:val="1"/>
      <w:marLeft w:val="0"/>
      <w:marRight w:val="0"/>
      <w:marTop w:val="0"/>
      <w:marBottom w:val="0"/>
      <w:divBdr>
        <w:top w:val="none" w:sz="0" w:space="0" w:color="auto"/>
        <w:left w:val="none" w:sz="0" w:space="0" w:color="auto"/>
        <w:bottom w:val="none" w:sz="0" w:space="0" w:color="auto"/>
        <w:right w:val="none" w:sz="0" w:space="0" w:color="auto"/>
      </w:divBdr>
      <w:divsChild>
        <w:div w:id="236400994">
          <w:marLeft w:val="0"/>
          <w:marRight w:val="0"/>
          <w:marTop w:val="0"/>
          <w:marBottom w:val="0"/>
          <w:divBdr>
            <w:top w:val="none" w:sz="0" w:space="0" w:color="auto"/>
            <w:left w:val="none" w:sz="0" w:space="0" w:color="auto"/>
            <w:bottom w:val="none" w:sz="0" w:space="0" w:color="auto"/>
            <w:right w:val="none" w:sz="0" w:space="0" w:color="auto"/>
          </w:divBdr>
        </w:div>
        <w:div w:id="222645115">
          <w:marLeft w:val="0"/>
          <w:marRight w:val="0"/>
          <w:marTop w:val="0"/>
          <w:marBottom w:val="0"/>
          <w:divBdr>
            <w:top w:val="none" w:sz="0" w:space="0" w:color="auto"/>
            <w:left w:val="none" w:sz="0" w:space="0" w:color="auto"/>
            <w:bottom w:val="none" w:sz="0" w:space="0" w:color="auto"/>
            <w:right w:val="none" w:sz="0" w:space="0" w:color="auto"/>
          </w:divBdr>
        </w:div>
        <w:div w:id="1447000632">
          <w:marLeft w:val="0"/>
          <w:marRight w:val="0"/>
          <w:marTop w:val="0"/>
          <w:marBottom w:val="0"/>
          <w:divBdr>
            <w:top w:val="none" w:sz="0" w:space="0" w:color="auto"/>
            <w:left w:val="none" w:sz="0" w:space="0" w:color="auto"/>
            <w:bottom w:val="none" w:sz="0" w:space="0" w:color="auto"/>
            <w:right w:val="none" w:sz="0" w:space="0" w:color="auto"/>
          </w:divBdr>
        </w:div>
      </w:divsChild>
    </w:div>
    <w:div w:id="1696031005">
      <w:bodyDiv w:val="1"/>
      <w:marLeft w:val="0"/>
      <w:marRight w:val="0"/>
      <w:marTop w:val="0"/>
      <w:marBottom w:val="0"/>
      <w:divBdr>
        <w:top w:val="none" w:sz="0" w:space="0" w:color="auto"/>
        <w:left w:val="none" w:sz="0" w:space="0" w:color="auto"/>
        <w:bottom w:val="none" w:sz="0" w:space="0" w:color="auto"/>
        <w:right w:val="none" w:sz="0" w:space="0" w:color="auto"/>
      </w:divBdr>
    </w:div>
    <w:div w:id="1738821127">
      <w:bodyDiv w:val="1"/>
      <w:marLeft w:val="0"/>
      <w:marRight w:val="0"/>
      <w:marTop w:val="0"/>
      <w:marBottom w:val="0"/>
      <w:divBdr>
        <w:top w:val="none" w:sz="0" w:space="0" w:color="auto"/>
        <w:left w:val="none" w:sz="0" w:space="0" w:color="auto"/>
        <w:bottom w:val="none" w:sz="0" w:space="0" w:color="auto"/>
        <w:right w:val="none" w:sz="0" w:space="0" w:color="auto"/>
      </w:divBdr>
    </w:div>
    <w:div w:id="1748192319">
      <w:bodyDiv w:val="1"/>
      <w:marLeft w:val="0"/>
      <w:marRight w:val="0"/>
      <w:marTop w:val="0"/>
      <w:marBottom w:val="0"/>
      <w:divBdr>
        <w:top w:val="none" w:sz="0" w:space="0" w:color="auto"/>
        <w:left w:val="none" w:sz="0" w:space="0" w:color="auto"/>
        <w:bottom w:val="none" w:sz="0" w:space="0" w:color="auto"/>
        <w:right w:val="none" w:sz="0" w:space="0" w:color="auto"/>
      </w:divBdr>
    </w:div>
    <w:div w:id="1748727862">
      <w:bodyDiv w:val="1"/>
      <w:marLeft w:val="0"/>
      <w:marRight w:val="0"/>
      <w:marTop w:val="0"/>
      <w:marBottom w:val="0"/>
      <w:divBdr>
        <w:top w:val="none" w:sz="0" w:space="0" w:color="auto"/>
        <w:left w:val="none" w:sz="0" w:space="0" w:color="auto"/>
        <w:bottom w:val="none" w:sz="0" w:space="0" w:color="auto"/>
        <w:right w:val="none" w:sz="0" w:space="0" w:color="auto"/>
      </w:divBdr>
    </w:div>
    <w:div w:id="1822579139">
      <w:bodyDiv w:val="1"/>
      <w:marLeft w:val="0"/>
      <w:marRight w:val="0"/>
      <w:marTop w:val="0"/>
      <w:marBottom w:val="0"/>
      <w:divBdr>
        <w:top w:val="none" w:sz="0" w:space="0" w:color="auto"/>
        <w:left w:val="none" w:sz="0" w:space="0" w:color="auto"/>
        <w:bottom w:val="none" w:sz="0" w:space="0" w:color="auto"/>
        <w:right w:val="none" w:sz="0" w:space="0" w:color="auto"/>
      </w:divBdr>
    </w:div>
    <w:div w:id="1832283504">
      <w:bodyDiv w:val="1"/>
      <w:marLeft w:val="0"/>
      <w:marRight w:val="0"/>
      <w:marTop w:val="0"/>
      <w:marBottom w:val="0"/>
      <w:divBdr>
        <w:top w:val="none" w:sz="0" w:space="0" w:color="auto"/>
        <w:left w:val="none" w:sz="0" w:space="0" w:color="auto"/>
        <w:bottom w:val="none" w:sz="0" w:space="0" w:color="auto"/>
        <w:right w:val="none" w:sz="0" w:space="0" w:color="auto"/>
      </w:divBdr>
    </w:div>
    <w:div w:id="1913854242">
      <w:bodyDiv w:val="1"/>
      <w:marLeft w:val="0"/>
      <w:marRight w:val="0"/>
      <w:marTop w:val="0"/>
      <w:marBottom w:val="0"/>
      <w:divBdr>
        <w:top w:val="none" w:sz="0" w:space="0" w:color="auto"/>
        <w:left w:val="none" w:sz="0" w:space="0" w:color="auto"/>
        <w:bottom w:val="none" w:sz="0" w:space="0" w:color="auto"/>
        <w:right w:val="none" w:sz="0" w:space="0" w:color="auto"/>
      </w:divBdr>
    </w:div>
    <w:div w:id="1933514374">
      <w:bodyDiv w:val="1"/>
      <w:marLeft w:val="0"/>
      <w:marRight w:val="0"/>
      <w:marTop w:val="0"/>
      <w:marBottom w:val="0"/>
      <w:divBdr>
        <w:top w:val="none" w:sz="0" w:space="0" w:color="auto"/>
        <w:left w:val="none" w:sz="0" w:space="0" w:color="auto"/>
        <w:bottom w:val="none" w:sz="0" w:space="0" w:color="auto"/>
        <w:right w:val="none" w:sz="0" w:space="0" w:color="auto"/>
      </w:divBdr>
    </w:div>
    <w:div w:id="1951429369">
      <w:bodyDiv w:val="1"/>
      <w:marLeft w:val="0"/>
      <w:marRight w:val="0"/>
      <w:marTop w:val="0"/>
      <w:marBottom w:val="0"/>
      <w:divBdr>
        <w:top w:val="none" w:sz="0" w:space="0" w:color="auto"/>
        <w:left w:val="none" w:sz="0" w:space="0" w:color="auto"/>
        <w:bottom w:val="none" w:sz="0" w:space="0" w:color="auto"/>
        <w:right w:val="none" w:sz="0" w:space="0" w:color="auto"/>
      </w:divBdr>
    </w:div>
    <w:div w:id="1963343047">
      <w:bodyDiv w:val="1"/>
      <w:marLeft w:val="0"/>
      <w:marRight w:val="0"/>
      <w:marTop w:val="0"/>
      <w:marBottom w:val="0"/>
      <w:divBdr>
        <w:top w:val="none" w:sz="0" w:space="0" w:color="auto"/>
        <w:left w:val="none" w:sz="0" w:space="0" w:color="auto"/>
        <w:bottom w:val="none" w:sz="0" w:space="0" w:color="auto"/>
        <w:right w:val="none" w:sz="0" w:space="0" w:color="auto"/>
      </w:divBdr>
      <w:divsChild>
        <w:div w:id="1005742040">
          <w:marLeft w:val="0"/>
          <w:marRight w:val="0"/>
          <w:marTop w:val="0"/>
          <w:marBottom w:val="0"/>
          <w:divBdr>
            <w:top w:val="none" w:sz="0" w:space="0" w:color="auto"/>
            <w:left w:val="none" w:sz="0" w:space="0" w:color="auto"/>
            <w:bottom w:val="none" w:sz="0" w:space="0" w:color="auto"/>
            <w:right w:val="none" w:sz="0" w:space="0" w:color="auto"/>
          </w:divBdr>
          <w:divsChild>
            <w:div w:id="7715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5239">
      <w:bodyDiv w:val="1"/>
      <w:marLeft w:val="0"/>
      <w:marRight w:val="0"/>
      <w:marTop w:val="0"/>
      <w:marBottom w:val="0"/>
      <w:divBdr>
        <w:top w:val="none" w:sz="0" w:space="0" w:color="auto"/>
        <w:left w:val="none" w:sz="0" w:space="0" w:color="auto"/>
        <w:bottom w:val="none" w:sz="0" w:space="0" w:color="auto"/>
        <w:right w:val="none" w:sz="0" w:space="0" w:color="auto"/>
      </w:divBdr>
    </w:div>
    <w:div w:id="2001887132">
      <w:bodyDiv w:val="1"/>
      <w:marLeft w:val="0"/>
      <w:marRight w:val="0"/>
      <w:marTop w:val="0"/>
      <w:marBottom w:val="0"/>
      <w:divBdr>
        <w:top w:val="none" w:sz="0" w:space="0" w:color="auto"/>
        <w:left w:val="none" w:sz="0" w:space="0" w:color="auto"/>
        <w:bottom w:val="none" w:sz="0" w:space="0" w:color="auto"/>
        <w:right w:val="none" w:sz="0" w:space="0" w:color="auto"/>
      </w:divBdr>
    </w:div>
    <w:div w:id="2012755255">
      <w:bodyDiv w:val="1"/>
      <w:marLeft w:val="0"/>
      <w:marRight w:val="0"/>
      <w:marTop w:val="0"/>
      <w:marBottom w:val="0"/>
      <w:divBdr>
        <w:top w:val="none" w:sz="0" w:space="0" w:color="auto"/>
        <w:left w:val="none" w:sz="0" w:space="0" w:color="auto"/>
        <w:bottom w:val="none" w:sz="0" w:space="0" w:color="auto"/>
        <w:right w:val="none" w:sz="0" w:space="0" w:color="auto"/>
      </w:divBdr>
    </w:div>
    <w:div w:id="2019773752">
      <w:bodyDiv w:val="1"/>
      <w:marLeft w:val="0"/>
      <w:marRight w:val="0"/>
      <w:marTop w:val="0"/>
      <w:marBottom w:val="0"/>
      <w:divBdr>
        <w:top w:val="none" w:sz="0" w:space="0" w:color="auto"/>
        <w:left w:val="none" w:sz="0" w:space="0" w:color="auto"/>
        <w:bottom w:val="none" w:sz="0" w:space="0" w:color="auto"/>
        <w:right w:val="none" w:sz="0" w:space="0" w:color="auto"/>
      </w:divBdr>
    </w:div>
    <w:div w:id="2040278179">
      <w:bodyDiv w:val="1"/>
      <w:marLeft w:val="0"/>
      <w:marRight w:val="0"/>
      <w:marTop w:val="0"/>
      <w:marBottom w:val="0"/>
      <w:divBdr>
        <w:top w:val="none" w:sz="0" w:space="0" w:color="auto"/>
        <w:left w:val="none" w:sz="0" w:space="0" w:color="auto"/>
        <w:bottom w:val="none" w:sz="0" w:space="0" w:color="auto"/>
        <w:right w:val="none" w:sz="0" w:space="0" w:color="auto"/>
      </w:divBdr>
      <w:divsChild>
        <w:div w:id="111364189">
          <w:marLeft w:val="0"/>
          <w:marRight w:val="0"/>
          <w:marTop w:val="0"/>
          <w:marBottom w:val="0"/>
          <w:divBdr>
            <w:top w:val="none" w:sz="0" w:space="0" w:color="auto"/>
            <w:left w:val="none" w:sz="0" w:space="0" w:color="auto"/>
            <w:bottom w:val="none" w:sz="0" w:space="0" w:color="auto"/>
            <w:right w:val="none" w:sz="0" w:space="0" w:color="auto"/>
          </w:divBdr>
        </w:div>
        <w:div w:id="1174421816">
          <w:marLeft w:val="0"/>
          <w:marRight w:val="0"/>
          <w:marTop w:val="0"/>
          <w:marBottom w:val="0"/>
          <w:divBdr>
            <w:top w:val="none" w:sz="0" w:space="0" w:color="auto"/>
            <w:left w:val="none" w:sz="0" w:space="0" w:color="auto"/>
            <w:bottom w:val="none" w:sz="0" w:space="0" w:color="auto"/>
            <w:right w:val="none" w:sz="0" w:space="0" w:color="auto"/>
          </w:divBdr>
        </w:div>
        <w:div w:id="622930306">
          <w:marLeft w:val="0"/>
          <w:marRight w:val="0"/>
          <w:marTop w:val="0"/>
          <w:marBottom w:val="0"/>
          <w:divBdr>
            <w:top w:val="none" w:sz="0" w:space="0" w:color="auto"/>
            <w:left w:val="none" w:sz="0" w:space="0" w:color="auto"/>
            <w:bottom w:val="none" w:sz="0" w:space="0" w:color="auto"/>
            <w:right w:val="none" w:sz="0" w:space="0" w:color="auto"/>
          </w:divBdr>
        </w:div>
      </w:divsChild>
    </w:div>
    <w:div w:id="2077781058">
      <w:bodyDiv w:val="1"/>
      <w:marLeft w:val="0"/>
      <w:marRight w:val="0"/>
      <w:marTop w:val="0"/>
      <w:marBottom w:val="0"/>
      <w:divBdr>
        <w:top w:val="none" w:sz="0" w:space="0" w:color="auto"/>
        <w:left w:val="none" w:sz="0" w:space="0" w:color="auto"/>
        <w:bottom w:val="none" w:sz="0" w:space="0" w:color="auto"/>
        <w:right w:val="none" w:sz="0" w:space="0" w:color="auto"/>
      </w:divBdr>
      <w:divsChild>
        <w:div w:id="864902459">
          <w:marLeft w:val="0"/>
          <w:marRight w:val="0"/>
          <w:marTop w:val="0"/>
          <w:marBottom w:val="0"/>
          <w:divBdr>
            <w:top w:val="none" w:sz="0" w:space="0" w:color="auto"/>
            <w:left w:val="none" w:sz="0" w:space="0" w:color="auto"/>
            <w:bottom w:val="none" w:sz="0" w:space="0" w:color="auto"/>
            <w:right w:val="none" w:sz="0" w:space="0" w:color="auto"/>
          </w:divBdr>
        </w:div>
        <w:div w:id="842205171">
          <w:marLeft w:val="0"/>
          <w:marRight w:val="0"/>
          <w:marTop w:val="0"/>
          <w:marBottom w:val="0"/>
          <w:divBdr>
            <w:top w:val="none" w:sz="0" w:space="0" w:color="auto"/>
            <w:left w:val="none" w:sz="0" w:space="0" w:color="auto"/>
            <w:bottom w:val="none" w:sz="0" w:space="0" w:color="auto"/>
            <w:right w:val="none" w:sz="0" w:space="0" w:color="auto"/>
          </w:divBdr>
        </w:div>
        <w:div w:id="2139717514">
          <w:marLeft w:val="0"/>
          <w:marRight w:val="0"/>
          <w:marTop w:val="0"/>
          <w:marBottom w:val="0"/>
          <w:divBdr>
            <w:top w:val="none" w:sz="0" w:space="0" w:color="auto"/>
            <w:left w:val="none" w:sz="0" w:space="0" w:color="auto"/>
            <w:bottom w:val="none" w:sz="0" w:space="0" w:color="auto"/>
            <w:right w:val="none" w:sz="0" w:space="0" w:color="auto"/>
          </w:divBdr>
        </w:div>
        <w:div w:id="2101288136">
          <w:marLeft w:val="0"/>
          <w:marRight w:val="0"/>
          <w:marTop w:val="0"/>
          <w:marBottom w:val="0"/>
          <w:divBdr>
            <w:top w:val="none" w:sz="0" w:space="0" w:color="auto"/>
            <w:left w:val="none" w:sz="0" w:space="0" w:color="auto"/>
            <w:bottom w:val="none" w:sz="0" w:space="0" w:color="auto"/>
            <w:right w:val="none" w:sz="0" w:space="0" w:color="auto"/>
          </w:divBdr>
        </w:div>
        <w:div w:id="858390901">
          <w:marLeft w:val="0"/>
          <w:marRight w:val="0"/>
          <w:marTop w:val="0"/>
          <w:marBottom w:val="0"/>
          <w:divBdr>
            <w:top w:val="none" w:sz="0" w:space="0" w:color="auto"/>
            <w:left w:val="none" w:sz="0" w:space="0" w:color="auto"/>
            <w:bottom w:val="none" w:sz="0" w:space="0" w:color="auto"/>
            <w:right w:val="none" w:sz="0" w:space="0" w:color="auto"/>
          </w:divBdr>
        </w:div>
      </w:divsChild>
    </w:div>
    <w:div w:id="2087147540">
      <w:bodyDiv w:val="1"/>
      <w:marLeft w:val="0"/>
      <w:marRight w:val="0"/>
      <w:marTop w:val="0"/>
      <w:marBottom w:val="0"/>
      <w:divBdr>
        <w:top w:val="none" w:sz="0" w:space="0" w:color="auto"/>
        <w:left w:val="none" w:sz="0" w:space="0" w:color="auto"/>
        <w:bottom w:val="none" w:sz="0" w:space="0" w:color="auto"/>
        <w:right w:val="none" w:sz="0" w:space="0" w:color="auto"/>
      </w:divBdr>
      <w:divsChild>
        <w:div w:id="1966039267">
          <w:marLeft w:val="0"/>
          <w:marRight w:val="0"/>
          <w:marTop w:val="0"/>
          <w:marBottom w:val="0"/>
          <w:divBdr>
            <w:top w:val="none" w:sz="0" w:space="0" w:color="auto"/>
            <w:left w:val="none" w:sz="0" w:space="0" w:color="auto"/>
            <w:bottom w:val="none" w:sz="0" w:space="0" w:color="auto"/>
            <w:right w:val="none" w:sz="0" w:space="0" w:color="auto"/>
          </w:divBdr>
        </w:div>
      </w:divsChild>
    </w:div>
    <w:div w:id="21237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lethbridge@gre.ac.uk"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local.gov.uk/web/guest/productivity/-/journal_content/56/10180/3851597/ARTICLE" TargetMode="External"/><Relationship Id="rId3" Type="http://schemas.openxmlformats.org/officeDocument/2006/relationships/hyperlink" Target="http://www.computerworlduk.com/news/public-sector/3438242/government-plans-second-shared-service-centre-worth-2bn/?intcmp=in_article;related" TargetMode="External"/><Relationship Id="rId7" Type="http://schemas.openxmlformats.org/officeDocument/2006/relationships/hyperlink" Target="http://www.computerweekly.com/news/2240213261/DECC-IT-overhaul-follows-government-digital-standards" TargetMode="External"/><Relationship Id="rId2" Type="http://schemas.openxmlformats.org/officeDocument/2006/relationships/hyperlink" Target="https://www.nao.org.uk/press-releases/efficiency-and-reform-in-government-corporate-functions-through-shared-service-centres-2/" TargetMode="External"/><Relationship Id="rId1" Type="http://schemas.openxmlformats.org/officeDocument/2006/relationships/hyperlink" Target="http://webarchive.nationalarchives.gov.uk/+/http:/www.hm-treasury.gov.uk/media/C/A/efficiency_review120704.pdf" TargetMode="External"/><Relationship Id="rId6" Type="http://schemas.openxmlformats.org/officeDocument/2006/relationships/hyperlink" Target="http://www.computerweekly.com/news/2240213261/DECC-IT-overhaul-follows-government-digital-standards" TargetMode="External"/><Relationship Id="rId5" Type="http://schemas.openxmlformats.org/officeDocument/2006/relationships/hyperlink" Target="http://www.capita.co.uk/news-and-opinion/news/2014/capita-signs-swan-framework-contract.aspx" TargetMode="External"/><Relationship Id="rId4" Type="http://schemas.openxmlformats.org/officeDocument/2006/relationships/hyperlink" Target="http://calchaspss.wordpress.com/2012/10/04/its-a-kind-of-accounting-magic-how-a-233m-shared-services-cost-is-turned-into-a-230-sav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B8F0-1A3E-49C0-BB2B-3E0C5DA9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Yurchenko</dc:creator>
  <cp:lastModifiedBy>Jane Lethbridge</cp:lastModifiedBy>
  <cp:revision>2</cp:revision>
  <cp:lastPrinted>2014-03-14T14:08:00Z</cp:lastPrinted>
  <dcterms:created xsi:type="dcterms:W3CDTF">2014-05-16T15:02:00Z</dcterms:created>
  <dcterms:modified xsi:type="dcterms:W3CDTF">2014-05-16T15:02:00Z</dcterms:modified>
</cp:coreProperties>
</file>