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E2" w:rsidRDefault="00373DE2" w:rsidP="00373DE2">
      <w:pPr>
        <w:pStyle w:val="NoSpacing"/>
        <w:jc w:val="center"/>
        <w:rPr>
          <w:rFonts w:ascii="Lucida Sans Unicode" w:hAnsi="Lucida Sans Unicode" w:cs="Lucida Sans Unicode"/>
          <w:sz w:val="36"/>
          <w:szCs w:val="36"/>
          <w:lang w:val="en-ZA"/>
        </w:rPr>
      </w:pPr>
      <w:bookmarkStart w:id="0" w:name="_GoBack"/>
      <w:bookmarkEnd w:id="0"/>
    </w:p>
    <w:p w:rsidR="00A934A5" w:rsidRPr="00373DE2" w:rsidRDefault="00A934A5" w:rsidP="00373DE2">
      <w:pPr>
        <w:pStyle w:val="NoSpacing"/>
        <w:jc w:val="center"/>
        <w:rPr>
          <w:rFonts w:ascii="Lucida Sans Unicode" w:hAnsi="Lucida Sans Unicode" w:cs="Lucida Sans Unicode"/>
          <w:sz w:val="36"/>
          <w:szCs w:val="36"/>
          <w:lang w:val="en-ZA"/>
        </w:rPr>
      </w:pPr>
    </w:p>
    <w:p w:rsidR="00996A6E" w:rsidRPr="00373DE2" w:rsidRDefault="000D7014" w:rsidP="00373DE2">
      <w:pPr>
        <w:pStyle w:val="NoSpacing"/>
        <w:jc w:val="center"/>
        <w:rPr>
          <w:rFonts w:ascii="Lucida Sans Unicode" w:hAnsi="Lucida Sans Unicode" w:cs="Lucida Sans Unicode"/>
          <w:b/>
          <w:color w:val="FF0000"/>
          <w:sz w:val="36"/>
          <w:szCs w:val="36"/>
          <w:lang w:val="en-ZA"/>
        </w:rPr>
      </w:pPr>
      <w:r w:rsidRPr="00373DE2">
        <w:rPr>
          <w:rFonts w:ascii="Lucida Sans Unicode" w:hAnsi="Lucida Sans Unicode" w:cs="Lucida Sans Unicode"/>
          <w:b/>
          <w:color w:val="FF0000"/>
          <w:sz w:val="36"/>
          <w:szCs w:val="36"/>
          <w:lang w:val="en-ZA"/>
        </w:rPr>
        <w:t>ACP-EU Water</w:t>
      </w:r>
      <w:r w:rsidR="0070637D" w:rsidRPr="00373DE2">
        <w:rPr>
          <w:rFonts w:ascii="Lucida Sans Unicode" w:hAnsi="Lucida Sans Unicode" w:cs="Lucida Sans Unicode"/>
          <w:b/>
          <w:color w:val="FF0000"/>
          <w:sz w:val="36"/>
          <w:szCs w:val="36"/>
          <w:lang w:val="en-ZA"/>
        </w:rPr>
        <w:t xml:space="preserve"> Facility –</w:t>
      </w:r>
      <w:r w:rsidRPr="00373DE2">
        <w:rPr>
          <w:rFonts w:ascii="Lucida Sans Unicode" w:hAnsi="Lucida Sans Unicode" w:cs="Lucida Sans Unicode"/>
          <w:b/>
          <w:color w:val="FF0000"/>
          <w:sz w:val="36"/>
          <w:szCs w:val="36"/>
          <w:lang w:val="en-ZA"/>
        </w:rPr>
        <w:t xml:space="preserve"> Partnerships</w:t>
      </w:r>
      <w:r w:rsidR="0070637D" w:rsidRPr="00373DE2">
        <w:rPr>
          <w:rFonts w:ascii="Lucida Sans Unicode" w:hAnsi="Lucida Sans Unicode" w:cs="Lucida Sans Unicode"/>
          <w:b/>
          <w:color w:val="FF0000"/>
          <w:sz w:val="36"/>
          <w:szCs w:val="36"/>
          <w:lang w:val="en-ZA"/>
        </w:rPr>
        <w:t xml:space="preserve"> Initiative</w:t>
      </w:r>
    </w:p>
    <w:p w:rsidR="00373DE2" w:rsidRDefault="00373DE2" w:rsidP="00996A6E">
      <w:pPr>
        <w:jc w:val="center"/>
        <w:rPr>
          <w:lang w:val="en-ZA"/>
        </w:rPr>
      </w:pPr>
    </w:p>
    <w:p w:rsidR="00996A6E" w:rsidRDefault="00996A6E" w:rsidP="00996A6E">
      <w:pPr>
        <w:jc w:val="center"/>
        <w:rPr>
          <w:lang w:val="en-ZA"/>
        </w:rPr>
      </w:pPr>
      <w:r w:rsidRPr="006E7BCA">
        <w:rPr>
          <w:lang w:val="en-ZA"/>
        </w:rPr>
        <w:t>By</w:t>
      </w:r>
    </w:p>
    <w:p w:rsidR="00373DE2" w:rsidRDefault="00373DE2" w:rsidP="00996A6E">
      <w:pPr>
        <w:jc w:val="center"/>
        <w:rPr>
          <w:lang w:val="en-ZA"/>
        </w:rPr>
      </w:pPr>
    </w:p>
    <w:p w:rsidR="00996A6E" w:rsidRDefault="000D7014" w:rsidP="00996A6E">
      <w:pPr>
        <w:jc w:val="center"/>
        <w:rPr>
          <w:lang w:val="en-ZA"/>
        </w:rPr>
      </w:pPr>
      <w:r>
        <w:rPr>
          <w:lang w:val="en-ZA"/>
        </w:rPr>
        <w:t>Emanuele Lobina and David Hall</w:t>
      </w:r>
    </w:p>
    <w:p w:rsidR="00373DE2" w:rsidRDefault="00373DE2" w:rsidP="00FE15C7">
      <w:pPr>
        <w:jc w:val="center"/>
      </w:pPr>
      <w:r>
        <w:t>Public Services International Research Unit (PSIRU)</w:t>
      </w:r>
    </w:p>
    <w:p w:rsidR="001A113A" w:rsidRDefault="00CE68A1" w:rsidP="00996A6E">
      <w:pPr>
        <w:jc w:val="center"/>
      </w:pPr>
      <w:smartTag w:uri="urn:schemas-microsoft-com:office:smarttags" w:element="PlaceName">
        <w:r>
          <w:t>Business</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Greenwich</w:t>
          </w:r>
        </w:smartTag>
      </w:smartTag>
    </w:p>
    <w:p w:rsidR="00FE15C7" w:rsidRDefault="00FE15C7" w:rsidP="00996A6E">
      <w:pPr>
        <w:jc w:val="center"/>
      </w:pPr>
    </w:p>
    <w:p w:rsidR="00996A6E" w:rsidRDefault="006057D3" w:rsidP="00996A6E">
      <w:pPr>
        <w:jc w:val="center"/>
      </w:pPr>
      <w:hyperlink r:id="rId8" w:history="1">
        <w:r w:rsidR="00CE68A1">
          <w:rPr>
            <w:rStyle w:val="Hyperlink"/>
          </w:rPr>
          <w:t>e.lobina@gre.ac.uk</w:t>
        </w:r>
      </w:hyperlink>
      <w:r w:rsidR="00CE68A1">
        <w:t xml:space="preserve">; </w:t>
      </w:r>
      <w:hyperlink r:id="rId9" w:history="1">
        <w:r w:rsidR="00CE68A1" w:rsidRPr="00655C6F">
          <w:rPr>
            <w:rStyle w:val="Hyperlink"/>
          </w:rPr>
          <w:t>d.j.hall@gre.ac.uk</w:t>
        </w:r>
      </w:hyperlink>
    </w:p>
    <w:p w:rsidR="00373DE2" w:rsidRDefault="00373DE2" w:rsidP="00996A6E">
      <w:pPr>
        <w:jc w:val="center"/>
        <w:rPr>
          <w:b/>
          <w:noProof/>
          <w:lang w:eastAsia="en-ZA"/>
        </w:rPr>
      </w:pPr>
    </w:p>
    <w:p w:rsidR="00996A6E" w:rsidRPr="00E61EF8" w:rsidRDefault="004F511D" w:rsidP="00996A6E">
      <w:pPr>
        <w:jc w:val="center"/>
        <w:rPr>
          <w:b/>
          <w:noProof/>
          <w:color w:val="FF0000"/>
          <w:lang w:eastAsia="en-ZA"/>
        </w:rPr>
      </w:pPr>
      <w:r>
        <w:rPr>
          <w:b/>
          <w:noProof/>
          <w:lang w:eastAsia="en-ZA"/>
        </w:rPr>
        <w:t>3 August</w:t>
      </w:r>
      <w:r w:rsidR="00996A6E" w:rsidRPr="003B1E18">
        <w:rPr>
          <w:b/>
          <w:noProof/>
          <w:lang w:eastAsia="en-ZA"/>
        </w:rPr>
        <w:t xml:space="preserve"> 201</w:t>
      </w:r>
      <w:r w:rsidR="00253C8F">
        <w:rPr>
          <w:b/>
          <w:noProof/>
          <w:lang w:eastAsia="en-ZA"/>
        </w:rPr>
        <w:t>2</w:t>
      </w:r>
    </w:p>
    <w:p w:rsidR="002D55D4" w:rsidRPr="003B1E18" w:rsidRDefault="002D55D4" w:rsidP="00996A6E">
      <w:pPr>
        <w:jc w:val="center"/>
        <w:rPr>
          <w:b/>
          <w:noProof/>
          <w:lang w:eastAsia="en-ZA"/>
        </w:rPr>
      </w:pPr>
    </w:p>
    <w:p w:rsidR="003F58B0" w:rsidRPr="00CC0933" w:rsidRDefault="009702D3" w:rsidP="00CC0933">
      <w:pPr>
        <w:pBdr>
          <w:top w:val="single" w:sz="12" w:space="1" w:color="C00000"/>
          <w:left w:val="single" w:sz="12" w:space="4" w:color="C00000"/>
          <w:bottom w:val="single" w:sz="12" w:space="0" w:color="C00000"/>
          <w:right w:val="single" w:sz="12" w:space="4" w:color="C00000"/>
        </w:pBdr>
        <w:jc w:val="center"/>
        <w:rPr>
          <w:bCs/>
        </w:rPr>
      </w:pPr>
      <w:r w:rsidRPr="00CC0933">
        <w:rPr>
          <w:noProof/>
          <w:lang w:eastAsia="en-ZA"/>
        </w:rPr>
        <w:t xml:space="preserve">This report was commissioned by the </w:t>
      </w:r>
      <w:r w:rsidRPr="00CC0933">
        <w:t xml:space="preserve">European Commission (DG AIDCO) under Service contract 2010/236-444, “Online database to facilitate Partnerships for Capacity Development in the ACP Water and Sanitation Sector”. </w:t>
      </w:r>
      <w:r w:rsidR="003F58B0" w:rsidRPr="00CC0933">
        <w:t xml:space="preserve">For more information see </w:t>
      </w:r>
      <w:hyperlink r:id="rId10" w:history="1">
        <w:r w:rsidR="003F58B0" w:rsidRPr="00CC0933">
          <w:rPr>
            <w:rStyle w:val="Hyperlink"/>
            <w:bCs/>
          </w:rPr>
          <w:t>www.acp-eu-waterpartnerships.org</w:t>
        </w:r>
      </w:hyperlink>
      <w:r w:rsidR="003F58B0" w:rsidRPr="00CC0933">
        <w:rPr>
          <w:bCs/>
        </w:rPr>
        <w:t>.</w:t>
      </w:r>
    </w:p>
    <w:p w:rsidR="009702D3" w:rsidRDefault="009702D3" w:rsidP="00CC0933">
      <w:pPr>
        <w:pBdr>
          <w:top w:val="single" w:sz="12" w:space="1" w:color="C00000"/>
          <w:left w:val="single" w:sz="12" w:space="4" w:color="C00000"/>
          <w:bottom w:val="single" w:sz="12" w:space="0" w:color="C00000"/>
          <w:right w:val="single" w:sz="12" w:space="4" w:color="C00000"/>
        </w:pBdr>
        <w:jc w:val="cente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Default="00373DE2" w:rsidP="00996A6E">
      <w:pPr>
        <w:jc w:val="center"/>
        <w:rPr>
          <w:b/>
          <w:noProof/>
          <w:lang w:eastAsia="en-ZA"/>
        </w:rPr>
      </w:pPr>
    </w:p>
    <w:p w:rsidR="00373DE2" w:rsidRPr="00FE15C7" w:rsidRDefault="00FE15C7" w:rsidP="00FE15C7">
      <w:pPr>
        <w:pStyle w:val="NoSpacing"/>
        <w:rPr>
          <w:rFonts w:ascii="Lucida Sans Unicode" w:hAnsi="Lucida Sans Unicode" w:cs="Lucida Sans Unicode"/>
          <w:b/>
          <w:noProof/>
          <w:sz w:val="28"/>
          <w:szCs w:val="28"/>
        </w:rPr>
      </w:pPr>
      <w:r w:rsidRPr="00FE15C7">
        <w:rPr>
          <w:rFonts w:ascii="Lucida Sans Unicode" w:hAnsi="Lucida Sans Unicode" w:cs="Lucida Sans Unicode"/>
          <w:b/>
          <w:noProof/>
          <w:sz w:val="28"/>
          <w:szCs w:val="28"/>
        </w:rPr>
        <w:t>Table of Contents</w:t>
      </w:r>
    </w:p>
    <w:p w:rsidR="00373DE2" w:rsidRDefault="00373DE2" w:rsidP="00996A6E">
      <w:pPr>
        <w:jc w:val="center"/>
        <w:rPr>
          <w:b/>
          <w:noProof/>
          <w:lang w:eastAsia="en-ZA"/>
        </w:rPr>
      </w:pPr>
    </w:p>
    <w:p w:rsidR="00996A6E" w:rsidRDefault="00996A6E" w:rsidP="00996A6E">
      <w:pPr>
        <w:jc w:val="center"/>
      </w:pPr>
      <w:r w:rsidRPr="001A113A">
        <w:rPr>
          <w:b/>
          <w:noProof/>
          <w:lang w:eastAsia="en-ZA"/>
        </w:rPr>
        <w:t xml:space="preserve">         </w:t>
      </w:r>
    </w:p>
    <w:p w:rsidR="00A67DCC" w:rsidRDefault="00373DE2">
      <w:pPr>
        <w:pStyle w:val="TOC1"/>
        <w:tabs>
          <w:tab w:val="right" w:leader="dot" w:pos="9628"/>
        </w:tabs>
        <w:rPr>
          <w:rFonts w:eastAsia="Times New Roman"/>
          <w:b w:val="0"/>
          <w:bCs w:val="0"/>
          <w:caps w:val="0"/>
          <w:noProof/>
          <w:sz w:val="22"/>
          <w:szCs w:val="22"/>
          <w:lang w:eastAsia="en-GB"/>
        </w:rPr>
      </w:pPr>
      <w:r>
        <w:rPr>
          <w:caps w:val="0"/>
        </w:rPr>
        <w:fldChar w:fldCharType="begin"/>
      </w:r>
      <w:r>
        <w:rPr>
          <w:caps w:val="0"/>
        </w:rPr>
        <w:instrText xml:space="preserve"> TOC \o \h \z \u </w:instrText>
      </w:r>
      <w:r>
        <w:rPr>
          <w:caps w:val="0"/>
        </w:rPr>
        <w:fldChar w:fldCharType="separate"/>
      </w:r>
      <w:hyperlink w:anchor="_Toc331783558" w:history="1">
        <w:r w:rsidR="00A67DCC" w:rsidRPr="00845701">
          <w:rPr>
            <w:rStyle w:val="Hyperlink"/>
            <w:noProof/>
          </w:rPr>
          <w:t>Acknowledgments</w:t>
        </w:r>
        <w:r w:rsidR="00A67DCC">
          <w:rPr>
            <w:noProof/>
            <w:webHidden/>
          </w:rPr>
          <w:tab/>
        </w:r>
        <w:r w:rsidR="00A67DCC">
          <w:rPr>
            <w:noProof/>
            <w:webHidden/>
          </w:rPr>
          <w:fldChar w:fldCharType="begin"/>
        </w:r>
        <w:r w:rsidR="00A67DCC">
          <w:rPr>
            <w:noProof/>
            <w:webHidden/>
          </w:rPr>
          <w:instrText xml:space="preserve"> PAGEREF _Toc331783558 \h </w:instrText>
        </w:r>
        <w:r w:rsidR="00A67DCC">
          <w:rPr>
            <w:noProof/>
            <w:webHidden/>
          </w:rPr>
        </w:r>
        <w:r w:rsidR="00A67DCC">
          <w:rPr>
            <w:noProof/>
            <w:webHidden/>
          </w:rPr>
          <w:fldChar w:fldCharType="separate"/>
        </w:r>
        <w:r w:rsidR="00A67DCC">
          <w:rPr>
            <w:noProof/>
            <w:webHidden/>
          </w:rPr>
          <w:t>3</w:t>
        </w:r>
        <w:r w:rsidR="00A67DCC">
          <w:rPr>
            <w:noProof/>
            <w:webHidden/>
          </w:rPr>
          <w:fldChar w:fldCharType="end"/>
        </w:r>
      </w:hyperlink>
    </w:p>
    <w:p w:rsidR="00A67DCC" w:rsidRDefault="00A67DCC">
      <w:pPr>
        <w:pStyle w:val="TOC1"/>
        <w:tabs>
          <w:tab w:val="right" w:leader="dot" w:pos="9628"/>
        </w:tabs>
        <w:rPr>
          <w:rFonts w:eastAsia="Times New Roman"/>
          <w:b w:val="0"/>
          <w:bCs w:val="0"/>
          <w:caps w:val="0"/>
          <w:noProof/>
          <w:sz w:val="22"/>
          <w:szCs w:val="22"/>
          <w:lang w:eastAsia="en-GB"/>
        </w:rPr>
      </w:pPr>
      <w:hyperlink w:anchor="_Toc331783559" w:history="1">
        <w:r w:rsidRPr="00845701">
          <w:rPr>
            <w:rStyle w:val="Hyperlink"/>
            <w:noProof/>
          </w:rPr>
          <w:t>Executive Summary</w:t>
        </w:r>
        <w:r>
          <w:rPr>
            <w:noProof/>
            <w:webHidden/>
          </w:rPr>
          <w:tab/>
        </w:r>
        <w:r>
          <w:rPr>
            <w:noProof/>
            <w:webHidden/>
          </w:rPr>
          <w:fldChar w:fldCharType="begin"/>
        </w:r>
        <w:r>
          <w:rPr>
            <w:noProof/>
            <w:webHidden/>
          </w:rPr>
          <w:instrText xml:space="preserve"> PAGEREF _Toc331783559 \h </w:instrText>
        </w:r>
        <w:r>
          <w:rPr>
            <w:noProof/>
            <w:webHidden/>
          </w:rPr>
        </w:r>
        <w:r>
          <w:rPr>
            <w:noProof/>
            <w:webHidden/>
          </w:rPr>
          <w:fldChar w:fldCharType="separate"/>
        </w:r>
        <w:r>
          <w:rPr>
            <w:noProof/>
            <w:webHidden/>
          </w:rPr>
          <w:t>4</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0" w:history="1">
        <w:r w:rsidRPr="00845701">
          <w:rPr>
            <w:rStyle w:val="Hyperlink"/>
            <w:noProof/>
          </w:rPr>
          <w:t>1.</w:t>
        </w:r>
        <w:r>
          <w:rPr>
            <w:rFonts w:eastAsia="Times New Roman"/>
            <w:b w:val="0"/>
            <w:bCs w:val="0"/>
            <w:caps w:val="0"/>
            <w:noProof/>
            <w:sz w:val="22"/>
            <w:szCs w:val="22"/>
            <w:lang w:eastAsia="en-GB"/>
          </w:rPr>
          <w:tab/>
        </w:r>
        <w:r w:rsidRPr="00845701">
          <w:rPr>
            <w:rStyle w:val="Hyperlink"/>
            <w:noProof/>
          </w:rPr>
          <w:t>Introduction</w:t>
        </w:r>
        <w:r>
          <w:rPr>
            <w:noProof/>
            <w:webHidden/>
          </w:rPr>
          <w:tab/>
        </w:r>
        <w:r>
          <w:rPr>
            <w:noProof/>
            <w:webHidden/>
          </w:rPr>
          <w:fldChar w:fldCharType="begin"/>
        </w:r>
        <w:r>
          <w:rPr>
            <w:noProof/>
            <w:webHidden/>
          </w:rPr>
          <w:instrText xml:space="preserve"> PAGEREF _Toc331783560 \h </w:instrText>
        </w:r>
        <w:r>
          <w:rPr>
            <w:noProof/>
            <w:webHidden/>
          </w:rPr>
        </w:r>
        <w:r>
          <w:rPr>
            <w:noProof/>
            <w:webHidden/>
          </w:rPr>
          <w:fldChar w:fldCharType="separate"/>
        </w:r>
        <w:r>
          <w:rPr>
            <w:noProof/>
            <w:webHidden/>
          </w:rPr>
          <w:t>6</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1" w:history="1">
        <w:r w:rsidRPr="00845701">
          <w:rPr>
            <w:rStyle w:val="Hyperlink"/>
            <w:noProof/>
          </w:rPr>
          <w:t>2.</w:t>
        </w:r>
        <w:r>
          <w:rPr>
            <w:rFonts w:eastAsia="Times New Roman"/>
            <w:b w:val="0"/>
            <w:bCs w:val="0"/>
            <w:caps w:val="0"/>
            <w:noProof/>
            <w:sz w:val="22"/>
            <w:szCs w:val="22"/>
            <w:lang w:eastAsia="en-GB"/>
          </w:rPr>
          <w:tab/>
        </w:r>
        <w:r w:rsidRPr="00845701">
          <w:rPr>
            <w:rStyle w:val="Hyperlink"/>
            <w:noProof/>
          </w:rPr>
          <w:t>Sustainable water development and critical mass of capacity</w:t>
        </w:r>
        <w:r>
          <w:rPr>
            <w:noProof/>
            <w:webHidden/>
          </w:rPr>
          <w:tab/>
        </w:r>
        <w:r>
          <w:rPr>
            <w:noProof/>
            <w:webHidden/>
          </w:rPr>
          <w:fldChar w:fldCharType="begin"/>
        </w:r>
        <w:r>
          <w:rPr>
            <w:noProof/>
            <w:webHidden/>
          </w:rPr>
          <w:instrText xml:space="preserve"> PAGEREF _Toc331783561 \h </w:instrText>
        </w:r>
        <w:r>
          <w:rPr>
            <w:noProof/>
            <w:webHidden/>
          </w:rPr>
        </w:r>
        <w:r>
          <w:rPr>
            <w:noProof/>
            <w:webHidden/>
          </w:rPr>
          <w:fldChar w:fldCharType="separate"/>
        </w:r>
        <w:r>
          <w:rPr>
            <w:noProof/>
            <w:webHidden/>
          </w:rPr>
          <w:t>7</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2" w:history="1">
        <w:r w:rsidRPr="00845701">
          <w:rPr>
            <w:rStyle w:val="Hyperlink"/>
            <w:noProof/>
          </w:rPr>
          <w:t>3.</w:t>
        </w:r>
        <w:r>
          <w:rPr>
            <w:rFonts w:eastAsia="Times New Roman"/>
            <w:b w:val="0"/>
            <w:bCs w:val="0"/>
            <w:caps w:val="0"/>
            <w:noProof/>
            <w:sz w:val="22"/>
            <w:szCs w:val="22"/>
            <w:lang w:eastAsia="en-GB"/>
          </w:rPr>
          <w:tab/>
        </w:r>
        <w:r w:rsidRPr="00845701">
          <w:rPr>
            <w:rStyle w:val="Hyperlink"/>
            <w:noProof/>
          </w:rPr>
          <w:t>ACP-EU Water Partnerships: Institutional features</w:t>
        </w:r>
        <w:r>
          <w:rPr>
            <w:noProof/>
            <w:webHidden/>
          </w:rPr>
          <w:tab/>
        </w:r>
        <w:r>
          <w:rPr>
            <w:noProof/>
            <w:webHidden/>
          </w:rPr>
          <w:fldChar w:fldCharType="begin"/>
        </w:r>
        <w:r>
          <w:rPr>
            <w:noProof/>
            <w:webHidden/>
          </w:rPr>
          <w:instrText xml:space="preserve"> PAGEREF _Toc331783562 \h </w:instrText>
        </w:r>
        <w:r>
          <w:rPr>
            <w:noProof/>
            <w:webHidden/>
          </w:rPr>
        </w:r>
        <w:r>
          <w:rPr>
            <w:noProof/>
            <w:webHidden/>
          </w:rPr>
          <w:fldChar w:fldCharType="separate"/>
        </w:r>
        <w:r>
          <w:rPr>
            <w:noProof/>
            <w:webHidden/>
          </w:rPr>
          <w:t>8</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63" w:history="1">
        <w:r w:rsidRPr="00845701">
          <w:rPr>
            <w:rStyle w:val="Hyperlink"/>
            <w:noProof/>
          </w:rPr>
          <w:t>3.1</w:t>
        </w:r>
        <w:r>
          <w:rPr>
            <w:rFonts w:eastAsia="Times New Roman"/>
            <w:smallCaps w:val="0"/>
            <w:noProof/>
            <w:sz w:val="22"/>
            <w:szCs w:val="22"/>
            <w:lang w:eastAsia="en-GB"/>
          </w:rPr>
          <w:tab/>
        </w:r>
        <w:r w:rsidRPr="00845701">
          <w:rPr>
            <w:rStyle w:val="Hyperlink"/>
            <w:noProof/>
          </w:rPr>
          <w:t>Eligibility criteria</w:t>
        </w:r>
        <w:r>
          <w:rPr>
            <w:noProof/>
            <w:webHidden/>
          </w:rPr>
          <w:tab/>
        </w:r>
        <w:r>
          <w:rPr>
            <w:noProof/>
            <w:webHidden/>
          </w:rPr>
          <w:fldChar w:fldCharType="begin"/>
        </w:r>
        <w:r>
          <w:rPr>
            <w:noProof/>
            <w:webHidden/>
          </w:rPr>
          <w:instrText xml:space="preserve"> PAGEREF _Toc331783563 \h </w:instrText>
        </w:r>
        <w:r>
          <w:rPr>
            <w:noProof/>
            <w:webHidden/>
          </w:rPr>
        </w:r>
        <w:r>
          <w:rPr>
            <w:noProof/>
            <w:webHidden/>
          </w:rPr>
          <w:fldChar w:fldCharType="separate"/>
        </w:r>
        <w:r>
          <w:rPr>
            <w:noProof/>
            <w:webHidden/>
          </w:rPr>
          <w:t>8</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64" w:history="1">
        <w:r w:rsidRPr="00845701">
          <w:rPr>
            <w:rStyle w:val="Hyperlink"/>
            <w:noProof/>
          </w:rPr>
          <w:t>3.2</w:t>
        </w:r>
        <w:r>
          <w:rPr>
            <w:rFonts w:eastAsia="Times New Roman"/>
            <w:smallCaps w:val="0"/>
            <w:noProof/>
            <w:sz w:val="22"/>
            <w:szCs w:val="22"/>
            <w:lang w:eastAsia="en-GB"/>
          </w:rPr>
          <w:tab/>
        </w:r>
        <w:r w:rsidRPr="00845701">
          <w:rPr>
            <w:rStyle w:val="Hyperlink"/>
            <w:noProof/>
          </w:rPr>
          <w:t>The selection procedure</w:t>
        </w:r>
        <w:r>
          <w:rPr>
            <w:noProof/>
            <w:webHidden/>
          </w:rPr>
          <w:tab/>
        </w:r>
        <w:r>
          <w:rPr>
            <w:noProof/>
            <w:webHidden/>
          </w:rPr>
          <w:fldChar w:fldCharType="begin"/>
        </w:r>
        <w:r>
          <w:rPr>
            <w:noProof/>
            <w:webHidden/>
          </w:rPr>
          <w:instrText xml:space="preserve"> PAGEREF _Toc331783564 \h </w:instrText>
        </w:r>
        <w:r>
          <w:rPr>
            <w:noProof/>
            <w:webHidden/>
          </w:rPr>
        </w:r>
        <w:r>
          <w:rPr>
            <w:noProof/>
            <w:webHidden/>
          </w:rPr>
          <w:fldChar w:fldCharType="separate"/>
        </w:r>
        <w:r>
          <w:rPr>
            <w:noProof/>
            <w:webHidden/>
          </w:rPr>
          <w:t>9</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5" w:history="1">
        <w:r w:rsidRPr="00845701">
          <w:rPr>
            <w:rStyle w:val="Hyperlink"/>
            <w:noProof/>
          </w:rPr>
          <w:t>4.</w:t>
        </w:r>
        <w:r>
          <w:rPr>
            <w:rFonts w:eastAsia="Times New Roman"/>
            <w:b w:val="0"/>
            <w:bCs w:val="0"/>
            <w:caps w:val="0"/>
            <w:noProof/>
            <w:sz w:val="22"/>
            <w:szCs w:val="22"/>
            <w:lang w:eastAsia="en-GB"/>
          </w:rPr>
          <w:tab/>
        </w:r>
        <w:r w:rsidRPr="00845701">
          <w:rPr>
            <w:rStyle w:val="Hyperlink"/>
            <w:noProof/>
          </w:rPr>
          <w:t>ACP-EU Water Partnerships: Overview of successful applications</w:t>
        </w:r>
        <w:r>
          <w:rPr>
            <w:noProof/>
            <w:webHidden/>
          </w:rPr>
          <w:tab/>
        </w:r>
        <w:r>
          <w:rPr>
            <w:noProof/>
            <w:webHidden/>
          </w:rPr>
          <w:fldChar w:fldCharType="begin"/>
        </w:r>
        <w:r>
          <w:rPr>
            <w:noProof/>
            <w:webHidden/>
          </w:rPr>
          <w:instrText xml:space="preserve"> PAGEREF _Toc331783565 \h </w:instrText>
        </w:r>
        <w:r>
          <w:rPr>
            <w:noProof/>
            <w:webHidden/>
          </w:rPr>
        </w:r>
        <w:r>
          <w:rPr>
            <w:noProof/>
            <w:webHidden/>
          </w:rPr>
          <w:fldChar w:fldCharType="separate"/>
        </w:r>
        <w:r>
          <w:rPr>
            <w:noProof/>
            <w:webHidden/>
          </w:rPr>
          <w:t>10</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6" w:history="1">
        <w:r w:rsidRPr="00845701">
          <w:rPr>
            <w:rStyle w:val="Hyperlink"/>
            <w:noProof/>
          </w:rPr>
          <w:t>5.</w:t>
        </w:r>
        <w:r>
          <w:rPr>
            <w:rFonts w:eastAsia="Times New Roman"/>
            <w:b w:val="0"/>
            <w:bCs w:val="0"/>
            <w:caps w:val="0"/>
            <w:noProof/>
            <w:sz w:val="22"/>
            <w:szCs w:val="22"/>
            <w:lang w:eastAsia="en-GB"/>
          </w:rPr>
          <w:tab/>
        </w:r>
        <w:r w:rsidRPr="00845701">
          <w:rPr>
            <w:rStyle w:val="Hyperlink"/>
            <w:noProof/>
          </w:rPr>
          <w:t>ACP-EU Water Partnerships: Expected impact of successful applications</w:t>
        </w:r>
        <w:r>
          <w:rPr>
            <w:noProof/>
            <w:webHidden/>
          </w:rPr>
          <w:tab/>
        </w:r>
        <w:r>
          <w:rPr>
            <w:noProof/>
            <w:webHidden/>
          </w:rPr>
          <w:fldChar w:fldCharType="begin"/>
        </w:r>
        <w:r>
          <w:rPr>
            <w:noProof/>
            <w:webHidden/>
          </w:rPr>
          <w:instrText xml:space="preserve"> PAGEREF _Toc331783566 \h </w:instrText>
        </w:r>
        <w:r>
          <w:rPr>
            <w:noProof/>
            <w:webHidden/>
          </w:rPr>
        </w:r>
        <w:r>
          <w:rPr>
            <w:noProof/>
            <w:webHidden/>
          </w:rPr>
          <w:fldChar w:fldCharType="separate"/>
        </w:r>
        <w:r>
          <w:rPr>
            <w:noProof/>
            <w:webHidden/>
          </w:rPr>
          <w:t>10</w:t>
        </w:r>
        <w:r>
          <w:rPr>
            <w:noProof/>
            <w:webHidden/>
          </w:rPr>
          <w:fldChar w:fldCharType="end"/>
        </w:r>
      </w:hyperlink>
    </w:p>
    <w:p w:rsidR="00A67DCC" w:rsidRDefault="00A67DCC">
      <w:pPr>
        <w:pStyle w:val="TOC7"/>
        <w:tabs>
          <w:tab w:val="left" w:pos="2117"/>
          <w:tab w:val="right" w:leader="dot" w:pos="9628"/>
        </w:tabs>
        <w:rPr>
          <w:rFonts w:eastAsia="Times New Roman"/>
          <w:noProof/>
          <w:sz w:val="22"/>
          <w:szCs w:val="22"/>
          <w:lang w:eastAsia="en-GB"/>
        </w:rPr>
      </w:pPr>
      <w:hyperlink w:anchor="_Toc331783567" w:history="1">
        <w:r w:rsidRPr="00845701">
          <w:rPr>
            <w:rStyle w:val="Hyperlink"/>
            <w:noProof/>
          </w:rPr>
          <w:t>Table 1.</w:t>
        </w:r>
        <w:r>
          <w:rPr>
            <w:rFonts w:eastAsia="Times New Roman"/>
            <w:noProof/>
            <w:sz w:val="22"/>
            <w:szCs w:val="22"/>
            <w:lang w:eastAsia="en-GB"/>
          </w:rPr>
          <w:tab/>
        </w:r>
        <w:r w:rsidRPr="00845701">
          <w:rPr>
            <w:rStyle w:val="Hyperlink"/>
            <w:noProof/>
          </w:rPr>
          <w:t>Expected impact of ACP-EU Water Partnerships</w:t>
        </w:r>
        <w:r>
          <w:rPr>
            <w:noProof/>
            <w:webHidden/>
          </w:rPr>
          <w:tab/>
        </w:r>
        <w:r>
          <w:rPr>
            <w:noProof/>
            <w:webHidden/>
          </w:rPr>
          <w:fldChar w:fldCharType="begin"/>
        </w:r>
        <w:r>
          <w:rPr>
            <w:noProof/>
            <w:webHidden/>
          </w:rPr>
          <w:instrText xml:space="preserve"> PAGEREF _Toc331783567 \h </w:instrText>
        </w:r>
        <w:r>
          <w:rPr>
            <w:noProof/>
            <w:webHidden/>
          </w:rPr>
        </w:r>
        <w:r>
          <w:rPr>
            <w:noProof/>
            <w:webHidden/>
          </w:rPr>
          <w:fldChar w:fldCharType="separate"/>
        </w:r>
        <w:r>
          <w:rPr>
            <w:noProof/>
            <w:webHidden/>
          </w:rPr>
          <w:t>11</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68" w:history="1">
        <w:r w:rsidRPr="00845701">
          <w:rPr>
            <w:rStyle w:val="Hyperlink"/>
            <w:noProof/>
          </w:rPr>
          <w:t>6.</w:t>
        </w:r>
        <w:r>
          <w:rPr>
            <w:rFonts w:eastAsia="Times New Roman"/>
            <w:b w:val="0"/>
            <w:bCs w:val="0"/>
            <w:caps w:val="0"/>
            <w:noProof/>
            <w:sz w:val="22"/>
            <w:szCs w:val="22"/>
            <w:lang w:eastAsia="en-GB"/>
          </w:rPr>
          <w:tab/>
        </w:r>
        <w:r w:rsidRPr="00845701">
          <w:rPr>
            <w:rStyle w:val="Hyperlink"/>
            <w:noProof/>
          </w:rPr>
          <w:t>ACP-EU Water Partnerships: Fostering the impact of action</w:t>
        </w:r>
        <w:r>
          <w:rPr>
            <w:noProof/>
            <w:webHidden/>
          </w:rPr>
          <w:tab/>
        </w:r>
        <w:r>
          <w:rPr>
            <w:noProof/>
            <w:webHidden/>
          </w:rPr>
          <w:fldChar w:fldCharType="begin"/>
        </w:r>
        <w:r>
          <w:rPr>
            <w:noProof/>
            <w:webHidden/>
          </w:rPr>
          <w:instrText xml:space="preserve"> PAGEREF _Toc331783568 \h </w:instrText>
        </w:r>
        <w:r>
          <w:rPr>
            <w:noProof/>
            <w:webHidden/>
          </w:rPr>
        </w:r>
        <w:r>
          <w:rPr>
            <w:noProof/>
            <w:webHidden/>
          </w:rPr>
          <w:fldChar w:fldCharType="separate"/>
        </w:r>
        <w:r>
          <w:rPr>
            <w:noProof/>
            <w:webHidden/>
          </w:rPr>
          <w:t>11</w:t>
        </w:r>
        <w:r>
          <w:rPr>
            <w:noProof/>
            <w:webHidden/>
          </w:rPr>
          <w:fldChar w:fldCharType="end"/>
        </w:r>
      </w:hyperlink>
    </w:p>
    <w:p w:rsidR="00A67DCC" w:rsidRDefault="00A67DCC">
      <w:pPr>
        <w:pStyle w:val="TOC7"/>
        <w:tabs>
          <w:tab w:val="left" w:pos="2117"/>
          <w:tab w:val="right" w:leader="dot" w:pos="9628"/>
        </w:tabs>
        <w:rPr>
          <w:rFonts w:eastAsia="Times New Roman"/>
          <w:noProof/>
          <w:sz w:val="22"/>
          <w:szCs w:val="22"/>
          <w:lang w:eastAsia="en-GB"/>
        </w:rPr>
      </w:pPr>
      <w:hyperlink w:anchor="_Toc331783569" w:history="1">
        <w:r w:rsidRPr="00845701">
          <w:rPr>
            <w:rStyle w:val="Hyperlink"/>
            <w:noProof/>
          </w:rPr>
          <w:t>Table 2.</w:t>
        </w:r>
        <w:r>
          <w:rPr>
            <w:rFonts w:eastAsia="Times New Roman"/>
            <w:noProof/>
            <w:sz w:val="22"/>
            <w:szCs w:val="22"/>
            <w:lang w:eastAsia="en-GB"/>
          </w:rPr>
          <w:tab/>
        </w:r>
        <w:r w:rsidRPr="00845701">
          <w:rPr>
            <w:rStyle w:val="Hyperlink"/>
            <w:noProof/>
          </w:rPr>
          <w:t>Alignment of institutional characteristics of ACP-EU Water Partnerships</w:t>
        </w:r>
        <w:r>
          <w:rPr>
            <w:noProof/>
            <w:webHidden/>
          </w:rPr>
          <w:tab/>
        </w:r>
        <w:r>
          <w:rPr>
            <w:noProof/>
            <w:webHidden/>
          </w:rPr>
          <w:fldChar w:fldCharType="begin"/>
        </w:r>
        <w:r>
          <w:rPr>
            <w:noProof/>
            <w:webHidden/>
          </w:rPr>
          <w:instrText xml:space="preserve"> PAGEREF _Toc331783569 \h </w:instrText>
        </w:r>
        <w:r>
          <w:rPr>
            <w:noProof/>
            <w:webHidden/>
          </w:rPr>
        </w:r>
        <w:r>
          <w:rPr>
            <w:noProof/>
            <w:webHidden/>
          </w:rPr>
          <w:fldChar w:fldCharType="separate"/>
        </w:r>
        <w:r>
          <w:rPr>
            <w:noProof/>
            <w:webHidden/>
          </w:rPr>
          <w:t>14</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70" w:history="1">
        <w:r w:rsidRPr="00845701">
          <w:rPr>
            <w:rStyle w:val="Hyperlink"/>
            <w:noProof/>
          </w:rPr>
          <w:t>7.</w:t>
        </w:r>
        <w:r>
          <w:rPr>
            <w:rFonts w:eastAsia="Times New Roman"/>
            <w:b w:val="0"/>
            <w:bCs w:val="0"/>
            <w:caps w:val="0"/>
            <w:noProof/>
            <w:sz w:val="22"/>
            <w:szCs w:val="22"/>
            <w:lang w:eastAsia="en-GB"/>
          </w:rPr>
          <w:tab/>
        </w:r>
        <w:r w:rsidRPr="00845701">
          <w:rPr>
            <w:rStyle w:val="Hyperlink"/>
            <w:noProof/>
          </w:rPr>
          <w:t>Other international programmes supporting not-for-profit partnerships for capacity development in the water and sanitation sector</w:t>
        </w:r>
        <w:r>
          <w:rPr>
            <w:noProof/>
            <w:webHidden/>
          </w:rPr>
          <w:tab/>
        </w:r>
        <w:r>
          <w:rPr>
            <w:noProof/>
            <w:webHidden/>
          </w:rPr>
          <w:fldChar w:fldCharType="begin"/>
        </w:r>
        <w:r>
          <w:rPr>
            <w:noProof/>
            <w:webHidden/>
          </w:rPr>
          <w:instrText xml:space="preserve"> PAGEREF _Toc331783570 \h </w:instrText>
        </w:r>
        <w:r>
          <w:rPr>
            <w:noProof/>
            <w:webHidden/>
          </w:rPr>
        </w:r>
        <w:r>
          <w:rPr>
            <w:noProof/>
            <w:webHidden/>
          </w:rPr>
          <w:fldChar w:fldCharType="separate"/>
        </w:r>
        <w:r>
          <w:rPr>
            <w:noProof/>
            <w:webHidden/>
          </w:rPr>
          <w:t>14</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71" w:history="1">
        <w:r w:rsidRPr="00845701">
          <w:rPr>
            <w:rStyle w:val="Hyperlink"/>
            <w:noProof/>
          </w:rPr>
          <w:t>7.1</w:t>
        </w:r>
        <w:r>
          <w:rPr>
            <w:rFonts w:eastAsia="Times New Roman"/>
            <w:smallCaps w:val="0"/>
            <w:noProof/>
            <w:sz w:val="22"/>
            <w:szCs w:val="22"/>
            <w:lang w:eastAsia="en-GB"/>
          </w:rPr>
          <w:tab/>
        </w:r>
        <w:r w:rsidRPr="00845701">
          <w:rPr>
            <w:rStyle w:val="Hyperlink"/>
            <w:noProof/>
          </w:rPr>
          <w:t>WOP-Africa</w:t>
        </w:r>
        <w:r>
          <w:rPr>
            <w:noProof/>
            <w:webHidden/>
          </w:rPr>
          <w:tab/>
        </w:r>
        <w:r>
          <w:rPr>
            <w:noProof/>
            <w:webHidden/>
          </w:rPr>
          <w:fldChar w:fldCharType="begin"/>
        </w:r>
        <w:r>
          <w:rPr>
            <w:noProof/>
            <w:webHidden/>
          </w:rPr>
          <w:instrText xml:space="preserve"> PAGEREF _Toc331783571 \h </w:instrText>
        </w:r>
        <w:r>
          <w:rPr>
            <w:noProof/>
            <w:webHidden/>
          </w:rPr>
        </w:r>
        <w:r>
          <w:rPr>
            <w:noProof/>
            <w:webHidden/>
          </w:rPr>
          <w:fldChar w:fldCharType="separate"/>
        </w:r>
        <w:r>
          <w:rPr>
            <w:noProof/>
            <w:webHidden/>
          </w:rPr>
          <w:t>15</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72" w:history="1">
        <w:r w:rsidRPr="00845701">
          <w:rPr>
            <w:rStyle w:val="Hyperlink"/>
            <w:noProof/>
            <w:lang w:eastAsia="en-GB"/>
          </w:rPr>
          <w:t>7.2</w:t>
        </w:r>
        <w:r>
          <w:rPr>
            <w:rFonts w:eastAsia="Times New Roman"/>
            <w:smallCaps w:val="0"/>
            <w:noProof/>
            <w:sz w:val="22"/>
            <w:szCs w:val="22"/>
            <w:lang w:eastAsia="en-GB"/>
          </w:rPr>
          <w:tab/>
        </w:r>
        <w:r w:rsidRPr="00845701">
          <w:rPr>
            <w:rStyle w:val="Hyperlink"/>
            <w:noProof/>
            <w:lang w:eastAsia="en-GB"/>
          </w:rPr>
          <w:t>WOP-LAC</w:t>
        </w:r>
        <w:r>
          <w:rPr>
            <w:noProof/>
            <w:webHidden/>
          </w:rPr>
          <w:tab/>
        </w:r>
        <w:r>
          <w:rPr>
            <w:noProof/>
            <w:webHidden/>
          </w:rPr>
          <w:fldChar w:fldCharType="begin"/>
        </w:r>
        <w:r>
          <w:rPr>
            <w:noProof/>
            <w:webHidden/>
          </w:rPr>
          <w:instrText xml:space="preserve"> PAGEREF _Toc331783572 \h </w:instrText>
        </w:r>
        <w:r>
          <w:rPr>
            <w:noProof/>
            <w:webHidden/>
          </w:rPr>
        </w:r>
        <w:r>
          <w:rPr>
            <w:noProof/>
            <w:webHidden/>
          </w:rPr>
          <w:fldChar w:fldCharType="separate"/>
        </w:r>
        <w:r>
          <w:rPr>
            <w:noProof/>
            <w:webHidden/>
          </w:rPr>
          <w:t>16</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73" w:history="1">
        <w:r w:rsidRPr="00845701">
          <w:rPr>
            <w:rStyle w:val="Hyperlink"/>
            <w:noProof/>
          </w:rPr>
          <w:t>7.3</w:t>
        </w:r>
        <w:r>
          <w:rPr>
            <w:rFonts w:eastAsia="Times New Roman"/>
            <w:smallCaps w:val="0"/>
            <w:noProof/>
            <w:sz w:val="22"/>
            <w:szCs w:val="22"/>
            <w:lang w:eastAsia="en-GB"/>
          </w:rPr>
          <w:tab/>
        </w:r>
        <w:r w:rsidRPr="00845701">
          <w:rPr>
            <w:rStyle w:val="Hyperlink"/>
            <w:noProof/>
          </w:rPr>
          <w:t>WaterLinks</w:t>
        </w:r>
        <w:r>
          <w:rPr>
            <w:noProof/>
            <w:webHidden/>
          </w:rPr>
          <w:tab/>
        </w:r>
        <w:r>
          <w:rPr>
            <w:noProof/>
            <w:webHidden/>
          </w:rPr>
          <w:fldChar w:fldCharType="begin"/>
        </w:r>
        <w:r>
          <w:rPr>
            <w:noProof/>
            <w:webHidden/>
          </w:rPr>
          <w:instrText xml:space="preserve"> PAGEREF _Toc331783573 \h </w:instrText>
        </w:r>
        <w:r>
          <w:rPr>
            <w:noProof/>
            <w:webHidden/>
          </w:rPr>
        </w:r>
        <w:r>
          <w:rPr>
            <w:noProof/>
            <w:webHidden/>
          </w:rPr>
          <w:fldChar w:fldCharType="separate"/>
        </w:r>
        <w:r>
          <w:rPr>
            <w:noProof/>
            <w:webHidden/>
          </w:rPr>
          <w:t>16</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74" w:history="1">
        <w:r w:rsidRPr="00845701">
          <w:rPr>
            <w:rStyle w:val="Hyperlink"/>
            <w:noProof/>
            <w:lang w:eastAsia="en-GB"/>
          </w:rPr>
          <w:t>7.4</w:t>
        </w:r>
        <w:r>
          <w:rPr>
            <w:rFonts w:eastAsia="Times New Roman"/>
            <w:smallCaps w:val="0"/>
            <w:noProof/>
            <w:sz w:val="22"/>
            <w:szCs w:val="22"/>
            <w:lang w:eastAsia="en-GB"/>
          </w:rPr>
          <w:tab/>
        </w:r>
        <w:r w:rsidRPr="00845701">
          <w:rPr>
            <w:rStyle w:val="Hyperlink"/>
            <w:noProof/>
            <w:lang w:eastAsia="en-GB"/>
          </w:rPr>
          <w:t>WOP-SEE</w:t>
        </w:r>
        <w:r>
          <w:rPr>
            <w:noProof/>
            <w:webHidden/>
          </w:rPr>
          <w:tab/>
        </w:r>
        <w:r>
          <w:rPr>
            <w:noProof/>
            <w:webHidden/>
          </w:rPr>
          <w:fldChar w:fldCharType="begin"/>
        </w:r>
        <w:r>
          <w:rPr>
            <w:noProof/>
            <w:webHidden/>
          </w:rPr>
          <w:instrText xml:space="preserve"> PAGEREF _Toc331783574 \h </w:instrText>
        </w:r>
        <w:r>
          <w:rPr>
            <w:noProof/>
            <w:webHidden/>
          </w:rPr>
        </w:r>
        <w:r>
          <w:rPr>
            <w:noProof/>
            <w:webHidden/>
          </w:rPr>
          <w:fldChar w:fldCharType="separate"/>
        </w:r>
        <w:r>
          <w:rPr>
            <w:noProof/>
            <w:webHidden/>
          </w:rPr>
          <w:t>17</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75" w:history="1">
        <w:r w:rsidRPr="00845701">
          <w:rPr>
            <w:rStyle w:val="Hyperlink"/>
            <w:noProof/>
          </w:rPr>
          <w:t>8.</w:t>
        </w:r>
        <w:r>
          <w:rPr>
            <w:rFonts w:eastAsia="Times New Roman"/>
            <w:b w:val="0"/>
            <w:bCs w:val="0"/>
            <w:caps w:val="0"/>
            <w:noProof/>
            <w:sz w:val="22"/>
            <w:szCs w:val="22"/>
            <w:lang w:eastAsia="en-GB"/>
          </w:rPr>
          <w:tab/>
        </w:r>
        <w:r w:rsidRPr="00845701">
          <w:rPr>
            <w:rStyle w:val="Hyperlink"/>
            <w:noProof/>
          </w:rPr>
          <w:t>ACP-EU Water Partnerships and other international programmes of not-for-profit partnerships for capacity development: A comparison of institutional features</w:t>
        </w:r>
        <w:r>
          <w:rPr>
            <w:noProof/>
            <w:webHidden/>
          </w:rPr>
          <w:tab/>
        </w:r>
        <w:r>
          <w:rPr>
            <w:noProof/>
            <w:webHidden/>
          </w:rPr>
          <w:fldChar w:fldCharType="begin"/>
        </w:r>
        <w:r>
          <w:rPr>
            <w:noProof/>
            <w:webHidden/>
          </w:rPr>
          <w:instrText xml:space="preserve"> PAGEREF _Toc331783575 \h </w:instrText>
        </w:r>
        <w:r>
          <w:rPr>
            <w:noProof/>
            <w:webHidden/>
          </w:rPr>
        </w:r>
        <w:r>
          <w:rPr>
            <w:noProof/>
            <w:webHidden/>
          </w:rPr>
          <w:fldChar w:fldCharType="separate"/>
        </w:r>
        <w:r>
          <w:rPr>
            <w:noProof/>
            <w:webHidden/>
          </w:rPr>
          <w:t>17</w:t>
        </w:r>
        <w:r>
          <w:rPr>
            <w:noProof/>
            <w:webHidden/>
          </w:rPr>
          <w:fldChar w:fldCharType="end"/>
        </w:r>
      </w:hyperlink>
    </w:p>
    <w:p w:rsidR="00A67DCC" w:rsidRDefault="00A67DCC">
      <w:pPr>
        <w:pStyle w:val="TOC7"/>
        <w:tabs>
          <w:tab w:val="left" w:pos="2117"/>
          <w:tab w:val="right" w:leader="dot" w:pos="9628"/>
        </w:tabs>
        <w:rPr>
          <w:rFonts w:eastAsia="Times New Roman"/>
          <w:noProof/>
          <w:sz w:val="22"/>
          <w:szCs w:val="22"/>
          <w:lang w:eastAsia="en-GB"/>
        </w:rPr>
      </w:pPr>
      <w:hyperlink w:anchor="_Toc331783576" w:history="1">
        <w:r w:rsidRPr="00845701">
          <w:rPr>
            <w:rStyle w:val="Hyperlink"/>
            <w:noProof/>
          </w:rPr>
          <w:t>Table 3.</w:t>
        </w:r>
        <w:r>
          <w:rPr>
            <w:rFonts w:eastAsia="Times New Roman"/>
            <w:noProof/>
            <w:sz w:val="22"/>
            <w:szCs w:val="22"/>
            <w:lang w:eastAsia="en-GB"/>
          </w:rPr>
          <w:tab/>
        </w:r>
        <w:r w:rsidRPr="00845701">
          <w:rPr>
            <w:rStyle w:val="Hyperlink"/>
            <w:noProof/>
          </w:rPr>
          <w:t>Scope and breadth of international programmes of not-for-profit partnerships for capacity development in the water and sanitation sector</w:t>
        </w:r>
        <w:r>
          <w:rPr>
            <w:noProof/>
            <w:webHidden/>
          </w:rPr>
          <w:tab/>
        </w:r>
        <w:r>
          <w:rPr>
            <w:noProof/>
            <w:webHidden/>
          </w:rPr>
          <w:fldChar w:fldCharType="begin"/>
        </w:r>
        <w:r>
          <w:rPr>
            <w:noProof/>
            <w:webHidden/>
          </w:rPr>
          <w:instrText xml:space="preserve"> PAGEREF _Toc331783576 \h </w:instrText>
        </w:r>
        <w:r>
          <w:rPr>
            <w:noProof/>
            <w:webHidden/>
          </w:rPr>
        </w:r>
        <w:r>
          <w:rPr>
            <w:noProof/>
            <w:webHidden/>
          </w:rPr>
          <w:fldChar w:fldCharType="separate"/>
        </w:r>
        <w:r>
          <w:rPr>
            <w:noProof/>
            <w:webHidden/>
          </w:rPr>
          <w:t>18</w:t>
        </w:r>
        <w:r>
          <w:rPr>
            <w:noProof/>
            <w:webHidden/>
          </w:rPr>
          <w:fldChar w:fldCharType="end"/>
        </w:r>
      </w:hyperlink>
    </w:p>
    <w:p w:rsidR="00A67DCC" w:rsidRDefault="00A67DCC">
      <w:pPr>
        <w:pStyle w:val="TOC7"/>
        <w:tabs>
          <w:tab w:val="left" w:pos="2117"/>
          <w:tab w:val="right" w:leader="dot" w:pos="9628"/>
        </w:tabs>
        <w:rPr>
          <w:rFonts w:eastAsia="Times New Roman"/>
          <w:noProof/>
          <w:sz w:val="22"/>
          <w:szCs w:val="22"/>
          <w:lang w:eastAsia="en-GB"/>
        </w:rPr>
      </w:pPr>
      <w:hyperlink w:anchor="_Toc331783577" w:history="1">
        <w:r w:rsidRPr="00845701">
          <w:rPr>
            <w:rStyle w:val="Hyperlink"/>
            <w:noProof/>
          </w:rPr>
          <w:t>Table 4.</w:t>
        </w:r>
        <w:r>
          <w:rPr>
            <w:rFonts w:eastAsia="Times New Roman"/>
            <w:noProof/>
            <w:sz w:val="22"/>
            <w:szCs w:val="22"/>
            <w:lang w:eastAsia="en-GB"/>
          </w:rPr>
          <w:tab/>
        </w:r>
        <w:r w:rsidRPr="00845701">
          <w:rPr>
            <w:rStyle w:val="Hyperlink"/>
            <w:noProof/>
          </w:rPr>
          <w:t>Resource mobilisation by international programmes of not-for-profit partnerships for capacity development in the water and sanitation sector</w:t>
        </w:r>
        <w:r>
          <w:rPr>
            <w:noProof/>
            <w:webHidden/>
          </w:rPr>
          <w:tab/>
        </w:r>
        <w:r>
          <w:rPr>
            <w:noProof/>
            <w:webHidden/>
          </w:rPr>
          <w:fldChar w:fldCharType="begin"/>
        </w:r>
        <w:r>
          <w:rPr>
            <w:noProof/>
            <w:webHidden/>
          </w:rPr>
          <w:instrText xml:space="preserve"> PAGEREF _Toc331783577 \h </w:instrText>
        </w:r>
        <w:r>
          <w:rPr>
            <w:noProof/>
            <w:webHidden/>
          </w:rPr>
        </w:r>
        <w:r>
          <w:rPr>
            <w:noProof/>
            <w:webHidden/>
          </w:rPr>
          <w:fldChar w:fldCharType="separate"/>
        </w:r>
        <w:r>
          <w:rPr>
            <w:noProof/>
            <w:webHidden/>
          </w:rPr>
          <w:t>19</w:t>
        </w:r>
        <w:r>
          <w:rPr>
            <w:noProof/>
            <w:webHidden/>
          </w:rPr>
          <w:fldChar w:fldCharType="end"/>
        </w:r>
      </w:hyperlink>
    </w:p>
    <w:p w:rsidR="00A67DCC" w:rsidRDefault="00A67DCC">
      <w:pPr>
        <w:pStyle w:val="TOC7"/>
        <w:tabs>
          <w:tab w:val="left" w:pos="2117"/>
          <w:tab w:val="right" w:leader="dot" w:pos="9628"/>
        </w:tabs>
        <w:rPr>
          <w:rFonts w:eastAsia="Times New Roman"/>
          <w:noProof/>
          <w:sz w:val="22"/>
          <w:szCs w:val="22"/>
          <w:lang w:eastAsia="en-GB"/>
        </w:rPr>
      </w:pPr>
      <w:hyperlink w:anchor="_Toc331783578" w:history="1">
        <w:r w:rsidRPr="00845701">
          <w:rPr>
            <w:rStyle w:val="Hyperlink"/>
            <w:noProof/>
          </w:rPr>
          <w:t>Table 5.</w:t>
        </w:r>
        <w:r>
          <w:rPr>
            <w:rFonts w:eastAsia="Times New Roman"/>
            <w:noProof/>
            <w:sz w:val="22"/>
            <w:szCs w:val="22"/>
            <w:lang w:eastAsia="en-GB"/>
          </w:rPr>
          <w:tab/>
        </w:r>
        <w:r w:rsidRPr="00845701">
          <w:rPr>
            <w:rStyle w:val="Hyperlink"/>
            <w:noProof/>
          </w:rPr>
          <w:t>Institutional characteristics of ACP-EU Water Partnerships and Water Operators Partnerships supported by regional platforms</w:t>
        </w:r>
        <w:r>
          <w:rPr>
            <w:noProof/>
            <w:webHidden/>
          </w:rPr>
          <w:tab/>
        </w:r>
        <w:r>
          <w:rPr>
            <w:noProof/>
            <w:webHidden/>
          </w:rPr>
          <w:fldChar w:fldCharType="begin"/>
        </w:r>
        <w:r>
          <w:rPr>
            <w:noProof/>
            <w:webHidden/>
          </w:rPr>
          <w:instrText xml:space="preserve"> PAGEREF _Toc331783578 \h </w:instrText>
        </w:r>
        <w:r>
          <w:rPr>
            <w:noProof/>
            <w:webHidden/>
          </w:rPr>
        </w:r>
        <w:r>
          <w:rPr>
            <w:noProof/>
            <w:webHidden/>
          </w:rPr>
          <w:fldChar w:fldCharType="separate"/>
        </w:r>
        <w:r>
          <w:rPr>
            <w:noProof/>
            <w:webHidden/>
          </w:rPr>
          <w:t>21</w:t>
        </w:r>
        <w:r>
          <w:rPr>
            <w:noProof/>
            <w:webHidden/>
          </w:rPr>
          <w:fldChar w:fldCharType="end"/>
        </w:r>
      </w:hyperlink>
    </w:p>
    <w:p w:rsidR="00A67DCC" w:rsidRDefault="00A67DCC">
      <w:pPr>
        <w:pStyle w:val="TOC1"/>
        <w:tabs>
          <w:tab w:val="left" w:pos="440"/>
          <w:tab w:val="right" w:leader="dot" w:pos="9628"/>
        </w:tabs>
        <w:rPr>
          <w:rFonts w:eastAsia="Times New Roman"/>
          <w:b w:val="0"/>
          <w:bCs w:val="0"/>
          <w:caps w:val="0"/>
          <w:noProof/>
          <w:sz w:val="22"/>
          <w:szCs w:val="22"/>
          <w:lang w:eastAsia="en-GB"/>
        </w:rPr>
      </w:pPr>
      <w:hyperlink w:anchor="_Toc331783579" w:history="1">
        <w:r w:rsidRPr="00845701">
          <w:rPr>
            <w:rStyle w:val="Hyperlink"/>
            <w:noProof/>
          </w:rPr>
          <w:t>9.</w:t>
        </w:r>
        <w:r>
          <w:rPr>
            <w:rFonts w:eastAsia="Times New Roman"/>
            <w:b w:val="0"/>
            <w:bCs w:val="0"/>
            <w:caps w:val="0"/>
            <w:noProof/>
            <w:sz w:val="22"/>
            <w:szCs w:val="22"/>
            <w:lang w:eastAsia="en-GB"/>
          </w:rPr>
          <w:tab/>
        </w:r>
        <w:r w:rsidRPr="00845701">
          <w:rPr>
            <w:rStyle w:val="Hyperlink"/>
            <w:noProof/>
          </w:rPr>
          <w:t>ACP-EU Water Partnerships: a SWOT analysis</w:t>
        </w:r>
        <w:r>
          <w:rPr>
            <w:noProof/>
            <w:webHidden/>
          </w:rPr>
          <w:tab/>
        </w:r>
        <w:r>
          <w:rPr>
            <w:noProof/>
            <w:webHidden/>
          </w:rPr>
          <w:fldChar w:fldCharType="begin"/>
        </w:r>
        <w:r>
          <w:rPr>
            <w:noProof/>
            <w:webHidden/>
          </w:rPr>
          <w:instrText xml:space="preserve"> PAGEREF _Toc331783579 \h </w:instrText>
        </w:r>
        <w:r>
          <w:rPr>
            <w:noProof/>
            <w:webHidden/>
          </w:rPr>
        </w:r>
        <w:r>
          <w:rPr>
            <w:noProof/>
            <w:webHidden/>
          </w:rPr>
          <w:fldChar w:fldCharType="separate"/>
        </w:r>
        <w:r>
          <w:rPr>
            <w:noProof/>
            <w:webHidden/>
          </w:rPr>
          <w:t>21</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0" w:history="1">
        <w:r w:rsidRPr="00845701">
          <w:rPr>
            <w:rStyle w:val="Hyperlink"/>
            <w:noProof/>
          </w:rPr>
          <w:t>9.1</w:t>
        </w:r>
        <w:r>
          <w:rPr>
            <w:rFonts w:eastAsia="Times New Roman"/>
            <w:smallCaps w:val="0"/>
            <w:noProof/>
            <w:sz w:val="22"/>
            <w:szCs w:val="22"/>
            <w:lang w:eastAsia="en-GB"/>
          </w:rPr>
          <w:tab/>
        </w:r>
        <w:r w:rsidRPr="00845701">
          <w:rPr>
            <w:rStyle w:val="Hyperlink"/>
            <w:noProof/>
          </w:rPr>
          <w:t>Strengths: Significant resources</w:t>
        </w:r>
        <w:r>
          <w:rPr>
            <w:noProof/>
            <w:webHidden/>
          </w:rPr>
          <w:tab/>
        </w:r>
        <w:r>
          <w:rPr>
            <w:noProof/>
            <w:webHidden/>
          </w:rPr>
          <w:fldChar w:fldCharType="begin"/>
        </w:r>
        <w:r>
          <w:rPr>
            <w:noProof/>
            <w:webHidden/>
          </w:rPr>
          <w:instrText xml:space="preserve"> PAGEREF _Toc331783580 \h </w:instrText>
        </w:r>
        <w:r>
          <w:rPr>
            <w:noProof/>
            <w:webHidden/>
          </w:rPr>
        </w:r>
        <w:r>
          <w:rPr>
            <w:noProof/>
            <w:webHidden/>
          </w:rPr>
          <w:fldChar w:fldCharType="separate"/>
        </w:r>
        <w:r>
          <w:rPr>
            <w:noProof/>
            <w:webHidden/>
          </w:rPr>
          <w:t>21</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1" w:history="1">
        <w:r w:rsidRPr="00845701">
          <w:rPr>
            <w:rStyle w:val="Hyperlink"/>
            <w:noProof/>
          </w:rPr>
          <w:t>9.2</w:t>
        </w:r>
        <w:r>
          <w:rPr>
            <w:rFonts w:eastAsia="Times New Roman"/>
            <w:smallCaps w:val="0"/>
            <w:noProof/>
            <w:sz w:val="22"/>
            <w:szCs w:val="22"/>
            <w:lang w:eastAsia="en-GB"/>
          </w:rPr>
          <w:tab/>
        </w:r>
        <w:r w:rsidRPr="00845701">
          <w:rPr>
            <w:rStyle w:val="Hyperlink"/>
            <w:noProof/>
          </w:rPr>
          <w:t>Strengths: Coherent evaluation framework</w:t>
        </w:r>
        <w:r>
          <w:rPr>
            <w:noProof/>
            <w:webHidden/>
          </w:rPr>
          <w:tab/>
        </w:r>
        <w:r>
          <w:rPr>
            <w:noProof/>
            <w:webHidden/>
          </w:rPr>
          <w:fldChar w:fldCharType="begin"/>
        </w:r>
        <w:r>
          <w:rPr>
            <w:noProof/>
            <w:webHidden/>
          </w:rPr>
          <w:instrText xml:space="preserve"> PAGEREF _Toc331783581 \h </w:instrText>
        </w:r>
        <w:r>
          <w:rPr>
            <w:noProof/>
            <w:webHidden/>
          </w:rPr>
        </w:r>
        <w:r>
          <w:rPr>
            <w:noProof/>
            <w:webHidden/>
          </w:rPr>
          <w:fldChar w:fldCharType="separate"/>
        </w:r>
        <w:r>
          <w:rPr>
            <w:noProof/>
            <w:webHidden/>
          </w:rPr>
          <w:t>22</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2" w:history="1">
        <w:r w:rsidRPr="00845701">
          <w:rPr>
            <w:rStyle w:val="Hyperlink"/>
            <w:noProof/>
          </w:rPr>
          <w:t>9.3</w:t>
        </w:r>
        <w:r>
          <w:rPr>
            <w:rFonts w:eastAsia="Times New Roman"/>
            <w:smallCaps w:val="0"/>
            <w:noProof/>
            <w:sz w:val="22"/>
            <w:szCs w:val="22"/>
            <w:lang w:eastAsia="en-GB"/>
          </w:rPr>
          <w:tab/>
        </w:r>
        <w:r w:rsidRPr="00845701">
          <w:rPr>
            <w:rStyle w:val="Hyperlink"/>
            <w:noProof/>
          </w:rPr>
          <w:t xml:space="preserve">Strengths: </w:t>
        </w:r>
        <w:r w:rsidRPr="00845701">
          <w:rPr>
            <w:rStyle w:val="Hyperlink"/>
            <w:rFonts w:cs="Calibri"/>
            <w:noProof/>
          </w:rPr>
          <w:t>Involvement of Non State Actors</w:t>
        </w:r>
        <w:r>
          <w:rPr>
            <w:noProof/>
            <w:webHidden/>
          </w:rPr>
          <w:tab/>
        </w:r>
        <w:r>
          <w:rPr>
            <w:noProof/>
            <w:webHidden/>
          </w:rPr>
          <w:fldChar w:fldCharType="begin"/>
        </w:r>
        <w:r>
          <w:rPr>
            <w:noProof/>
            <w:webHidden/>
          </w:rPr>
          <w:instrText xml:space="preserve"> PAGEREF _Toc331783582 \h </w:instrText>
        </w:r>
        <w:r>
          <w:rPr>
            <w:noProof/>
            <w:webHidden/>
          </w:rPr>
        </w:r>
        <w:r>
          <w:rPr>
            <w:noProof/>
            <w:webHidden/>
          </w:rPr>
          <w:fldChar w:fldCharType="separate"/>
        </w:r>
        <w:r>
          <w:rPr>
            <w:noProof/>
            <w:webHidden/>
          </w:rPr>
          <w:t>22</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3" w:history="1">
        <w:r w:rsidRPr="00845701">
          <w:rPr>
            <w:rStyle w:val="Hyperlink"/>
            <w:noProof/>
          </w:rPr>
          <w:t>9.4</w:t>
        </w:r>
        <w:r>
          <w:rPr>
            <w:rFonts w:eastAsia="Times New Roman"/>
            <w:smallCaps w:val="0"/>
            <w:noProof/>
            <w:sz w:val="22"/>
            <w:szCs w:val="22"/>
            <w:lang w:eastAsia="en-GB"/>
          </w:rPr>
          <w:tab/>
        </w:r>
        <w:r w:rsidRPr="00845701">
          <w:rPr>
            <w:rStyle w:val="Hyperlink"/>
            <w:noProof/>
          </w:rPr>
          <w:t>Weaknesses: Limited time horizon</w:t>
        </w:r>
        <w:r>
          <w:rPr>
            <w:noProof/>
            <w:webHidden/>
          </w:rPr>
          <w:tab/>
        </w:r>
        <w:r>
          <w:rPr>
            <w:noProof/>
            <w:webHidden/>
          </w:rPr>
          <w:fldChar w:fldCharType="begin"/>
        </w:r>
        <w:r>
          <w:rPr>
            <w:noProof/>
            <w:webHidden/>
          </w:rPr>
          <w:instrText xml:space="preserve"> PAGEREF _Toc331783583 \h </w:instrText>
        </w:r>
        <w:r>
          <w:rPr>
            <w:noProof/>
            <w:webHidden/>
          </w:rPr>
        </w:r>
        <w:r>
          <w:rPr>
            <w:noProof/>
            <w:webHidden/>
          </w:rPr>
          <w:fldChar w:fldCharType="separate"/>
        </w:r>
        <w:r>
          <w:rPr>
            <w:noProof/>
            <w:webHidden/>
          </w:rPr>
          <w:t>22</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4" w:history="1">
        <w:r w:rsidRPr="00845701">
          <w:rPr>
            <w:rStyle w:val="Hyperlink"/>
            <w:noProof/>
          </w:rPr>
          <w:t>9.5</w:t>
        </w:r>
        <w:r>
          <w:rPr>
            <w:rFonts w:eastAsia="Times New Roman"/>
            <w:smallCaps w:val="0"/>
            <w:noProof/>
            <w:sz w:val="22"/>
            <w:szCs w:val="22"/>
            <w:lang w:eastAsia="en-GB"/>
          </w:rPr>
          <w:tab/>
        </w:r>
        <w:r w:rsidRPr="00845701">
          <w:rPr>
            <w:rStyle w:val="Hyperlink"/>
            <w:noProof/>
          </w:rPr>
          <w:t>Weaknesses: Partial disbursement of available resources</w:t>
        </w:r>
        <w:r>
          <w:rPr>
            <w:noProof/>
            <w:webHidden/>
          </w:rPr>
          <w:tab/>
        </w:r>
        <w:r>
          <w:rPr>
            <w:noProof/>
            <w:webHidden/>
          </w:rPr>
          <w:fldChar w:fldCharType="begin"/>
        </w:r>
        <w:r>
          <w:rPr>
            <w:noProof/>
            <w:webHidden/>
          </w:rPr>
          <w:instrText xml:space="preserve"> PAGEREF _Toc331783584 \h </w:instrText>
        </w:r>
        <w:r>
          <w:rPr>
            <w:noProof/>
            <w:webHidden/>
          </w:rPr>
        </w:r>
        <w:r>
          <w:rPr>
            <w:noProof/>
            <w:webHidden/>
          </w:rPr>
          <w:fldChar w:fldCharType="separate"/>
        </w:r>
        <w:r>
          <w:rPr>
            <w:noProof/>
            <w:webHidden/>
          </w:rPr>
          <w:t>22</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5" w:history="1">
        <w:r w:rsidRPr="00845701">
          <w:rPr>
            <w:rStyle w:val="Hyperlink"/>
            <w:noProof/>
          </w:rPr>
          <w:t>9.6</w:t>
        </w:r>
        <w:r>
          <w:rPr>
            <w:rFonts w:eastAsia="Times New Roman"/>
            <w:smallCaps w:val="0"/>
            <w:noProof/>
            <w:sz w:val="22"/>
            <w:szCs w:val="22"/>
            <w:lang w:eastAsia="en-GB"/>
          </w:rPr>
          <w:tab/>
        </w:r>
        <w:r w:rsidRPr="00845701">
          <w:rPr>
            <w:rStyle w:val="Hyperlink"/>
            <w:noProof/>
          </w:rPr>
          <w:t>Weaknesses: Limited South-South component</w:t>
        </w:r>
        <w:r>
          <w:rPr>
            <w:noProof/>
            <w:webHidden/>
          </w:rPr>
          <w:tab/>
        </w:r>
        <w:r>
          <w:rPr>
            <w:noProof/>
            <w:webHidden/>
          </w:rPr>
          <w:fldChar w:fldCharType="begin"/>
        </w:r>
        <w:r>
          <w:rPr>
            <w:noProof/>
            <w:webHidden/>
          </w:rPr>
          <w:instrText xml:space="preserve"> PAGEREF _Toc331783585 \h </w:instrText>
        </w:r>
        <w:r>
          <w:rPr>
            <w:noProof/>
            <w:webHidden/>
          </w:rPr>
        </w:r>
        <w:r>
          <w:rPr>
            <w:noProof/>
            <w:webHidden/>
          </w:rPr>
          <w:fldChar w:fldCharType="separate"/>
        </w:r>
        <w:r>
          <w:rPr>
            <w:noProof/>
            <w:webHidden/>
          </w:rPr>
          <w:t>22</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6" w:history="1">
        <w:r w:rsidRPr="00845701">
          <w:rPr>
            <w:rStyle w:val="Hyperlink"/>
            <w:noProof/>
          </w:rPr>
          <w:t>9.7</w:t>
        </w:r>
        <w:r>
          <w:rPr>
            <w:rFonts w:eastAsia="Times New Roman"/>
            <w:smallCaps w:val="0"/>
            <w:noProof/>
            <w:sz w:val="22"/>
            <w:szCs w:val="22"/>
            <w:lang w:eastAsia="en-GB"/>
          </w:rPr>
          <w:tab/>
        </w:r>
        <w:r w:rsidRPr="00845701">
          <w:rPr>
            <w:rStyle w:val="Hyperlink"/>
            <w:noProof/>
          </w:rPr>
          <w:t>Opportunities: Available not-for-profit capacity</w:t>
        </w:r>
        <w:r>
          <w:rPr>
            <w:noProof/>
            <w:webHidden/>
          </w:rPr>
          <w:tab/>
        </w:r>
        <w:r>
          <w:rPr>
            <w:noProof/>
            <w:webHidden/>
          </w:rPr>
          <w:fldChar w:fldCharType="begin"/>
        </w:r>
        <w:r>
          <w:rPr>
            <w:noProof/>
            <w:webHidden/>
          </w:rPr>
          <w:instrText xml:space="preserve"> PAGEREF _Toc331783586 \h </w:instrText>
        </w:r>
        <w:r>
          <w:rPr>
            <w:noProof/>
            <w:webHidden/>
          </w:rPr>
        </w:r>
        <w:r>
          <w:rPr>
            <w:noProof/>
            <w:webHidden/>
          </w:rPr>
          <w:fldChar w:fldCharType="separate"/>
        </w:r>
        <w:r>
          <w:rPr>
            <w:noProof/>
            <w:webHidden/>
          </w:rPr>
          <w:t>23</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7" w:history="1">
        <w:r w:rsidRPr="00845701">
          <w:rPr>
            <w:rStyle w:val="Hyperlink"/>
            <w:noProof/>
          </w:rPr>
          <w:t>9.8</w:t>
        </w:r>
        <w:r>
          <w:rPr>
            <w:rFonts w:eastAsia="Times New Roman"/>
            <w:smallCaps w:val="0"/>
            <w:noProof/>
            <w:sz w:val="22"/>
            <w:szCs w:val="22"/>
            <w:lang w:eastAsia="en-GB"/>
          </w:rPr>
          <w:tab/>
        </w:r>
        <w:r w:rsidRPr="00845701">
          <w:rPr>
            <w:rStyle w:val="Hyperlink"/>
            <w:noProof/>
          </w:rPr>
          <w:t>Opportunities: Growing demand for not-for-profit partnerships for capacity development</w:t>
        </w:r>
        <w:r>
          <w:rPr>
            <w:noProof/>
            <w:webHidden/>
          </w:rPr>
          <w:tab/>
        </w:r>
        <w:r>
          <w:rPr>
            <w:noProof/>
            <w:webHidden/>
          </w:rPr>
          <w:fldChar w:fldCharType="begin"/>
        </w:r>
        <w:r>
          <w:rPr>
            <w:noProof/>
            <w:webHidden/>
          </w:rPr>
          <w:instrText xml:space="preserve"> PAGEREF _Toc331783587 \h </w:instrText>
        </w:r>
        <w:r>
          <w:rPr>
            <w:noProof/>
            <w:webHidden/>
          </w:rPr>
        </w:r>
        <w:r>
          <w:rPr>
            <w:noProof/>
            <w:webHidden/>
          </w:rPr>
          <w:fldChar w:fldCharType="separate"/>
        </w:r>
        <w:r>
          <w:rPr>
            <w:noProof/>
            <w:webHidden/>
          </w:rPr>
          <w:t>23</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8" w:history="1">
        <w:r w:rsidRPr="00845701">
          <w:rPr>
            <w:rStyle w:val="Hyperlink"/>
            <w:noProof/>
          </w:rPr>
          <w:t>9.9</w:t>
        </w:r>
        <w:r>
          <w:rPr>
            <w:rFonts w:eastAsia="Times New Roman"/>
            <w:smallCaps w:val="0"/>
            <w:noProof/>
            <w:sz w:val="22"/>
            <w:szCs w:val="22"/>
            <w:lang w:eastAsia="en-GB"/>
          </w:rPr>
          <w:tab/>
        </w:r>
        <w:r w:rsidRPr="00845701">
          <w:rPr>
            <w:rStyle w:val="Hyperlink"/>
            <w:noProof/>
          </w:rPr>
          <w:t>Opportunities: Growing interest in funding not-for-profit partnerships for capacity development</w:t>
        </w:r>
        <w:r>
          <w:rPr>
            <w:noProof/>
            <w:webHidden/>
          </w:rPr>
          <w:tab/>
        </w:r>
        <w:r>
          <w:rPr>
            <w:noProof/>
            <w:webHidden/>
          </w:rPr>
          <w:fldChar w:fldCharType="begin"/>
        </w:r>
        <w:r>
          <w:rPr>
            <w:noProof/>
            <w:webHidden/>
          </w:rPr>
          <w:instrText xml:space="preserve"> PAGEREF _Toc331783588 \h </w:instrText>
        </w:r>
        <w:r>
          <w:rPr>
            <w:noProof/>
            <w:webHidden/>
          </w:rPr>
        </w:r>
        <w:r>
          <w:rPr>
            <w:noProof/>
            <w:webHidden/>
          </w:rPr>
          <w:fldChar w:fldCharType="separate"/>
        </w:r>
        <w:r>
          <w:rPr>
            <w:noProof/>
            <w:webHidden/>
          </w:rPr>
          <w:t>23</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89" w:history="1">
        <w:r w:rsidRPr="00845701">
          <w:rPr>
            <w:rStyle w:val="Hyperlink"/>
            <w:noProof/>
          </w:rPr>
          <w:t>9.10</w:t>
        </w:r>
        <w:r>
          <w:rPr>
            <w:rFonts w:eastAsia="Times New Roman"/>
            <w:smallCaps w:val="0"/>
            <w:noProof/>
            <w:sz w:val="22"/>
            <w:szCs w:val="22"/>
            <w:lang w:eastAsia="en-GB"/>
          </w:rPr>
          <w:tab/>
        </w:r>
        <w:r w:rsidRPr="00845701">
          <w:rPr>
            <w:rStyle w:val="Hyperlink"/>
            <w:noProof/>
          </w:rPr>
          <w:t>Threats: Inadequate resources to match the scale of need</w:t>
        </w:r>
        <w:r>
          <w:rPr>
            <w:noProof/>
            <w:webHidden/>
          </w:rPr>
          <w:tab/>
        </w:r>
        <w:r>
          <w:rPr>
            <w:noProof/>
            <w:webHidden/>
          </w:rPr>
          <w:fldChar w:fldCharType="begin"/>
        </w:r>
        <w:r>
          <w:rPr>
            <w:noProof/>
            <w:webHidden/>
          </w:rPr>
          <w:instrText xml:space="preserve"> PAGEREF _Toc331783589 \h </w:instrText>
        </w:r>
        <w:r>
          <w:rPr>
            <w:noProof/>
            <w:webHidden/>
          </w:rPr>
        </w:r>
        <w:r>
          <w:rPr>
            <w:noProof/>
            <w:webHidden/>
          </w:rPr>
          <w:fldChar w:fldCharType="separate"/>
        </w:r>
        <w:r>
          <w:rPr>
            <w:noProof/>
            <w:webHidden/>
          </w:rPr>
          <w:t>23</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90" w:history="1">
        <w:r w:rsidRPr="00845701">
          <w:rPr>
            <w:rStyle w:val="Hyperlink"/>
            <w:noProof/>
          </w:rPr>
          <w:t>9.11</w:t>
        </w:r>
        <w:r>
          <w:rPr>
            <w:rFonts w:eastAsia="Times New Roman"/>
            <w:smallCaps w:val="0"/>
            <w:noProof/>
            <w:sz w:val="22"/>
            <w:szCs w:val="22"/>
            <w:lang w:eastAsia="en-GB"/>
          </w:rPr>
          <w:tab/>
        </w:r>
        <w:r w:rsidRPr="00845701">
          <w:rPr>
            <w:rStyle w:val="Hyperlink"/>
            <w:noProof/>
          </w:rPr>
          <w:t>Threats: Long-term donors’ commitment to support not-for-profit partnerships for capacity development</w:t>
        </w:r>
        <w:r>
          <w:rPr>
            <w:noProof/>
            <w:webHidden/>
          </w:rPr>
          <w:tab/>
        </w:r>
        <w:r>
          <w:rPr>
            <w:noProof/>
            <w:webHidden/>
          </w:rPr>
          <w:fldChar w:fldCharType="begin"/>
        </w:r>
        <w:r>
          <w:rPr>
            <w:noProof/>
            <w:webHidden/>
          </w:rPr>
          <w:instrText xml:space="preserve"> PAGEREF _Toc331783590 \h </w:instrText>
        </w:r>
        <w:r>
          <w:rPr>
            <w:noProof/>
            <w:webHidden/>
          </w:rPr>
        </w:r>
        <w:r>
          <w:rPr>
            <w:noProof/>
            <w:webHidden/>
          </w:rPr>
          <w:fldChar w:fldCharType="separate"/>
        </w:r>
        <w:r>
          <w:rPr>
            <w:noProof/>
            <w:webHidden/>
          </w:rPr>
          <w:t>23</w:t>
        </w:r>
        <w:r>
          <w:rPr>
            <w:noProof/>
            <w:webHidden/>
          </w:rPr>
          <w:fldChar w:fldCharType="end"/>
        </w:r>
      </w:hyperlink>
    </w:p>
    <w:p w:rsidR="00A67DCC" w:rsidRDefault="00A67DCC">
      <w:pPr>
        <w:pStyle w:val="TOC1"/>
        <w:tabs>
          <w:tab w:val="left" w:pos="660"/>
          <w:tab w:val="right" w:leader="dot" w:pos="9628"/>
        </w:tabs>
        <w:rPr>
          <w:rFonts w:eastAsia="Times New Roman"/>
          <w:b w:val="0"/>
          <w:bCs w:val="0"/>
          <w:caps w:val="0"/>
          <w:noProof/>
          <w:sz w:val="22"/>
          <w:szCs w:val="22"/>
          <w:lang w:eastAsia="en-GB"/>
        </w:rPr>
      </w:pPr>
      <w:hyperlink w:anchor="_Toc331783591" w:history="1">
        <w:r w:rsidRPr="00845701">
          <w:rPr>
            <w:rStyle w:val="Hyperlink"/>
            <w:noProof/>
          </w:rPr>
          <w:t>10.</w:t>
        </w:r>
        <w:r>
          <w:rPr>
            <w:rFonts w:eastAsia="Times New Roman"/>
            <w:b w:val="0"/>
            <w:bCs w:val="0"/>
            <w:caps w:val="0"/>
            <w:noProof/>
            <w:sz w:val="22"/>
            <w:szCs w:val="22"/>
            <w:lang w:eastAsia="en-GB"/>
          </w:rPr>
          <w:tab/>
        </w:r>
        <w:r w:rsidRPr="00845701">
          <w:rPr>
            <w:rStyle w:val="Hyperlink"/>
            <w:noProof/>
          </w:rPr>
          <w:t>Conclusions and recommendations</w:t>
        </w:r>
        <w:r>
          <w:rPr>
            <w:noProof/>
            <w:webHidden/>
          </w:rPr>
          <w:tab/>
        </w:r>
        <w:r>
          <w:rPr>
            <w:noProof/>
            <w:webHidden/>
          </w:rPr>
          <w:fldChar w:fldCharType="begin"/>
        </w:r>
        <w:r>
          <w:rPr>
            <w:noProof/>
            <w:webHidden/>
          </w:rPr>
          <w:instrText xml:space="preserve"> PAGEREF _Toc331783591 \h </w:instrText>
        </w:r>
        <w:r>
          <w:rPr>
            <w:noProof/>
            <w:webHidden/>
          </w:rPr>
        </w:r>
        <w:r>
          <w:rPr>
            <w:noProof/>
            <w:webHidden/>
          </w:rPr>
          <w:fldChar w:fldCharType="separate"/>
        </w:r>
        <w:r>
          <w:rPr>
            <w:noProof/>
            <w:webHidden/>
          </w:rPr>
          <w:t>24</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92" w:history="1">
        <w:r w:rsidRPr="00845701">
          <w:rPr>
            <w:rStyle w:val="Hyperlink"/>
            <w:noProof/>
          </w:rPr>
          <w:t>10.1</w:t>
        </w:r>
        <w:r>
          <w:rPr>
            <w:rFonts w:eastAsia="Times New Roman"/>
            <w:smallCaps w:val="0"/>
            <w:noProof/>
            <w:sz w:val="22"/>
            <w:szCs w:val="22"/>
            <w:lang w:eastAsia="en-GB"/>
          </w:rPr>
          <w:tab/>
        </w:r>
        <w:r w:rsidRPr="00845701">
          <w:rPr>
            <w:rStyle w:val="Hyperlink"/>
            <w:noProof/>
          </w:rPr>
          <w:t>ACP-EU Water Partnerships: a first assessment</w:t>
        </w:r>
        <w:r>
          <w:rPr>
            <w:noProof/>
            <w:webHidden/>
          </w:rPr>
          <w:tab/>
        </w:r>
        <w:r>
          <w:rPr>
            <w:noProof/>
            <w:webHidden/>
          </w:rPr>
          <w:fldChar w:fldCharType="begin"/>
        </w:r>
        <w:r>
          <w:rPr>
            <w:noProof/>
            <w:webHidden/>
          </w:rPr>
          <w:instrText xml:space="preserve"> PAGEREF _Toc331783592 \h </w:instrText>
        </w:r>
        <w:r>
          <w:rPr>
            <w:noProof/>
            <w:webHidden/>
          </w:rPr>
        </w:r>
        <w:r>
          <w:rPr>
            <w:noProof/>
            <w:webHidden/>
          </w:rPr>
          <w:fldChar w:fldCharType="separate"/>
        </w:r>
        <w:r>
          <w:rPr>
            <w:noProof/>
            <w:webHidden/>
          </w:rPr>
          <w:t>24</w:t>
        </w:r>
        <w:r>
          <w:rPr>
            <w:noProof/>
            <w:webHidden/>
          </w:rPr>
          <w:fldChar w:fldCharType="end"/>
        </w:r>
      </w:hyperlink>
    </w:p>
    <w:p w:rsidR="00A67DCC" w:rsidRDefault="00A67DCC">
      <w:pPr>
        <w:pStyle w:val="TOC2"/>
        <w:tabs>
          <w:tab w:val="left" w:pos="880"/>
          <w:tab w:val="right" w:leader="dot" w:pos="9628"/>
        </w:tabs>
        <w:rPr>
          <w:rFonts w:eastAsia="Times New Roman"/>
          <w:smallCaps w:val="0"/>
          <w:noProof/>
          <w:sz w:val="22"/>
          <w:szCs w:val="22"/>
          <w:lang w:eastAsia="en-GB"/>
        </w:rPr>
      </w:pPr>
      <w:hyperlink w:anchor="_Toc331783593" w:history="1">
        <w:r w:rsidRPr="00845701">
          <w:rPr>
            <w:rStyle w:val="Hyperlink"/>
            <w:noProof/>
          </w:rPr>
          <w:t>10.2</w:t>
        </w:r>
        <w:r>
          <w:rPr>
            <w:rFonts w:eastAsia="Times New Roman"/>
            <w:smallCaps w:val="0"/>
            <w:noProof/>
            <w:sz w:val="22"/>
            <w:szCs w:val="22"/>
            <w:lang w:eastAsia="en-GB"/>
          </w:rPr>
          <w:tab/>
        </w:r>
        <w:r w:rsidRPr="00845701">
          <w:rPr>
            <w:rStyle w:val="Hyperlink"/>
            <w:noProof/>
          </w:rPr>
          <w:t>Policy recommendations: towards a critical mass of capacity</w:t>
        </w:r>
        <w:r>
          <w:rPr>
            <w:noProof/>
            <w:webHidden/>
          </w:rPr>
          <w:tab/>
        </w:r>
        <w:r>
          <w:rPr>
            <w:noProof/>
            <w:webHidden/>
          </w:rPr>
          <w:fldChar w:fldCharType="begin"/>
        </w:r>
        <w:r>
          <w:rPr>
            <w:noProof/>
            <w:webHidden/>
          </w:rPr>
          <w:instrText xml:space="preserve"> PAGEREF _Toc331783593 \h </w:instrText>
        </w:r>
        <w:r>
          <w:rPr>
            <w:noProof/>
            <w:webHidden/>
          </w:rPr>
        </w:r>
        <w:r>
          <w:rPr>
            <w:noProof/>
            <w:webHidden/>
          </w:rPr>
          <w:fldChar w:fldCharType="separate"/>
        </w:r>
        <w:r>
          <w:rPr>
            <w:noProof/>
            <w:webHidden/>
          </w:rPr>
          <w:t>24</w:t>
        </w:r>
        <w:r>
          <w:rPr>
            <w:noProof/>
            <w:webHidden/>
          </w:rPr>
          <w:fldChar w:fldCharType="end"/>
        </w:r>
      </w:hyperlink>
    </w:p>
    <w:p w:rsidR="00A67DCC" w:rsidRDefault="00A67DCC">
      <w:pPr>
        <w:pStyle w:val="TOC1"/>
        <w:tabs>
          <w:tab w:val="right" w:leader="dot" w:pos="9628"/>
        </w:tabs>
        <w:rPr>
          <w:rFonts w:eastAsia="Times New Roman"/>
          <w:b w:val="0"/>
          <w:bCs w:val="0"/>
          <w:caps w:val="0"/>
          <w:noProof/>
          <w:sz w:val="22"/>
          <w:szCs w:val="22"/>
          <w:lang w:eastAsia="en-GB"/>
        </w:rPr>
      </w:pPr>
      <w:hyperlink w:anchor="_Toc331783594" w:history="1">
        <w:r w:rsidRPr="00845701">
          <w:rPr>
            <w:rStyle w:val="Hyperlink"/>
            <w:noProof/>
          </w:rPr>
          <w:t>Notes</w:t>
        </w:r>
        <w:r>
          <w:rPr>
            <w:noProof/>
            <w:webHidden/>
          </w:rPr>
          <w:tab/>
        </w:r>
        <w:r>
          <w:rPr>
            <w:noProof/>
            <w:webHidden/>
          </w:rPr>
          <w:fldChar w:fldCharType="begin"/>
        </w:r>
        <w:r>
          <w:rPr>
            <w:noProof/>
            <w:webHidden/>
          </w:rPr>
          <w:instrText xml:space="preserve"> PAGEREF _Toc331783594 \h </w:instrText>
        </w:r>
        <w:r>
          <w:rPr>
            <w:noProof/>
            <w:webHidden/>
          </w:rPr>
        </w:r>
        <w:r>
          <w:rPr>
            <w:noProof/>
            <w:webHidden/>
          </w:rPr>
          <w:fldChar w:fldCharType="separate"/>
        </w:r>
        <w:r>
          <w:rPr>
            <w:noProof/>
            <w:webHidden/>
          </w:rPr>
          <w:t>25</w:t>
        </w:r>
        <w:r>
          <w:rPr>
            <w:noProof/>
            <w:webHidden/>
          </w:rPr>
          <w:fldChar w:fldCharType="end"/>
        </w:r>
      </w:hyperlink>
    </w:p>
    <w:p w:rsidR="00635EF4" w:rsidRPr="00A934A5" w:rsidRDefault="00373DE2" w:rsidP="00635EF4">
      <w:pPr>
        <w:pStyle w:val="Heading1"/>
        <w:numPr>
          <w:ilvl w:val="0"/>
          <w:numId w:val="0"/>
        </w:numPr>
        <w:rPr>
          <w:rFonts w:ascii="Calibri" w:hAnsi="Calibri" w:cs="Calibri"/>
          <w:sz w:val="22"/>
          <w:szCs w:val="22"/>
          <w:lang w:val="en-GB"/>
        </w:rPr>
      </w:pPr>
      <w:r>
        <w:rPr>
          <w:rFonts w:ascii="Calibri" w:hAnsi="Calibri"/>
          <w:caps/>
          <w:kern w:val="0"/>
          <w:sz w:val="20"/>
          <w:szCs w:val="20"/>
          <w:lang w:val="en-GB"/>
        </w:rPr>
        <w:fldChar w:fldCharType="end"/>
      </w:r>
      <w:r w:rsidR="00996A6E">
        <w:br w:type="page"/>
      </w:r>
      <w:bookmarkStart w:id="1" w:name="_Toc321061362"/>
      <w:bookmarkStart w:id="2" w:name="_Toc331783558"/>
      <w:r w:rsidR="00635EF4">
        <w:rPr>
          <w:lang w:val="en-GB"/>
        </w:rPr>
        <w:lastRenderedPageBreak/>
        <w:t>Acknowledgments</w:t>
      </w:r>
      <w:bookmarkEnd w:id="2"/>
    </w:p>
    <w:p w:rsidR="00391100" w:rsidRDefault="00635EF4" w:rsidP="00635EF4">
      <w:pPr>
        <w:pStyle w:val="NoSpacing"/>
        <w:jc w:val="both"/>
        <w:rPr>
          <w:rFonts w:ascii="Calibri" w:hAnsi="Calibri"/>
          <w:sz w:val="22"/>
          <w:szCs w:val="22"/>
        </w:rPr>
      </w:pPr>
      <w:r w:rsidRPr="002A3CBB">
        <w:rPr>
          <w:rFonts w:ascii="Calibri" w:hAnsi="Calibri"/>
          <w:sz w:val="22"/>
          <w:szCs w:val="22"/>
        </w:rPr>
        <w:t>We gratefully acknowledge the funding from the European Commission</w:t>
      </w:r>
      <w:r w:rsidR="002A3CBB" w:rsidRPr="002A3CBB">
        <w:rPr>
          <w:rFonts w:ascii="Calibri" w:hAnsi="Calibri"/>
          <w:sz w:val="22"/>
          <w:szCs w:val="22"/>
        </w:rPr>
        <w:t xml:space="preserve">. </w:t>
      </w:r>
      <w:r w:rsidR="002A3CBB" w:rsidRPr="002A3CBB">
        <w:rPr>
          <w:rFonts w:ascii="Calibri" w:hAnsi="Calibri"/>
          <w:noProof/>
          <w:sz w:val="22"/>
          <w:szCs w:val="22"/>
          <w:lang w:eastAsia="en-ZA"/>
        </w:rPr>
        <w:t xml:space="preserve">This report was commissioned by the </w:t>
      </w:r>
      <w:r w:rsidR="002A3CBB" w:rsidRPr="002A3CBB">
        <w:rPr>
          <w:rFonts w:ascii="Calibri" w:hAnsi="Calibri"/>
          <w:sz w:val="22"/>
          <w:szCs w:val="22"/>
        </w:rPr>
        <w:t>European Commission</w:t>
      </w:r>
      <w:r w:rsidRPr="002A3CBB">
        <w:rPr>
          <w:rFonts w:ascii="Calibri" w:hAnsi="Calibri"/>
          <w:sz w:val="22"/>
          <w:szCs w:val="22"/>
        </w:rPr>
        <w:t xml:space="preserve"> (DG AIDCO) under Service contract 2010/236-444, “Online database to</w:t>
      </w:r>
      <w:r w:rsidRPr="00A934A5">
        <w:rPr>
          <w:rFonts w:ascii="Calibri" w:hAnsi="Calibri"/>
          <w:sz w:val="22"/>
          <w:szCs w:val="22"/>
        </w:rPr>
        <w:t xml:space="preserve"> facilitate Partnerships for Capacity Development in the ACP Water and Sanitation Sector”. For more information see </w:t>
      </w:r>
      <w:hyperlink r:id="rId11" w:history="1">
        <w:r w:rsidRPr="00A934A5">
          <w:rPr>
            <w:rStyle w:val="Hyperlink"/>
            <w:rFonts w:ascii="Calibri" w:hAnsi="Calibri"/>
            <w:bCs/>
            <w:sz w:val="22"/>
            <w:szCs w:val="22"/>
          </w:rPr>
          <w:t>www.acp-eu-waterpartnerships.org</w:t>
        </w:r>
      </w:hyperlink>
      <w:r w:rsidRPr="00A934A5">
        <w:rPr>
          <w:rFonts w:ascii="Calibri" w:hAnsi="Calibri"/>
          <w:bCs/>
          <w:sz w:val="22"/>
          <w:szCs w:val="22"/>
        </w:rPr>
        <w:t>.</w:t>
      </w:r>
      <w:r w:rsidRPr="00A934A5">
        <w:rPr>
          <w:rFonts w:ascii="Calibri" w:hAnsi="Calibri"/>
          <w:sz w:val="22"/>
          <w:szCs w:val="22"/>
        </w:rPr>
        <w:t xml:space="preserve"> </w:t>
      </w:r>
    </w:p>
    <w:p w:rsidR="00391100" w:rsidRDefault="00391100" w:rsidP="00635EF4">
      <w:pPr>
        <w:pStyle w:val="NoSpacing"/>
        <w:jc w:val="both"/>
        <w:rPr>
          <w:rFonts w:ascii="Calibri" w:hAnsi="Calibri"/>
          <w:sz w:val="22"/>
          <w:szCs w:val="22"/>
        </w:rPr>
      </w:pPr>
    </w:p>
    <w:p w:rsidR="00635EF4" w:rsidRPr="00391100" w:rsidRDefault="00391100" w:rsidP="00635EF4">
      <w:pPr>
        <w:pStyle w:val="NoSpacing"/>
        <w:jc w:val="both"/>
        <w:rPr>
          <w:rFonts w:ascii="Calibri" w:hAnsi="Calibri"/>
          <w:sz w:val="22"/>
          <w:szCs w:val="22"/>
        </w:rPr>
      </w:pPr>
      <w:r w:rsidRPr="00391100">
        <w:rPr>
          <w:rFonts w:ascii="Calibri" w:hAnsi="Calibri"/>
          <w:sz w:val="22"/>
          <w:szCs w:val="22"/>
        </w:rPr>
        <w:t>The views expressed in this report are those of the authors and</w:t>
      </w:r>
      <w:r w:rsidR="00635EF4" w:rsidRPr="00391100">
        <w:rPr>
          <w:rFonts w:ascii="Calibri" w:hAnsi="Calibri"/>
          <w:sz w:val="22"/>
          <w:szCs w:val="22"/>
        </w:rPr>
        <w:t xml:space="preserve"> </w:t>
      </w:r>
      <w:r w:rsidRPr="00391100">
        <w:rPr>
          <w:rFonts w:ascii="Calibri" w:hAnsi="Calibri"/>
          <w:bCs/>
          <w:sz w:val="22"/>
          <w:szCs w:val="22"/>
        </w:rPr>
        <w:t>should not in any way be construed as representing the views of</w:t>
      </w:r>
      <w:r>
        <w:rPr>
          <w:rFonts w:ascii="Calibri" w:hAnsi="Calibri"/>
          <w:bCs/>
          <w:sz w:val="22"/>
          <w:szCs w:val="22"/>
        </w:rPr>
        <w:t xml:space="preserve"> the </w:t>
      </w:r>
      <w:r w:rsidRPr="00391100">
        <w:rPr>
          <w:rFonts w:ascii="Calibri" w:hAnsi="Calibri"/>
          <w:bCs/>
          <w:sz w:val="22"/>
          <w:szCs w:val="22"/>
        </w:rPr>
        <w:t>European Commission.</w:t>
      </w:r>
    </w:p>
    <w:p w:rsidR="00635EF4" w:rsidRPr="00A934A5" w:rsidRDefault="00635EF4" w:rsidP="00635EF4">
      <w:pPr>
        <w:pStyle w:val="NoSpacing"/>
        <w:rPr>
          <w:rFonts w:ascii="Calibri" w:hAnsi="Calibri"/>
          <w:sz w:val="22"/>
          <w:szCs w:val="22"/>
        </w:rPr>
      </w:pPr>
    </w:p>
    <w:p w:rsidR="00391100" w:rsidRDefault="00635EF4" w:rsidP="00635EF4">
      <w:pPr>
        <w:pStyle w:val="NoSpacing"/>
        <w:rPr>
          <w:rFonts w:ascii="Calibri" w:hAnsi="Calibri"/>
          <w:sz w:val="22"/>
          <w:szCs w:val="22"/>
        </w:rPr>
      </w:pPr>
      <w:r>
        <w:rPr>
          <w:rFonts w:ascii="Calibri" w:hAnsi="Calibri"/>
          <w:sz w:val="22"/>
          <w:szCs w:val="22"/>
        </w:rPr>
        <w:t>We would also like to thank the following individuals for providing helpful information and comments.</w:t>
      </w:r>
    </w:p>
    <w:p w:rsidR="00391100" w:rsidRDefault="00391100" w:rsidP="00635EF4">
      <w:pPr>
        <w:pStyle w:val="NoSpacing"/>
        <w:rPr>
          <w:rFonts w:ascii="Calibri" w:hAnsi="Calibri"/>
          <w:sz w:val="22"/>
          <w:szCs w:val="22"/>
        </w:rPr>
      </w:pPr>
    </w:p>
    <w:p w:rsidR="00391100" w:rsidRPr="00623684" w:rsidRDefault="00391100" w:rsidP="00060288">
      <w:pPr>
        <w:pStyle w:val="NoSpacing"/>
        <w:numPr>
          <w:ilvl w:val="0"/>
          <w:numId w:val="37"/>
        </w:numPr>
        <w:jc w:val="both"/>
        <w:rPr>
          <w:rFonts w:ascii="Calibri" w:hAnsi="Calibri"/>
          <w:sz w:val="22"/>
          <w:szCs w:val="22"/>
        </w:rPr>
      </w:pPr>
      <w:r w:rsidRPr="00623684">
        <w:rPr>
          <w:rFonts w:ascii="Calibri" w:hAnsi="Calibri"/>
          <w:sz w:val="22"/>
          <w:szCs w:val="22"/>
        </w:rPr>
        <w:t>Anne Bousquet</w:t>
      </w:r>
      <w:r w:rsidR="00710DC7" w:rsidRPr="00623684">
        <w:rPr>
          <w:rFonts w:ascii="Calibri" w:hAnsi="Calibri"/>
          <w:sz w:val="22"/>
          <w:szCs w:val="22"/>
        </w:rPr>
        <w:t xml:space="preserve">, </w:t>
      </w:r>
      <w:r w:rsidR="00710DC7" w:rsidRPr="00623684">
        <w:rPr>
          <w:rFonts w:ascii="Calibri" w:hAnsi="Calibri" w:cs="Arial"/>
          <w:sz w:val="22"/>
          <w:szCs w:val="22"/>
        </w:rPr>
        <w:t xml:space="preserve">Global Water Operators Partnerships Alliance (GWOPA), </w:t>
      </w:r>
      <w:r w:rsidR="00710DC7" w:rsidRPr="00623684">
        <w:rPr>
          <w:rFonts w:ascii="Calibri" w:hAnsi="Calibri"/>
          <w:sz w:val="22"/>
          <w:szCs w:val="22"/>
        </w:rPr>
        <w:t>United Nations Human Settlements Programme (UN-HABITAT)</w:t>
      </w:r>
    </w:p>
    <w:p w:rsidR="00391100" w:rsidRPr="00623684" w:rsidRDefault="00391100" w:rsidP="00060288">
      <w:pPr>
        <w:pStyle w:val="NoSpacing"/>
        <w:numPr>
          <w:ilvl w:val="0"/>
          <w:numId w:val="37"/>
        </w:numPr>
        <w:jc w:val="both"/>
        <w:rPr>
          <w:rFonts w:ascii="Calibri" w:hAnsi="Calibri"/>
          <w:sz w:val="22"/>
          <w:szCs w:val="22"/>
        </w:rPr>
      </w:pPr>
      <w:r w:rsidRPr="00623684">
        <w:rPr>
          <w:rFonts w:ascii="Calibri" w:hAnsi="Calibri"/>
          <w:sz w:val="22"/>
          <w:szCs w:val="22"/>
        </w:rPr>
        <w:t>Corinne Cathala</w:t>
      </w:r>
      <w:r w:rsidR="00710DC7" w:rsidRPr="00623684">
        <w:rPr>
          <w:rFonts w:ascii="Calibri" w:hAnsi="Calibri"/>
          <w:sz w:val="22"/>
          <w:szCs w:val="22"/>
        </w:rPr>
        <w:t xml:space="preserve">, </w:t>
      </w:r>
      <w:r w:rsidR="00060288" w:rsidRPr="00623684">
        <w:rPr>
          <w:rFonts w:ascii="Calibri" w:hAnsi="Calibri"/>
          <w:sz w:val="22"/>
          <w:szCs w:val="22"/>
        </w:rPr>
        <w:t xml:space="preserve">WOP-Latin America &amp; Caribbean Region (WOP-LAC), </w:t>
      </w:r>
      <w:r w:rsidR="00060288" w:rsidRPr="00623684">
        <w:rPr>
          <w:rFonts w:ascii="Calibri" w:hAnsi="Calibri" w:cs="Calibri"/>
          <w:sz w:val="22"/>
          <w:szCs w:val="22"/>
        </w:rPr>
        <w:t>Inter-American Development Bank (IDB)</w:t>
      </w:r>
    </w:p>
    <w:p w:rsidR="003D7611" w:rsidRPr="00623684" w:rsidRDefault="003D7611" w:rsidP="003D7611">
      <w:pPr>
        <w:pStyle w:val="NoSpacing"/>
        <w:numPr>
          <w:ilvl w:val="0"/>
          <w:numId w:val="37"/>
        </w:numPr>
        <w:jc w:val="both"/>
        <w:rPr>
          <w:rFonts w:ascii="Calibri" w:hAnsi="Calibri"/>
          <w:sz w:val="22"/>
          <w:szCs w:val="22"/>
        </w:rPr>
      </w:pPr>
      <w:r w:rsidRPr="00623684">
        <w:rPr>
          <w:rFonts w:ascii="Calibri" w:hAnsi="Calibri"/>
          <w:sz w:val="22"/>
          <w:szCs w:val="22"/>
        </w:rPr>
        <w:t>Mikhail Durkin, Helsinki Commission (HELCOM)</w:t>
      </w:r>
    </w:p>
    <w:p w:rsidR="003D7611" w:rsidRPr="00623684" w:rsidRDefault="003D7611" w:rsidP="003D7611">
      <w:pPr>
        <w:pStyle w:val="HTMLPreformatted"/>
        <w:numPr>
          <w:ilvl w:val="0"/>
          <w:numId w:val="37"/>
        </w:numPr>
        <w:rPr>
          <w:rFonts w:ascii="Calibri" w:hAnsi="Calibri"/>
          <w:sz w:val="22"/>
          <w:szCs w:val="22"/>
        </w:rPr>
      </w:pPr>
      <w:r w:rsidRPr="00623684">
        <w:rPr>
          <w:rFonts w:ascii="Calibri" w:hAnsi="Calibri"/>
          <w:sz w:val="22"/>
          <w:szCs w:val="22"/>
        </w:rPr>
        <w:t>Satoko Kishimoto, Reclaiming Public Water Network (RPWN), Transnational Institute</w:t>
      </w:r>
      <w:r w:rsidR="00D72425">
        <w:rPr>
          <w:rFonts w:ascii="Calibri" w:hAnsi="Calibri"/>
          <w:sz w:val="22"/>
          <w:szCs w:val="22"/>
        </w:rPr>
        <w:t xml:space="preserve"> (TNI)</w:t>
      </w:r>
      <w:r w:rsidRPr="00623684">
        <w:rPr>
          <w:rFonts w:ascii="Calibri" w:hAnsi="Calibri"/>
          <w:sz w:val="22"/>
          <w:szCs w:val="22"/>
        </w:rPr>
        <w:t xml:space="preserve"> </w:t>
      </w:r>
    </w:p>
    <w:p w:rsidR="00710DC7" w:rsidRPr="00623684" w:rsidRDefault="00710DC7" w:rsidP="00060288">
      <w:pPr>
        <w:pStyle w:val="NoSpacing"/>
        <w:numPr>
          <w:ilvl w:val="0"/>
          <w:numId w:val="37"/>
        </w:numPr>
        <w:jc w:val="both"/>
        <w:rPr>
          <w:rFonts w:ascii="Calibri" w:hAnsi="Calibri"/>
          <w:sz w:val="22"/>
          <w:szCs w:val="22"/>
        </w:rPr>
      </w:pPr>
      <w:r w:rsidRPr="00623684">
        <w:rPr>
          <w:rFonts w:ascii="Calibri" w:hAnsi="Calibri" w:cs="Arial"/>
          <w:sz w:val="22"/>
          <w:szCs w:val="22"/>
        </w:rPr>
        <w:t xml:space="preserve">Aleksandar Krstic, Program Coordinator, </w:t>
      </w:r>
      <w:r w:rsidR="003D7611" w:rsidRPr="00623684">
        <w:rPr>
          <w:rFonts w:ascii="Calibri" w:hAnsi="Calibri"/>
          <w:sz w:val="22"/>
          <w:szCs w:val="22"/>
        </w:rPr>
        <w:t>WOP-South-East Europe</w:t>
      </w:r>
      <w:r w:rsidR="003D7611" w:rsidRPr="00623684">
        <w:rPr>
          <w:rFonts w:ascii="Calibri" w:hAnsi="Calibri" w:cs="Arial"/>
          <w:sz w:val="22"/>
          <w:szCs w:val="22"/>
        </w:rPr>
        <w:t xml:space="preserve"> </w:t>
      </w:r>
      <w:r w:rsidR="00060288" w:rsidRPr="00623684">
        <w:rPr>
          <w:rFonts w:ascii="Calibri" w:hAnsi="Calibri" w:cs="Arial"/>
          <w:sz w:val="22"/>
          <w:szCs w:val="22"/>
        </w:rPr>
        <w:t>(</w:t>
      </w:r>
      <w:r w:rsidRPr="00623684">
        <w:rPr>
          <w:rFonts w:ascii="Calibri" w:hAnsi="Calibri" w:cs="Arial"/>
          <w:sz w:val="22"/>
          <w:szCs w:val="22"/>
        </w:rPr>
        <w:t>WOP-SEE</w:t>
      </w:r>
      <w:r w:rsidR="00060288" w:rsidRPr="00623684">
        <w:rPr>
          <w:rFonts w:ascii="Calibri" w:hAnsi="Calibri" w:cs="Arial"/>
          <w:sz w:val="22"/>
          <w:szCs w:val="22"/>
        </w:rPr>
        <w:t>)</w:t>
      </w:r>
    </w:p>
    <w:p w:rsidR="00710DC7" w:rsidRPr="00623684" w:rsidRDefault="00710DC7" w:rsidP="00060288">
      <w:pPr>
        <w:pStyle w:val="NoSpacing"/>
        <w:numPr>
          <w:ilvl w:val="0"/>
          <w:numId w:val="37"/>
        </w:numPr>
        <w:jc w:val="both"/>
        <w:rPr>
          <w:rFonts w:ascii="Calibri" w:hAnsi="Calibri"/>
          <w:sz w:val="22"/>
          <w:szCs w:val="22"/>
        </w:rPr>
      </w:pPr>
      <w:r w:rsidRPr="00623684">
        <w:rPr>
          <w:rFonts w:ascii="Calibri" w:hAnsi="Calibri"/>
          <w:sz w:val="22"/>
          <w:szCs w:val="22"/>
        </w:rPr>
        <w:t>Fadel Ndaw</w:t>
      </w:r>
      <w:r w:rsidR="003D7611" w:rsidRPr="00623684">
        <w:rPr>
          <w:rFonts w:ascii="Calibri" w:hAnsi="Calibri"/>
          <w:sz w:val="22"/>
          <w:szCs w:val="22"/>
        </w:rPr>
        <w:t xml:space="preserve">, </w:t>
      </w:r>
      <w:r w:rsidR="003D7611" w:rsidRPr="00623684">
        <w:rPr>
          <w:rFonts w:ascii="Calibri" w:hAnsi="Calibri" w:cs="Arial"/>
          <w:sz w:val="22"/>
          <w:szCs w:val="22"/>
        </w:rPr>
        <w:t>Programme Coordinator, WOP-Africa</w:t>
      </w:r>
    </w:p>
    <w:p w:rsidR="00623684" w:rsidRPr="00623684" w:rsidRDefault="00710DC7" w:rsidP="00060288">
      <w:pPr>
        <w:pStyle w:val="NoSpacing"/>
        <w:numPr>
          <w:ilvl w:val="0"/>
          <w:numId w:val="37"/>
        </w:numPr>
        <w:jc w:val="both"/>
        <w:rPr>
          <w:rFonts w:ascii="Calibri" w:hAnsi="Calibri"/>
          <w:sz w:val="22"/>
          <w:szCs w:val="22"/>
        </w:rPr>
      </w:pPr>
      <w:r w:rsidRPr="00623684">
        <w:rPr>
          <w:rFonts w:ascii="Calibri" w:hAnsi="Calibri"/>
          <w:sz w:val="22"/>
          <w:szCs w:val="22"/>
        </w:rPr>
        <w:t xml:space="preserve">Julie Perkins, </w:t>
      </w:r>
      <w:r w:rsidRPr="00623684">
        <w:rPr>
          <w:rFonts w:ascii="Calibri" w:hAnsi="Calibri" w:cs="Arial"/>
          <w:sz w:val="22"/>
          <w:szCs w:val="22"/>
        </w:rPr>
        <w:t xml:space="preserve">Global Water Operators Partnerships Alliance (GWOPA), </w:t>
      </w:r>
      <w:r w:rsidRPr="00623684">
        <w:rPr>
          <w:rFonts w:ascii="Calibri" w:hAnsi="Calibri"/>
          <w:sz w:val="22"/>
          <w:szCs w:val="22"/>
        </w:rPr>
        <w:t>United Nations Human Settlements Programme (UN-HABITAT)</w:t>
      </w:r>
    </w:p>
    <w:p w:rsidR="00623684" w:rsidRPr="00623684" w:rsidRDefault="00623684" w:rsidP="00623684">
      <w:pPr>
        <w:pStyle w:val="NoSpacing"/>
        <w:numPr>
          <w:ilvl w:val="0"/>
          <w:numId w:val="37"/>
        </w:numPr>
        <w:jc w:val="both"/>
        <w:rPr>
          <w:rFonts w:ascii="Calibri" w:hAnsi="Calibri"/>
          <w:sz w:val="22"/>
          <w:szCs w:val="22"/>
          <w:lang w:val="es-ES"/>
        </w:rPr>
      </w:pPr>
      <w:r w:rsidRPr="00623684">
        <w:rPr>
          <w:rFonts w:ascii="Calibri" w:hAnsi="Calibri"/>
          <w:sz w:val="22"/>
          <w:szCs w:val="22"/>
          <w:lang w:val="es-ES"/>
        </w:rPr>
        <w:t>Juichiro Sahara, Japan International Cooperation Agency (JICA)</w:t>
      </w:r>
    </w:p>
    <w:p w:rsidR="00635EF4" w:rsidRPr="00623684" w:rsidRDefault="00623684" w:rsidP="00623684">
      <w:pPr>
        <w:pStyle w:val="NoSpacing"/>
        <w:numPr>
          <w:ilvl w:val="0"/>
          <w:numId w:val="37"/>
        </w:numPr>
        <w:jc w:val="both"/>
        <w:rPr>
          <w:rFonts w:ascii="Calibri" w:hAnsi="Calibri"/>
          <w:sz w:val="22"/>
          <w:szCs w:val="22"/>
        </w:rPr>
      </w:pPr>
      <w:r w:rsidRPr="00623684">
        <w:rPr>
          <w:rFonts w:ascii="Calibri" w:hAnsi="Calibri"/>
          <w:sz w:val="22"/>
          <w:szCs w:val="22"/>
          <w:lang w:val="en-US"/>
        </w:rPr>
        <w:t>Ryan Yuen,</w:t>
      </w:r>
      <w:r w:rsidR="00635EF4" w:rsidRPr="00623684">
        <w:rPr>
          <w:rFonts w:ascii="Calibri" w:hAnsi="Calibri"/>
          <w:sz w:val="22"/>
          <w:szCs w:val="22"/>
        </w:rPr>
        <w:t xml:space="preserve"> </w:t>
      </w:r>
      <w:r w:rsidRPr="00623684">
        <w:rPr>
          <w:rFonts w:ascii="Calibri" w:hAnsi="Calibri"/>
          <w:sz w:val="22"/>
          <w:szCs w:val="22"/>
          <w:lang w:val="en-US"/>
        </w:rPr>
        <w:t>International Water Association (IWA)</w:t>
      </w: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635EF4" w:rsidRDefault="00635EF4" w:rsidP="00635EF4">
      <w:pPr>
        <w:pStyle w:val="NoSpacing"/>
      </w:pPr>
    </w:p>
    <w:p w:rsidR="00B94D15" w:rsidRPr="00373DE2" w:rsidRDefault="00B94D15" w:rsidP="00B94D15">
      <w:pPr>
        <w:pStyle w:val="Heading1"/>
        <w:numPr>
          <w:ilvl w:val="0"/>
          <w:numId w:val="0"/>
        </w:numPr>
        <w:rPr>
          <w:rFonts w:ascii="Calibri" w:hAnsi="Calibri" w:cs="Calibri"/>
          <w:sz w:val="22"/>
          <w:szCs w:val="22"/>
        </w:rPr>
      </w:pPr>
      <w:bookmarkStart w:id="3" w:name="_Toc331783559"/>
      <w:r>
        <w:lastRenderedPageBreak/>
        <w:t>Executive Summary</w:t>
      </w:r>
      <w:bookmarkEnd w:id="1"/>
      <w:bookmarkEnd w:id="3"/>
    </w:p>
    <w:p w:rsidR="00C63575" w:rsidRDefault="00C63575" w:rsidP="00C63575">
      <w:pPr>
        <w:jc w:val="both"/>
      </w:pPr>
      <w:r w:rsidRPr="0061565E">
        <w:t>In 2010 the E</w:t>
      </w:r>
      <w:r>
        <w:t>uropean Commission</w:t>
      </w:r>
      <w:r w:rsidRPr="0061565E">
        <w:t xml:space="preserve"> earmarked €40 million of the ACP-EU Water Facility to support water partnership projects in African, </w:t>
      </w:r>
      <w:smartTag w:uri="urn:schemas-microsoft-com:office:smarttags" w:element="place">
        <w:r w:rsidRPr="0061565E">
          <w:t>Caribbean</w:t>
        </w:r>
      </w:smartTag>
      <w:r w:rsidRPr="0061565E">
        <w:t xml:space="preserve"> and Pacific (ACP) countries. The aim of this programme –</w:t>
      </w:r>
      <w:r>
        <w:t xml:space="preserve"> </w:t>
      </w:r>
      <w:r w:rsidRPr="0061565E">
        <w:t>the ACP-EU Water P</w:t>
      </w:r>
      <w:r>
        <w:t xml:space="preserve">artnerships initiative – is to </w:t>
      </w:r>
      <w:r w:rsidRPr="0061565E">
        <w:t>contribute to improving water governance and management of water resources and to the sustainable development and main</w:t>
      </w:r>
      <w:r>
        <w:t>tenance of water infrastructure</w:t>
      </w:r>
      <w:r w:rsidRPr="0061565E">
        <w:t>. It does this by funding not-for-profit partnerships for capacity development between ACP and EU water and sanitation utilities, local authorities and other water sector organisations.</w:t>
      </w:r>
      <w:r>
        <w:t xml:space="preserve"> This paper evaluates the expected impact of </w:t>
      </w:r>
      <w:r w:rsidRPr="00BB5C10">
        <w:t>ACP-EU Water Partnerships</w:t>
      </w:r>
      <w:r>
        <w:t xml:space="preserve">, and </w:t>
      </w:r>
      <w:r w:rsidRPr="00B02CE8">
        <w:t>comparative</w:t>
      </w:r>
      <w:r>
        <w:t>ly evaluates</w:t>
      </w:r>
      <w:r w:rsidRPr="00B02CE8">
        <w:t xml:space="preserve"> the ACP-EU Water Partnerships initiative and other international programmes </w:t>
      </w:r>
      <w:r>
        <w:t>of</w:t>
      </w:r>
      <w:r w:rsidRPr="00B02CE8">
        <w:t xml:space="preserve"> not-for-profit partnerships for capacity </w:t>
      </w:r>
      <w:r>
        <w:t>development in the water and sanitation sector. The rationale for this</w:t>
      </w:r>
      <w:r w:rsidRPr="00B02CE8">
        <w:t xml:space="preserve"> evaluation </w:t>
      </w:r>
      <w:r>
        <w:t>is to offer</w:t>
      </w:r>
      <w:r w:rsidRPr="00B02CE8">
        <w:t xml:space="preserve"> lessons for the international water community on fostering the achievement of a critical mass of capacity as a precondition to achieving </w:t>
      </w:r>
      <w:r>
        <w:t xml:space="preserve">sustainable water development. </w:t>
      </w:r>
      <w:r w:rsidRPr="0061565E">
        <w:t xml:space="preserve"> </w:t>
      </w:r>
    </w:p>
    <w:p w:rsidR="00C63575" w:rsidRDefault="00C63575" w:rsidP="00C63575">
      <w:pPr>
        <w:jc w:val="both"/>
      </w:pPr>
    </w:p>
    <w:p w:rsidR="00C63575" w:rsidRDefault="00C63575" w:rsidP="00C63575">
      <w:pPr>
        <w:jc w:val="both"/>
        <w:rPr>
          <w:lang w:val="en-ZA"/>
        </w:rPr>
      </w:pPr>
      <w:r w:rsidRPr="006C5A9C">
        <w:rPr>
          <w:rFonts w:cs="Calibri"/>
        </w:rPr>
        <w:t xml:space="preserve">The ACP-EU Water Partnerships initiative funds capacity development activities </w:t>
      </w:r>
      <w:r>
        <w:rPr>
          <w:rFonts w:cs="Calibri"/>
        </w:rPr>
        <w:t xml:space="preserve">on </w:t>
      </w:r>
      <w:r>
        <w:t xml:space="preserve">themes which include </w:t>
      </w:r>
      <w:r>
        <w:rPr>
          <w:rFonts w:cs="Calibri"/>
        </w:rPr>
        <w:t xml:space="preserve">good water governance, integrated water resources management, and expanding access to the poor among others. </w:t>
      </w:r>
      <w:r>
        <w:t>Grants awarded by the European Commission’s</w:t>
      </w:r>
      <w:r w:rsidRPr="00CC2B00">
        <w:t xml:space="preserve"> </w:t>
      </w:r>
      <w:r w:rsidRPr="00BB5C10">
        <w:t>ACP-EU Water</w:t>
      </w:r>
      <w:r>
        <w:t xml:space="preserve"> Facility range from €250,000 to €1 million, and do not exceed 75% of the total eligible cost of the action. The duration of actions funded by the </w:t>
      </w:r>
      <w:r w:rsidRPr="00BB5C10">
        <w:t>ACP-EU Water</w:t>
      </w:r>
      <w:r>
        <w:t xml:space="preserve"> Facility is between 24 and 60 months. </w:t>
      </w:r>
      <w:r w:rsidRPr="008410FC">
        <w:rPr>
          <w:rFonts w:cs="Calibri"/>
        </w:rPr>
        <w:t>The Restricted Call for Proposals provided for the competitive selection of</w:t>
      </w:r>
      <w:r>
        <w:t xml:space="preserve"> applications. </w:t>
      </w:r>
      <w:r>
        <w:rPr>
          <w:lang w:val="en-ZA"/>
        </w:rPr>
        <w:t xml:space="preserve">The evaluation criteria requested applicants to: show how they intended to achieve mandatory results that would be maintained as permanent assets of the beneficiary partners; </w:t>
      </w:r>
      <w:r>
        <w:rPr>
          <w:rFonts w:cs="Calibri"/>
        </w:rPr>
        <w:t xml:space="preserve">show how their proposal would </w:t>
      </w:r>
      <w:r w:rsidRPr="00816069">
        <w:rPr>
          <w:rFonts w:cs="Calibri"/>
        </w:rPr>
        <w:t>contribute to implementing national water and sanit</w:t>
      </w:r>
      <w:r>
        <w:rPr>
          <w:rFonts w:cs="Calibri"/>
        </w:rPr>
        <w:t>ation strategies and programmes. Applicants were encouraged to actively involve</w:t>
      </w:r>
      <w:r w:rsidRPr="00816069">
        <w:rPr>
          <w:rFonts w:cs="Calibri"/>
        </w:rPr>
        <w:t xml:space="preserve"> local Non State Actors</w:t>
      </w:r>
      <w:r>
        <w:rPr>
          <w:rFonts w:cs="Calibri"/>
        </w:rPr>
        <w:t xml:space="preserve"> as supporting partners</w:t>
      </w:r>
      <w:r w:rsidRPr="00816069">
        <w:rPr>
          <w:rFonts w:cs="Calibri"/>
        </w:rPr>
        <w:t>.</w:t>
      </w:r>
      <w:r>
        <w:rPr>
          <w:rFonts w:cs="Calibri"/>
        </w:rPr>
        <w:t xml:space="preserve"> Consideration was given for establishing synergies</w:t>
      </w:r>
      <w:r w:rsidRPr="00B94D15">
        <w:rPr>
          <w:rFonts w:cs="Calibri"/>
        </w:rPr>
        <w:t xml:space="preserve"> with other capacity developm</w:t>
      </w:r>
      <w:r>
        <w:rPr>
          <w:rFonts w:cs="Calibri"/>
        </w:rPr>
        <w:t>ent initiatives and avoiding</w:t>
      </w:r>
      <w:r w:rsidRPr="00B94D15">
        <w:rPr>
          <w:rFonts w:cs="Calibri"/>
        </w:rPr>
        <w:t xml:space="preserve"> duplication.</w:t>
      </w:r>
      <w:r>
        <w:rPr>
          <w:rFonts w:cs="Calibri"/>
        </w:rPr>
        <w:t xml:space="preserve"> </w:t>
      </w:r>
      <w:r w:rsidRPr="00B94D15">
        <w:rPr>
          <w:rFonts w:cs="Calibri"/>
        </w:rPr>
        <w:t xml:space="preserve">Applicants were </w:t>
      </w:r>
      <w:r>
        <w:rPr>
          <w:rFonts w:cs="Calibri"/>
        </w:rPr>
        <w:t xml:space="preserve">also </w:t>
      </w:r>
      <w:r w:rsidRPr="00B94D15">
        <w:rPr>
          <w:rFonts w:cs="Calibri"/>
        </w:rPr>
        <w:t xml:space="preserve">expected to generate a multiplier effect </w:t>
      </w:r>
      <w:r>
        <w:rPr>
          <w:rFonts w:cs="Calibri"/>
        </w:rPr>
        <w:t>as a result of</w:t>
      </w:r>
      <w:r w:rsidRPr="00B94D15">
        <w:rPr>
          <w:rFonts w:cs="Calibri"/>
        </w:rPr>
        <w:t xml:space="preserve"> </w:t>
      </w:r>
      <w:r>
        <w:rPr>
          <w:rFonts w:cs="Calibri"/>
        </w:rPr>
        <w:t>replication and/or scaling</w:t>
      </w:r>
      <w:r w:rsidRPr="00B94D15">
        <w:rPr>
          <w:rFonts w:cs="Calibri"/>
        </w:rPr>
        <w:t>-up within the country/region. To guarantee the realisation of expected impact, applicants were requested to accurately describe the procedures for internal/external evaluation during execution of the action.</w:t>
      </w:r>
      <w:r w:rsidRPr="00C63FC8">
        <w:rPr>
          <w:rStyle w:val="EndnoteReference"/>
          <w:rFonts w:cs="Calibri"/>
          <w:lang w:val="en-ZA"/>
        </w:rPr>
        <w:t xml:space="preserve"> </w:t>
      </w:r>
      <w:r w:rsidRPr="00866CED">
        <w:rPr>
          <w:rStyle w:val="EndnoteReference"/>
          <w:rFonts w:cs="Calibri"/>
          <w:lang w:val="en-ZA"/>
        </w:rPr>
        <w:t xml:space="preserve"> </w:t>
      </w:r>
      <w:r>
        <w:rPr>
          <w:rFonts w:cs="Calibri"/>
        </w:rPr>
        <w:t xml:space="preserve"> </w:t>
      </w:r>
    </w:p>
    <w:p w:rsidR="00C63575" w:rsidRDefault="00C63575" w:rsidP="00C63575">
      <w:pPr>
        <w:rPr>
          <w:lang w:val="en-ZA"/>
        </w:rPr>
      </w:pPr>
    </w:p>
    <w:p w:rsidR="00C63575" w:rsidRDefault="00C63575" w:rsidP="00C63575">
      <w:pPr>
        <w:jc w:val="both"/>
      </w:pPr>
      <w:r w:rsidRPr="00A7603F">
        <w:rPr>
          <w:rFonts w:cs="Calibri"/>
        </w:rPr>
        <w:t>At the end of 2011, the ACP-EU Water Facility awarded</w:t>
      </w:r>
      <w:r w:rsidRPr="006D3E82">
        <w:rPr>
          <w:rFonts w:cs="Calibri"/>
        </w:rPr>
        <w:t xml:space="preserve"> </w:t>
      </w:r>
      <w:r>
        <w:rPr>
          <w:rFonts w:cs="Calibri"/>
        </w:rPr>
        <w:t>g</w:t>
      </w:r>
      <w:r w:rsidRPr="00A7603F">
        <w:rPr>
          <w:rFonts w:cs="Calibri"/>
        </w:rPr>
        <w:t>rants</w:t>
      </w:r>
      <w:r w:rsidRPr="00D70B47">
        <w:rPr>
          <w:rFonts w:cs="Calibri"/>
        </w:rPr>
        <w:t xml:space="preserve"> </w:t>
      </w:r>
      <w:r>
        <w:rPr>
          <w:rFonts w:cs="Calibri"/>
        </w:rPr>
        <w:t>totalling</w:t>
      </w:r>
      <w:r w:rsidRPr="00A7603F">
        <w:rPr>
          <w:rFonts w:cs="Calibri"/>
        </w:rPr>
        <w:t xml:space="preserve"> €23million to </w:t>
      </w:r>
      <w:r>
        <w:rPr>
          <w:rFonts w:cs="Calibri"/>
        </w:rPr>
        <w:t>32 projects, which mobilised €31.9 million</w:t>
      </w:r>
      <w:r w:rsidRPr="00A7603F">
        <w:rPr>
          <w:rFonts w:cs="Calibri"/>
        </w:rPr>
        <w:t>.</w:t>
      </w:r>
      <w:r>
        <w:rPr>
          <w:rFonts w:cs="Calibri"/>
        </w:rPr>
        <w:t xml:space="preserve"> </w:t>
      </w:r>
      <w:r>
        <w:t>The expected impact of ACP-EU Water Partnerships is significant as it consists in millions of people benefitting from capacity development and improvements in key areas for sustainable water development</w:t>
      </w:r>
      <w:r>
        <w:rPr>
          <w:rFonts w:cs="Calibri"/>
        </w:rPr>
        <w:t>. Highlights of the expected impact include: 20.5 million people benefitting from expanded access to the poor in water supply; 12 million people benefitting both from improved efficiency in management and system maintenance in sanitation; 105.4</w:t>
      </w:r>
      <w:r w:rsidRPr="00EE2905">
        <w:rPr>
          <w:rFonts w:cs="Calibri"/>
        </w:rPr>
        <w:t xml:space="preserve"> </w:t>
      </w:r>
      <w:r>
        <w:rPr>
          <w:rFonts w:cs="Calibri"/>
        </w:rPr>
        <w:t xml:space="preserve">million people benefitting from improved </w:t>
      </w:r>
      <w:r w:rsidRPr="00611B7F">
        <w:rPr>
          <w:rFonts w:cs="Calibri"/>
          <w:color w:val="000000"/>
        </w:rPr>
        <w:t>integrated water resources management</w:t>
      </w:r>
      <w:r>
        <w:rPr>
          <w:rFonts w:cs="Calibri"/>
        </w:rPr>
        <w:t xml:space="preserve">. The realisation of expected results depends on the alignment of the institutional characteristics of successful applications to the achievement of a critical mass of capacity in the targeted impact areas. This alignment is strong as most projects: offer ample opportunities for capacity absorption as a result of their duration; mobilise over </w:t>
      </w:r>
      <w:r w:rsidRPr="00C16D13">
        <w:rPr>
          <w:rFonts w:cs="Calibri"/>
        </w:rPr>
        <w:t>€</w:t>
      </w:r>
      <w:r w:rsidRPr="00C16D13">
        <w:t>1 million</w:t>
      </w:r>
      <w:r>
        <w:t xml:space="preserve"> to </w:t>
      </w:r>
      <w:r w:rsidRPr="00C16D13">
        <w:rPr>
          <w:rFonts w:cs="Calibri"/>
        </w:rPr>
        <w:t>sustain their activities</w:t>
      </w:r>
      <w:r>
        <w:rPr>
          <w:rFonts w:cs="Calibri"/>
        </w:rPr>
        <w:t xml:space="preserve">; both contribute to the implementation of national water and sanitation programs and strategies, and pursue synergies with other capacity development initiatives; </w:t>
      </w:r>
      <w:r>
        <w:t xml:space="preserve">adopt no less than three diverse approaches to </w:t>
      </w:r>
      <w:r>
        <w:rPr>
          <w:rFonts w:cs="Calibri"/>
        </w:rPr>
        <w:t xml:space="preserve">ensuring that </w:t>
      </w:r>
      <w:r w:rsidRPr="00074975">
        <w:t xml:space="preserve">mandatory </w:t>
      </w:r>
      <w:r>
        <w:t xml:space="preserve">results </w:t>
      </w:r>
      <w:r w:rsidRPr="00074975">
        <w:t>are maintained as perm</w:t>
      </w:r>
      <w:r>
        <w:t>anent assets of beneficiary partner</w:t>
      </w:r>
      <w:r w:rsidRPr="00074975">
        <w:t>s</w:t>
      </w:r>
      <w:r>
        <w:t xml:space="preserve">; adopt two or more approaches to </w:t>
      </w:r>
      <w:r>
        <w:rPr>
          <w:rFonts w:cs="Calibri"/>
        </w:rPr>
        <w:t xml:space="preserve">obtain replication and scaling-up; and, </w:t>
      </w:r>
      <w:r>
        <w:t>envisage the adoption of both internal and external monitoring and evaluation procedures.</w:t>
      </w:r>
    </w:p>
    <w:p w:rsidR="00C63575" w:rsidRDefault="00C63575" w:rsidP="00C63575">
      <w:pPr>
        <w:jc w:val="both"/>
      </w:pPr>
    </w:p>
    <w:p w:rsidR="00C63575" w:rsidRDefault="00C63575" w:rsidP="00C63575">
      <w:pPr>
        <w:jc w:val="both"/>
        <w:rPr>
          <w:rFonts w:cs="Calibri"/>
        </w:rPr>
      </w:pPr>
      <w:r>
        <w:t>This report compares the ACP-EU Water Partnerships initiative with the regional platforms for Water Operators’ Partnerships (WOPs): WOP-Africa; WOP-LAC (Latin America and the Caribbean); WaterLinks (Asia and Pacific); and, WOP-SEE (</w:t>
      </w:r>
      <w:smartTag w:uri="urn:schemas-microsoft-com:office:smarttags" w:element="place">
        <w:r>
          <w:t>South-East Europe</w:t>
        </w:r>
      </w:smartTag>
      <w:r>
        <w:t>). Compared to the regional WOP platforms, ACP-EU Water Partnerships address a higher percentage of themes related to water governance and sustainable development and</w:t>
      </w:r>
      <w:r w:rsidRPr="005E3943">
        <w:t xml:space="preserve"> </w:t>
      </w:r>
      <w:r>
        <w:t xml:space="preserve">mobilise a greater amount of financial resources. </w:t>
      </w:r>
      <w:r w:rsidR="00391100">
        <w:t xml:space="preserve">We find that </w:t>
      </w:r>
      <w:r>
        <w:t>ACP-EU Water Partnerships aim</w:t>
      </w:r>
      <w:r w:rsidRPr="00384892">
        <w:t xml:space="preserve"> </w:t>
      </w:r>
      <w:r>
        <w:t>more systematically at achieving mandatory and permanent results, and at replicating and up-scaling project results. Also, the</w:t>
      </w:r>
      <w:r w:rsidRPr="00342485">
        <w:rPr>
          <w:rFonts w:cs="Calibri"/>
        </w:rPr>
        <w:t xml:space="preserve"> </w:t>
      </w:r>
      <w:r>
        <w:rPr>
          <w:rFonts w:cs="Calibri"/>
        </w:rPr>
        <w:t xml:space="preserve">extent of Non State Actor involvement in </w:t>
      </w:r>
      <w:r w:rsidRPr="00A469D0">
        <w:t>ACP-EU Water Partnerships</w:t>
      </w:r>
      <w:r w:rsidRPr="00B25479">
        <w:t xml:space="preserve"> </w:t>
      </w:r>
      <w:r>
        <w:t>finds no equal in regional WOPs. Conversely, the South-South component of</w:t>
      </w:r>
      <w:r w:rsidRPr="004402E8">
        <w:t xml:space="preserve"> </w:t>
      </w:r>
      <w:r>
        <w:t xml:space="preserve">ACP-EU Water Partnerships is inferior to that of regional WOPs.  </w:t>
      </w:r>
    </w:p>
    <w:p w:rsidR="00C63575" w:rsidRPr="00FD034B" w:rsidRDefault="00C63575" w:rsidP="00C63575">
      <w:pPr>
        <w:jc w:val="both"/>
      </w:pPr>
    </w:p>
    <w:p w:rsidR="006A5BD4" w:rsidRDefault="00C63575" w:rsidP="00C63575">
      <w:pPr>
        <w:jc w:val="both"/>
      </w:pPr>
      <w:r>
        <w:t xml:space="preserve">This comparative analysis informs our SWOT analysis (strength, weaknesses, opportunities, and threats) of the </w:t>
      </w:r>
      <w:r w:rsidRPr="00B02CE8">
        <w:t>ACP-EU Water Partnerships initiative</w:t>
      </w:r>
      <w:r>
        <w:t xml:space="preserve">. The findings of our SWOT analysis are the following. Strengths: the significant financial resources made available for </w:t>
      </w:r>
      <w:r w:rsidRPr="00A469D0">
        <w:t>ACP-EU Water Partnerships</w:t>
      </w:r>
      <w:r>
        <w:t xml:space="preserve"> </w:t>
      </w:r>
      <w:r w:rsidRPr="0010643D">
        <w:t xml:space="preserve">enable </w:t>
      </w:r>
      <w:r>
        <w:t xml:space="preserve">the production of a tangible </w:t>
      </w:r>
      <w:r w:rsidRPr="000553FF">
        <w:t xml:space="preserve">impact </w:t>
      </w:r>
      <w:r>
        <w:t xml:space="preserve">which is not paralleled by other programmes; the selection of </w:t>
      </w:r>
      <w:r w:rsidRPr="00A469D0">
        <w:t>ACP-EU Water Partnerships</w:t>
      </w:r>
      <w:r>
        <w:t xml:space="preserve"> has been informed by a coherent evaluation framework specifically aimed at achieving a critical mass of capacity; </w:t>
      </w:r>
      <w:r>
        <w:rPr>
          <w:rFonts w:cs="Calibri"/>
        </w:rPr>
        <w:t xml:space="preserve">Non State Actor involvement in </w:t>
      </w:r>
      <w:r w:rsidRPr="00A469D0">
        <w:t>ACP-EU Water Partnerships</w:t>
      </w:r>
      <w:r w:rsidRPr="00B25479">
        <w:t xml:space="preserve"> </w:t>
      </w:r>
      <w:r>
        <w:t xml:space="preserve">finds no equal in regional WOP platforms. </w:t>
      </w:r>
    </w:p>
    <w:p w:rsidR="006A5BD4" w:rsidRDefault="006A5BD4" w:rsidP="00C63575">
      <w:pPr>
        <w:jc w:val="both"/>
      </w:pPr>
    </w:p>
    <w:p w:rsidR="006A5BD4" w:rsidRDefault="00C63575" w:rsidP="00C63575">
      <w:pPr>
        <w:jc w:val="both"/>
      </w:pPr>
      <w:r>
        <w:t>Weaknesses:</w:t>
      </w:r>
      <w:r w:rsidRPr="00C65A9E">
        <w:t xml:space="preserve"> </w:t>
      </w:r>
      <w:r>
        <w:t xml:space="preserve">considering the scale of the need in ACP countries, it is unlikely that the timeframe of the </w:t>
      </w:r>
      <w:r w:rsidRPr="00A469D0">
        <w:t>ACP-EU Water Partnerships</w:t>
      </w:r>
      <w:r>
        <w:t xml:space="preserve"> will allow this initiative alone to achieve a critical mass of capacity; the funds allocated to the financing of ACP-EU Water Partnerships are about half the budget approved for the same initiative, preventing the realisation of its full developmental potential; t</w:t>
      </w:r>
      <w:r w:rsidRPr="0035322E">
        <w:t>he limited South-South component of</w:t>
      </w:r>
      <w:r>
        <w:t xml:space="preserve"> </w:t>
      </w:r>
      <w:r w:rsidRPr="0035322E">
        <w:t xml:space="preserve">ACP-EU Water Partnerships </w:t>
      </w:r>
      <w:r>
        <w:t xml:space="preserve">might lead to difficulties in knowledge transfer due to the cultural barriers between ACP and EU partners. </w:t>
      </w:r>
    </w:p>
    <w:p w:rsidR="006A5BD4" w:rsidRDefault="006A5BD4" w:rsidP="00C63575">
      <w:pPr>
        <w:jc w:val="both"/>
      </w:pPr>
    </w:p>
    <w:p w:rsidR="006A5BD4" w:rsidRDefault="00C63575" w:rsidP="00C63575">
      <w:pPr>
        <w:jc w:val="both"/>
      </w:pPr>
      <w:r>
        <w:t>Opportunities: t</w:t>
      </w:r>
      <w:r w:rsidRPr="003F5C4F">
        <w:t xml:space="preserve">he available not-for-profit capacity in the water and sanitation sector is far greater than what has </w:t>
      </w:r>
      <w:r>
        <w:t xml:space="preserve">been </w:t>
      </w:r>
      <w:r w:rsidRPr="003F5C4F">
        <w:t xml:space="preserve">mobilised </w:t>
      </w:r>
      <w:r>
        <w:t>by the ACP-EU Water Partnerships; water and sanitation utilities and other stakeholders are increasingly showing interest in participating in not-for-profit partnerships for capacity development; there is a growing interest among donors in supporting not-for-profit partnerships for capacity development in the water and sanitation sector</w:t>
      </w:r>
      <w:r w:rsidRPr="003F5C4F">
        <w:t>.</w:t>
      </w:r>
      <w:r>
        <w:t xml:space="preserve"> </w:t>
      </w:r>
    </w:p>
    <w:p w:rsidR="006A5BD4" w:rsidRDefault="006A5BD4" w:rsidP="00C63575">
      <w:pPr>
        <w:jc w:val="both"/>
      </w:pPr>
    </w:p>
    <w:p w:rsidR="00C63575" w:rsidRDefault="00C63575" w:rsidP="00C63575">
      <w:pPr>
        <w:jc w:val="both"/>
        <w:rPr>
          <w:lang w:val="en-ZA"/>
        </w:rPr>
      </w:pPr>
      <w:r>
        <w:t xml:space="preserve">Threats: due to the scale of the need, it is unlikely that the financial resources made available to </w:t>
      </w:r>
      <w:r w:rsidRPr="00A469D0">
        <w:t>ACP-EU Water Partnerships</w:t>
      </w:r>
      <w:r>
        <w:t xml:space="preserve"> will be sufficient to achieve a critical mass of capacity; donors’ commitment to fund not-for-profit partnerships could deteriorate, leading to reduced resources and greater obstacles to the achievement of a critical mass of capacity in the water and sanitation sector. </w:t>
      </w:r>
      <w:r w:rsidRPr="003F5C4F">
        <w:t xml:space="preserve"> </w:t>
      </w:r>
      <w:r>
        <w:t xml:space="preserve">     </w:t>
      </w:r>
    </w:p>
    <w:p w:rsidR="00C63575" w:rsidRDefault="00C63575" w:rsidP="00C63575">
      <w:pPr>
        <w:rPr>
          <w:lang w:val="en-ZA"/>
        </w:rPr>
      </w:pPr>
    </w:p>
    <w:p w:rsidR="006A5BD4" w:rsidRDefault="00C63575" w:rsidP="00C63575">
      <w:pPr>
        <w:jc w:val="both"/>
      </w:pPr>
      <w:r>
        <w:t xml:space="preserve">The </w:t>
      </w:r>
      <w:r w:rsidRPr="00A469D0">
        <w:t>ACP-EU Water Partnerships</w:t>
      </w:r>
      <w:r>
        <w:t xml:space="preserve"> initiative is a distinctively </w:t>
      </w:r>
      <w:r w:rsidRPr="0061565E">
        <w:t xml:space="preserve">innovative attempt to </w:t>
      </w:r>
      <w:r>
        <w:t xml:space="preserve">develop </w:t>
      </w:r>
      <w:r w:rsidRPr="0061565E">
        <w:t>capacity in the water and sanitation sector.</w:t>
      </w:r>
      <w:r>
        <w:t xml:space="preserve"> The innovation of </w:t>
      </w:r>
      <w:r w:rsidRPr="00A469D0">
        <w:t>ACP-EU Water Partnerships</w:t>
      </w:r>
      <w:r>
        <w:t xml:space="preserve"> consists in the alignment of significant financial resources and a coherent evaluation framework aimed at achieving a critical mass of capacity </w:t>
      </w:r>
      <w:r w:rsidRPr="0061565E">
        <w:t>in the water and sanitation sector.</w:t>
      </w:r>
      <w:r w:rsidR="00E36AAF">
        <w:t xml:space="preserve"> Significant financial resources enable the implementation of actions allowing millions to benefit from improved water and sanitation services and improved water resources management. Significant financial resources also allow for a duration of actions which facilitates </w:t>
      </w:r>
      <w:r w:rsidR="00897E74">
        <w:t xml:space="preserve">the absorption of capacity by beneficiary partners. </w:t>
      </w:r>
      <w:r w:rsidR="00E36AAF">
        <w:t>The actions made possible by the allocated financial resources are directed by the eligibility criteria to address a wide range of themes – including</w:t>
      </w:r>
      <w:r w:rsidR="00897E74" w:rsidRPr="00897E74">
        <w:t xml:space="preserve"> </w:t>
      </w:r>
      <w:r w:rsidR="00897E74">
        <w:t xml:space="preserve">good water governance as well as traditional </w:t>
      </w:r>
      <w:r w:rsidR="00E36AAF">
        <w:t>operational and managerial issues</w:t>
      </w:r>
      <w:r w:rsidR="00897E74">
        <w:t xml:space="preserve"> </w:t>
      </w:r>
      <w:r w:rsidR="00E36AAF">
        <w:t xml:space="preserve">– with the active involvement of </w:t>
      </w:r>
      <w:r w:rsidR="00897E74">
        <w:t xml:space="preserve">local </w:t>
      </w:r>
      <w:r w:rsidR="00E36AAF">
        <w:t xml:space="preserve">Non State Actors. These actions are also directed by the evaluation criteria to </w:t>
      </w:r>
      <w:r w:rsidR="00B14F33">
        <w:t xml:space="preserve">generate a sense of ownership among national governments due to the contribution to the implementation of national strategies, to </w:t>
      </w:r>
      <w:r w:rsidR="00E36AAF">
        <w:t xml:space="preserve">produce tangible and sustained results for beneficiary partners, and to replicate and up-scale local capacity development processes. The evaluation and monitoring procedures envisaged for </w:t>
      </w:r>
      <w:r w:rsidR="00897E74">
        <w:t xml:space="preserve">the </w:t>
      </w:r>
      <w:r w:rsidR="00E36AAF">
        <w:t xml:space="preserve">funded </w:t>
      </w:r>
      <w:r w:rsidR="00E36AAF" w:rsidRPr="00A469D0">
        <w:t>ACP-EU Water Partnerships</w:t>
      </w:r>
      <w:r w:rsidR="00E36AAF">
        <w:t xml:space="preserve"> are a credible guarantee for the translation of expected results into reality. </w:t>
      </w:r>
      <w:r>
        <w:t xml:space="preserve"> </w:t>
      </w:r>
    </w:p>
    <w:p w:rsidR="006A5BD4" w:rsidRDefault="006A5BD4" w:rsidP="00C63575">
      <w:pPr>
        <w:jc w:val="both"/>
      </w:pPr>
    </w:p>
    <w:p w:rsidR="00C63575" w:rsidRDefault="00C63575" w:rsidP="00C63575">
      <w:pPr>
        <w:jc w:val="both"/>
      </w:pPr>
      <w:r>
        <w:t xml:space="preserve">In light of our findings, we offer the following policy recommendations. Significant financial resources should be made available to international programmes supporting not-for-profit partnerships for capacity development. These financial resources should be commensurate to the scale of the need across transition and developing countries, and made available for the time required to meet such a challenging goal as attaining a critical mass of capacity. Strategies should be devised for the effective deployment of the financial resources made available through budget lines, so that concrete actions can be undertaken for capacity development. Finally, international programmes supporting not-for-profit partnerships for capacity development should be designed as open and continued opportunities for learning on developing capacity for sustainable water development. </w:t>
      </w:r>
      <w:r w:rsidR="00E36AAF">
        <w:t>Adequately resourced mechanisms should be adopted for sharing lessons on the merits of the institutional features of different programmes, and on the merits of the intervention strategies adopted by different not-for-profit partnerships.</w:t>
      </w:r>
    </w:p>
    <w:p w:rsidR="00A4705C" w:rsidRPr="00C63575" w:rsidRDefault="00A4705C" w:rsidP="00B94D15">
      <w:pPr>
        <w:rPr>
          <w:b/>
        </w:rPr>
      </w:pPr>
    </w:p>
    <w:p w:rsidR="00B94D15" w:rsidRPr="00996A6E" w:rsidRDefault="00B94D15" w:rsidP="004A724D">
      <w:pPr>
        <w:pStyle w:val="Heading1"/>
        <w:numPr>
          <w:ilvl w:val="0"/>
          <w:numId w:val="22"/>
        </w:numPr>
      </w:pPr>
      <w:bookmarkStart w:id="4" w:name="_Toc321061363"/>
      <w:bookmarkStart w:id="5" w:name="_Toc331783560"/>
      <w:r>
        <w:lastRenderedPageBreak/>
        <w:t>Introduction</w:t>
      </w:r>
      <w:bookmarkEnd w:id="4"/>
      <w:bookmarkEnd w:id="5"/>
    </w:p>
    <w:p w:rsidR="00B94D15" w:rsidRPr="0061565E" w:rsidRDefault="00B94D15" w:rsidP="00B94D15">
      <w:pPr>
        <w:jc w:val="both"/>
        <w:rPr>
          <w:rFonts w:ascii="Arial" w:hAnsi="Arial" w:cs="Arial"/>
        </w:rPr>
      </w:pPr>
      <w:r w:rsidRPr="0061565E">
        <w:t>In 2010 the E</w:t>
      </w:r>
      <w:r w:rsidR="00B168CA">
        <w:t>uropean Commission</w:t>
      </w:r>
      <w:r w:rsidRPr="0061565E">
        <w:t xml:space="preserve"> earmarked €40 million of the ACP-EU Water Facility to support water partnership projects in African, </w:t>
      </w:r>
      <w:smartTag w:uri="urn:schemas-microsoft-com:office:smarttags" w:element="place">
        <w:r w:rsidRPr="0061565E">
          <w:t>Caribbean</w:t>
        </w:r>
      </w:smartTag>
      <w:r w:rsidRPr="0061565E">
        <w:t xml:space="preserve"> and Pacific (ACP) countries. The aim of this programme – also known as the ACP-EU Water Partnerships initiative – is to “contribute to improving water governance and management of water resources and to the sustainable development and maintenance of water infrastructure”.  This is because lack of capacity in the ACP water and sanitation sector has been identified as a barrier to achieving the Millennium Development Goals (MDGs) for drinking water and sanitation: to halve by 2015 the proportion of people without sustainable access to safe drinking water and basic sanitation</w:t>
      </w:r>
      <w:r w:rsidRPr="0061565E">
        <w:rPr>
          <w:lang w:val="en-ZA"/>
        </w:rPr>
        <w:t>.</w:t>
      </w:r>
      <w:r w:rsidRPr="0061565E">
        <w:rPr>
          <w:rStyle w:val="EndnoteReference"/>
          <w:lang w:val="en-ZA"/>
        </w:rPr>
        <w:endnoteReference w:id="1"/>
      </w:r>
    </w:p>
    <w:p w:rsidR="00B94D15" w:rsidRPr="0061565E" w:rsidRDefault="00B94D15" w:rsidP="00B94D15">
      <w:pPr>
        <w:ind w:left="420"/>
        <w:jc w:val="both"/>
        <w:rPr>
          <w:rFonts w:ascii="Arial" w:hAnsi="Arial" w:cs="Arial"/>
        </w:rPr>
      </w:pPr>
      <w:r w:rsidRPr="0061565E">
        <w:rPr>
          <w:lang w:val="en-ZA"/>
        </w:rPr>
        <w:t xml:space="preserve"> </w:t>
      </w:r>
      <w:r w:rsidRPr="0061565E">
        <w:rPr>
          <w:rFonts w:ascii="Arial" w:hAnsi="Arial" w:cs="Arial"/>
        </w:rPr>
        <w:t xml:space="preserve">  </w:t>
      </w:r>
    </w:p>
    <w:p w:rsidR="00203E8E" w:rsidRDefault="00B94D15" w:rsidP="00B94D15">
      <w:pPr>
        <w:pStyle w:val="NoSpacing"/>
        <w:jc w:val="both"/>
        <w:rPr>
          <w:rFonts w:ascii="Calibri" w:hAnsi="Calibri"/>
          <w:sz w:val="22"/>
          <w:szCs w:val="22"/>
        </w:rPr>
      </w:pPr>
      <w:r>
        <w:rPr>
          <w:rFonts w:ascii="Calibri" w:hAnsi="Calibri"/>
          <w:sz w:val="22"/>
          <w:szCs w:val="22"/>
        </w:rPr>
        <w:t xml:space="preserve">The </w:t>
      </w:r>
      <w:r w:rsidRPr="0061565E">
        <w:rPr>
          <w:rFonts w:ascii="Calibri" w:hAnsi="Calibri"/>
          <w:sz w:val="22"/>
          <w:szCs w:val="22"/>
        </w:rPr>
        <w:t>ACP-EU Water Partnerships</w:t>
      </w:r>
      <w:r>
        <w:rPr>
          <w:rFonts w:ascii="Calibri" w:hAnsi="Calibri"/>
          <w:sz w:val="22"/>
          <w:szCs w:val="22"/>
        </w:rPr>
        <w:t xml:space="preserve"> initiative</w:t>
      </w:r>
      <w:r w:rsidRPr="0061565E">
        <w:rPr>
          <w:rFonts w:ascii="Calibri" w:hAnsi="Calibri"/>
          <w:sz w:val="22"/>
          <w:szCs w:val="22"/>
        </w:rPr>
        <w:t xml:space="preserve"> </w:t>
      </w:r>
      <w:r>
        <w:rPr>
          <w:rFonts w:ascii="Calibri" w:hAnsi="Calibri"/>
          <w:sz w:val="22"/>
          <w:szCs w:val="22"/>
        </w:rPr>
        <w:t>is</w:t>
      </w:r>
      <w:r w:rsidRPr="0061565E">
        <w:rPr>
          <w:rFonts w:ascii="Calibri" w:hAnsi="Calibri"/>
          <w:sz w:val="22"/>
          <w:szCs w:val="22"/>
        </w:rPr>
        <w:t xml:space="preserve"> a distinctive</w:t>
      </w:r>
      <w:r w:rsidR="00B168CA">
        <w:rPr>
          <w:rFonts w:ascii="Calibri" w:hAnsi="Calibri"/>
          <w:sz w:val="22"/>
          <w:szCs w:val="22"/>
        </w:rPr>
        <w:t>ly</w:t>
      </w:r>
      <w:r w:rsidRPr="0061565E">
        <w:rPr>
          <w:rFonts w:ascii="Calibri" w:hAnsi="Calibri"/>
          <w:sz w:val="22"/>
          <w:szCs w:val="22"/>
        </w:rPr>
        <w:t xml:space="preserve"> innovative attempt to mobilise the available not-for-profit capacity in the ACP-EU water and sanitation sector. It does this by funding not-for-profit partnerships for capacity development between ACP and EU water and sanitation utilities, local authorities and other water sector organisations.</w:t>
      </w:r>
      <w:r>
        <w:rPr>
          <w:rFonts w:ascii="Calibri" w:hAnsi="Calibri"/>
          <w:sz w:val="22"/>
          <w:szCs w:val="22"/>
        </w:rPr>
        <w:t xml:space="preserve"> </w:t>
      </w:r>
      <w:r w:rsidR="00392D31">
        <w:rPr>
          <w:rFonts w:ascii="Calibri" w:hAnsi="Calibri"/>
          <w:sz w:val="22"/>
          <w:szCs w:val="22"/>
        </w:rPr>
        <w:t>The</w:t>
      </w:r>
      <w:r w:rsidR="00392D31" w:rsidRPr="00392D31">
        <w:rPr>
          <w:rFonts w:ascii="Calibri" w:hAnsi="Calibri"/>
          <w:sz w:val="22"/>
          <w:szCs w:val="22"/>
        </w:rPr>
        <w:t xml:space="preserve"> </w:t>
      </w:r>
      <w:r w:rsidR="00392D31" w:rsidRPr="0061565E">
        <w:rPr>
          <w:rFonts w:ascii="Calibri" w:hAnsi="Calibri"/>
          <w:sz w:val="22"/>
          <w:szCs w:val="22"/>
        </w:rPr>
        <w:t>ACP-EU Water Partnerships</w:t>
      </w:r>
      <w:r w:rsidR="00392D31">
        <w:rPr>
          <w:rFonts w:ascii="Calibri" w:hAnsi="Calibri"/>
          <w:sz w:val="22"/>
          <w:szCs w:val="22"/>
        </w:rPr>
        <w:t xml:space="preserve"> initiative represents an innovation in capacity development due to </w:t>
      </w:r>
      <w:r w:rsidR="002A05F3">
        <w:rPr>
          <w:rFonts w:ascii="Calibri" w:hAnsi="Calibri"/>
          <w:sz w:val="22"/>
          <w:szCs w:val="22"/>
        </w:rPr>
        <w:t xml:space="preserve">its institutional features related to the availability of resources, eligibility criteria including the focus of eligible actions, and the rules of the selection procedure. This combination of institutional features deserves the attention of the international water community as it allows for </w:t>
      </w:r>
      <w:r w:rsidR="00977D4E">
        <w:rPr>
          <w:rFonts w:ascii="Calibri" w:hAnsi="Calibri"/>
          <w:sz w:val="22"/>
          <w:szCs w:val="22"/>
        </w:rPr>
        <w:t>a significant developmental impact in a region where progress towards meeting MDG targets for water and sanitation has been limited</w:t>
      </w:r>
      <w:r w:rsidR="007371EE">
        <w:rPr>
          <w:rFonts w:ascii="Calibri" w:hAnsi="Calibri"/>
          <w:sz w:val="22"/>
          <w:szCs w:val="22"/>
        </w:rPr>
        <w:t xml:space="preserve"> to date</w:t>
      </w:r>
      <w:r w:rsidR="00977D4E">
        <w:rPr>
          <w:rFonts w:ascii="Calibri" w:hAnsi="Calibri"/>
          <w:sz w:val="22"/>
          <w:szCs w:val="22"/>
        </w:rPr>
        <w:t>.</w:t>
      </w:r>
      <w:r w:rsidR="002A05F3">
        <w:rPr>
          <w:rFonts w:ascii="Calibri" w:hAnsi="Calibri"/>
          <w:sz w:val="22"/>
          <w:szCs w:val="22"/>
        </w:rPr>
        <w:t xml:space="preserve">  </w:t>
      </w:r>
      <w:r w:rsidR="00392D31">
        <w:rPr>
          <w:rFonts w:ascii="Calibri" w:hAnsi="Calibri"/>
          <w:sz w:val="22"/>
          <w:szCs w:val="22"/>
        </w:rPr>
        <w:t xml:space="preserve">    </w:t>
      </w:r>
    </w:p>
    <w:p w:rsidR="00B94D15" w:rsidRDefault="00B94D15" w:rsidP="00B94D15">
      <w:pPr>
        <w:pStyle w:val="NoSpacing"/>
        <w:jc w:val="both"/>
        <w:rPr>
          <w:rFonts w:ascii="Calibri" w:hAnsi="Calibri"/>
          <w:sz w:val="22"/>
          <w:szCs w:val="22"/>
        </w:rPr>
      </w:pPr>
    </w:p>
    <w:p w:rsidR="00B94D15" w:rsidRDefault="00B94D15" w:rsidP="00B94D15">
      <w:pPr>
        <w:pStyle w:val="ListParagraph"/>
        <w:ind w:left="0"/>
        <w:jc w:val="both"/>
      </w:pPr>
      <w:r>
        <w:t>The aim of this paper is twofold. First, it aims to</w:t>
      </w:r>
      <w:r w:rsidRPr="00B02CE8">
        <w:t xml:space="preserve"> </w:t>
      </w:r>
      <w:r>
        <w:t xml:space="preserve">evaluate the expected </w:t>
      </w:r>
      <w:r w:rsidR="00977D4E">
        <w:t>tangible</w:t>
      </w:r>
      <w:r>
        <w:t xml:space="preserve"> impact of the approved </w:t>
      </w:r>
      <w:r w:rsidRPr="00BB5C10">
        <w:t>ACP-EU Water Partnerships</w:t>
      </w:r>
      <w:r>
        <w:t xml:space="preserve">. The expected impact is assessed in light of the actions identified by the project proposals and the population that is expected to benefit from these actions. It should be noted that we cannot yet provide an assessment of the results produced by the selected </w:t>
      </w:r>
      <w:r w:rsidRPr="00BB5C10">
        <w:t xml:space="preserve">ACP-EU Water Partnerships </w:t>
      </w:r>
      <w:r>
        <w:t xml:space="preserve">as these have not </w:t>
      </w:r>
      <w:r w:rsidR="000F289C">
        <w:t>become</w:t>
      </w:r>
      <w:r>
        <w:t xml:space="preserve"> operatio</w:t>
      </w:r>
      <w:r w:rsidR="000F289C">
        <w:t>nal</w:t>
      </w:r>
      <w:r>
        <w:t xml:space="preserve">. Second, the paper aims to </w:t>
      </w:r>
      <w:r w:rsidRPr="00B02CE8">
        <w:t xml:space="preserve">make a comparative evaluation between the ACP-EU Water Partnerships initiative and other international programmes </w:t>
      </w:r>
      <w:r>
        <w:t>of</w:t>
      </w:r>
      <w:r w:rsidRPr="00B02CE8">
        <w:t xml:space="preserve"> not-for-profit partnerships for capacity </w:t>
      </w:r>
      <w:r>
        <w:t>development in the water sector. The rationale for this</w:t>
      </w:r>
      <w:r w:rsidRPr="00B02CE8">
        <w:t xml:space="preserve"> comparative evaluation </w:t>
      </w:r>
      <w:r>
        <w:t>is to offer</w:t>
      </w:r>
      <w:r w:rsidRPr="00B02CE8">
        <w:t xml:space="preserve"> lessons for the international water community on fostering the achievement of a critical mass of capacity as a precondition to achieving </w:t>
      </w:r>
      <w:r>
        <w:t>sustainable water development.</w:t>
      </w:r>
    </w:p>
    <w:p w:rsidR="00B94D15" w:rsidRDefault="00B94D15" w:rsidP="00B94D15">
      <w:pPr>
        <w:pStyle w:val="ListParagraph"/>
        <w:ind w:left="0"/>
      </w:pPr>
    </w:p>
    <w:p w:rsidR="00B94D15" w:rsidRDefault="00B94D15" w:rsidP="00B94D15">
      <w:pPr>
        <w:pStyle w:val="ListParagraph"/>
        <w:ind w:left="0"/>
        <w:jc w:val="both"/>
      </w:pPr>
      <w:r>
        <w:rPr>
          <w:lang w:val="en-US"/>
        </w:rPr>
        <w:t>The following second sec</w:t>
      </w:r>
      <w:r w:rsidR="0005223D">
        <w:rPr>
          <w:lang w:val="en-US"/>
        </w:rPr>
        <w:t xml:space="preserve">tion introduces the notion of </w:t>
      </w:r>
      <w:r>
        <w:rPr>
          <w:lang w:val="en-US"/>
        </w:rPr>
        <w:t xml:space="preserve">critical mass of capacity as the fundamental objective of capacity development and thus of </w:t>
      </w:r>
      <w:r w:rsidRPr="00B02CE8">
        <w:t>the ACP-EU Water Partnerships initiative</w:t>
      </w:r>
      <w:r>
        <w:t>. Section 3 outlines the</w:t>
      </w:r>
      <w:r w:rsidR="00792AEE">
        <w:t xml:space="preserve"> institutional features of the </w:t>
      </w:r>
      <w:r w:rsidR="00792AEE" w:rsidRPr="00B02CE8">
        <w:t>ACP-EU Water Partnerships initiative</w:t>
      </w:r>
      <w:r w:rsidR="00792AEE">
        <w:t>, particularly as regards the eligibility criteria and the</w:t>
      </w:r>
      <w:r>
        <w:t xml:space="preserve"> rules governing the selection procedure</w:t>
      </w:r>
      <w:r w:rsidR="00792AEE">
        <w:t>. This</w:t>
      </w:r>
      <w:r>
        <w:t xml:space="preserve"> is followed by an overview of the selected </w:t>
      </w:r>
      <w:r w:rsidRPr="00B02CE8">
        <w:t>ACP-EU Water Partnerships</w:t>
      </w:r>
      <w:r>
        <w:t xml:space="preserve"> in section 4. Section 5 looks at the expected impact of the actions to be implemented by the selected partnerships</w:t>
      </w:r>
      <w:r w:rsidR="00792AEE">
        <w:t xml:space="preserve">, </w:t>
      </w:r>
      <w:r w:rsidR="000E03C5">
        <w:t>which is assessed in terms of the population expected to benefit from the actions</w:t>
      </w:r>
      <w:r w:rsidR="001E40A2">
        <w:t xml:space="preserve"> in different thematic areas.</w:t>
      </w:r>
      <w:r w:rsidR="000E03C5">
        <w:t xml:space="preserve"> </w:t>
      </w:r>
      <w:r w:rsidR="001E40A2">
        <w:t>T</w:t>
      </w:r>
      <w:r w:rsidR="00792AEE">
        <w:t>he ensu</w:t>
      </w:r>
      <w:r w:rsidR="00A90348">
        <w:t>ing section analyses</w:t>
      </w:r>
      <w:r>
        <w:t xml:space="preserve"> the strategies adopted</w:t>
      </w:r>
      <w:r w:rsidR="001E40A2">
        <w:t xml:space="preserve"> by the selected partnership projects</w:t>
      </w:r>
      <w:r>
        <w:t xml:space="preserve"> t</w:t>
      </w:r>
      <w:r w:rsidR="001E40A2">
        <w:t>o produce a tangible</w:t>
      </w:r>
      <w:r w:rsidR="00A90348">
        <w:t xml:space="preserve"> impact</w:t>
      </w:r>
      <w:r w:rsidR="001E40A2">
        <w:t>, achieve mandatory and permanent results, replicate and upscale capacity development processes at national or regional level, and carry out the internal and external monitoring and evaluation of project results</w:t>
      </w:r>
      <w:r w:rsidR="00A90348">
        <w:t>. Section 7</w:t>
      </w:r>
      <w:r>
        <w:t xml:space="preserve"> sketches the institutional features of</w:t>
      </w:r>
      <w:r w:rsidRPr="00824A47">
        <w:t xml:space="preserve"> </w:t>
      </w:r>
      <w:r w:rsidRPr="00B02CE8">
        <w:t xml:space="preserve">other international programmes </w:t>
      </w:r>
      <w:r>
        <w:t>of</w:t>
      </w:r>
      <w:r w:rsidRPr="00B02CE8">
        <w:t xml:space="preserve"> not-for-profit partnerships for capacity </w:t>
      </w:r>
      <w:r>
        <w:t xml:space="preserve">development in the water </w:t>
      </w:r>
      <w:r w:rsidR="009240AC">
        <w:t xml:space="preserve">and sanitation </w:t>
      </w:r>
      <w:r>
        <w:t xml:space="preserve">sector, so </w:t>
      </w:r>
      <w:r w:rsidR="009240AC">
        <w:t>as to enable a comparative analysis of</w:t>
      </w:r>
      <w:r>
        <w:t xml:space="preserve"> the</w:t>
      </w:r>
      <w:r w:rsidRPr="00824A47">
        <w:t xml:space="preserve"> </w:t>
      </w:r>
      <w:r w:rsidRPr="00B02CE8">
        <w:t>ACP-EU Water Partnerships initiative</w:t>
      </w:r>
      <w:r>
        <w:t xml:space="preserve"> and t</w:t>
      </w:r>
      <w:r w:rsidR="00143DDB">
        <w:t>hese other programmes. Section 8</w:t>
      </w:r>
      <w:r w:rsidR="008C5BE3">
        <w:t xml:space="preserve"> contains a first comparative analysis</w:t>
      </w:r>
      <w:r>
        <w:t xml:space="preserve"> </w:t>
      </w:r>
      <w:r w:rsidR="008C5BE3">
        <w:t xml:space="preserve">of the ACP-EU Water </w:t>
      </w:r>
      <w:r>
        <w:t xml:space="preserve">develops </w:t>
      </w:r>
      <w:r w:rsidR="008C5BE3" w:rsidRPr="00B02CE8">
        <w:t>Partnerships initiative</w:t>
      </w:r>
      <w:r w:rsidR="008C5BE3">
        <w:t xml:space="preserve"> and other international programmes of not-for profit partnerships for capacity development. </w:t>
      </w:r>
      <w:r w:rsidR="00710653">
        <w:t xml:space="preserve">This evaluation </w:t>
      </w:r>
      <w:r w:rsidR="005678DB">
        <w:t xml:space="preserve">is concerned with the scope and breadth of the activity of </w:t>
      </w:r>
      <w:r w:rsidR="00F637CA">
        <w:t xml:space="preserve">the compared </w:t>
      </w:r>
      <w:r w:rsidR="005678DB">
        <w:t xml:space="preserve">international programmes, resource mobilisation by and the institutional characteristics of </w:t>
      </w:r>
      <w:r w:rsidR="00F637CA">
        <w:t xml:space="preserve">these </w:t>
      </w:r>
      <w:r w:rsidR="005678DB">
        <w:t>international programmes</w:t>
      </w:r>
      <w:r w:rsidR="00F637CA">
        <w:t>.</w:t>
      </w:r>
      <w:r w:rsidR="00710653">
        <w:t xml:space="preserve"> </w:t>
      </w:r>
      <w:r w:rsidR="008C5BE3">
        <w:t>This</w:t>
      </w:r>
      <w:r w:rsidR="00111462">
        <w:t xml:space="preserve"> comparative analysis</w:t>
      </w:r>
      <w:r w:rsidR="008C5BE3">
        <w:t xml:space="preserve"> supports our</w:t>
      </w:r>
      <w:r>
        <w:t xml:space="preserve"> SWOT analysis (strength, weaknesses, opportunities, and threats) of the </w:t>
      </w:r>
      <w:r w:rsidRPr="00B02CE8">
        <w:t>ACP-EU Water Partnerships initiative</w:t>
      </w:r>
      <w:r w:rsidR="008C5BE3">
        <w:t xml:space="preserve">, which we develop in Section 9 in order </w:t>
      </w:r>
      <w:r>
        <w:t>to formulate policy recommendations on supporting not-for-profit partnerships for capacity development in the water and sanitation</w:t>
      </w:r>
      <w:r w:rsidR="008C5BE3">
        <w:t xml:space="preserve"> sector</w:t>
      </w:r>
      <w:r>
        <w:t>. These recomme</w:t>
      </w:r>
      <w:r w:rsidR="008C5BE3">
        <w:t>ndations are offered in the ten</w:t>
      </w:r>
      <w:r>
        <w:t>t</w:t>
      </w:r>
      <w:r w:rsidR="005F2F99">
        <w:t>h</w:t>
      </w:r>
      <w:r>
        <w:t xml:space="preserve"> and final section together with concluding remarks.          </w:t>
      </w:r>
    </w:p>
    <w:p w:rsidR="00B94D15" w:rsidRPr="00B02CE8" w:rsidRDefault="00B94D15" w:rsidP="00B94D15">
      <w:pPr>
        <w:pStyle w:val="ListParagraph"/>
        <w:ind w:left="0"/>
      </w:pPr>
    </w:p>
    <w:p w:rsidR="00B94D15" w:rsidRDefault="00B94D15" w:rsidP="00B94D15">
      <w:pPr>
        <w:pStyle w:val="Heading1"/>
      </w:pPr>
      <w:bookmarkStart w:id="6" w:name="_Toc315076953"/>
      <w:bookmarkStart w:id="7" w:name="_Toc321061364"/>
      <w:bookmarkStart w:id="8" w:name="_Toc331783561"/>
      <w:r>
        <w:rPr>
          <w:lang w:val="en-GB"/>
        </w:rPr>
        <w:lastRenderedPageBreak/>
        <w:t>Sustainable</w:t>
      </w:r>
      <w:r>
        <w:t xml:space="preserve"> water development</w:t>
      </w:r>
      <w:bookmarkEnd w:id="6"/>
      <w:r>
        <w:rPr>
          <w:lang w:val="en-GB"/>
        </w:rPr>
        <w:t xml:space="preserve"> and critical </w:t>
      </w:r>
      <w:r>
        <w:t>mass of capacity</w:t>
      </w:r>
      <w:bookmarkEnd w:id="7"/>
      <w:bookmarkEnd w:id="8"/>
    </w:p>
    <w:p w:rsidR="00B94D15" w:rsidRDefault="00B94D15" w:rsidP="00B94D15">
      <w:pPr>
        <w:autoSpaceDE w:val="0"/>
        <w:autoSpaceDN w:val="0"/>
        <w:adjustRightInd w:val="0"/>
        <w:jc w:val="both"/>
        <w:rPr>
          <w:rFonts w:cs="Calibri"/>
          <w:lang w:val="en-US"/>
        </w:rPr>
      </w:pPr>
      <w:r w:rsidRPr="009400A5">
        <w:t>Sustainable development is the goal of Integrated Urban Water Management and good water governance.</w:t>
      </w:r>
      <w:r w:rsidRPr="00970242">
        <w:rPr>
          <w:rStyle w:val="EndnoteReference"/>
          <w:lang w:val="en-ZA"/>
        </w:rPr>
        <w:endnoteReference w:id="2"/>
      </w:r>
      <w:r>
        <w:rPr>
          <w:rStyle w:val="EndnoteReference"/>
          <w:lang w:val="en-ZA"/>
        </w:rPr>
        <w:t xml:space="preserve"> </w:t>
      </w:r>
      <w:r>
        <w:t xml:space="preserve">It consists of economic development in association with equity within </w:t>
      </w:r>
      <w:r w:rsidR="001B4585">
        <w:t xml:space="preserve">generations </w:t>
      </w:r>
      <w:r>
        <w:t xml:space="preserve">and </w:t>
      </w:r>
      <w:r w:rsidR="001B4585">
        <w:t xml:space="preserve">equity </w:t>
      </w:r>
      <w:r>
        <w:t>between generations, and in consideration of the environmental limits faced by society.</w:t>
      </w:r>
      <w:r w:rsidRPr="00970242">
        <w:rPr>
          <w:rStyle w:val="EndnoteReference"/>
          <w:lang w:val="en-ZA"/>
        </w:rPr>
        <w:endnoteReference w:id="3"/>
      </w:r>
      <w:r>
        <w:t xml:space="preserve"> </w:t>
      </w:r>
      <w:r w:rsidRPr="009841E2">
        <w:rPr>
          <w:rFonts w:cs="Calibri"/>
        </w:rPr>
        <w:t xml:space="preserve">The objectives of sustainable water development </w:t>
      </w:r>
      <w:r>
        <w:rPr>
          <w:rFonts w:cs="Calibri"/>
        </w:rPr>
        <w:t xml:space="preserve">are long-term and </w:t>
      </w:r>
      <w:r w:rsidRPr="009841E2">
        <w:rPr>
          <w:rFonts w:cs="Calibri"/>
        </w:rPr>
        <w:t xml:space="preserve">vary in function of local </w:t>
      </w:r>
      <w:r>
        <w:rPr>
          <w:rFonts w:cs="Calibri"/>
        </w:rPr>
        <w:t xml:space="preserve">developmental </w:t>
      </w:r>
      <w:r w:rsidRPr="009841E2">
        <w:rPr>
          <w:rFonts w:cs="Calibri"/>
        </w:rPr>
        <w:t>priorities</w:t>
      </w:r>
      <w:r>
        <w:rPr>
          <w:rFonts w:cs="Calibri"/>
        </w:rPr>
        <w:t>.</w:t>
      </w:r>
      <w:r w:rsidRPr="009841E2">
        <w:rPr>
          <w:rFonts w:cs="Calibri"/>
        </w:rPr>
        <w:t xml:space="preserve"> </w:t>
      </w:r>
      <w:r>
        <w:rPr>
          <w:rFonts w:cs="Calibri"/>
          <w:lang w:val="en-US"/>
        </w:rPr>
        <w:t>For example,</w:t>
      </w:r>
      <w:r w:rsidRPr="009841E2">
        <w:rPr>
          <w:rFonts w:cs="Calibri"/>
          <w:lang w:val="en-US"/>
        </w:rPr>
        <w:t xml:space="preserve"> in developing countries particular emphasis is placed on</w:t>
      </w:r>
      <w:r w:rsidRPr="009841E2">
        <w:rPr>
          <w:rFonts w:cs="Calibri"/>
          <w:bCs/>
          <w:lang w:val="en-US"/>
        </w:rPr>
        <w:t xml:space="preserve"> expanding </w:t>
      </w:r>
      <w:r>
        <w:rPr>
          <w:rFonts w:cs="Calibri"/>
          <w:bCs/>
          <w:lang w:val="en-US"/>
        </w:rPr>
        <w:t>access to the poor</w:t>
      </w:r>
      <w:r w:rsidRPr="009841E2">
        <w:rPr>
          <w:rFonts w:cs="Calibri"/>
          <w:bCs/>
          <w:lang w:val="en-US"/>
        </w:rPr>
        <w:t>.</w:t>
      </w:r>
      <w:r w:rsidRPr="00970242">
        <w:rPr>
          <w:rStyle w:val="EndnoteReference"/>
          <w:lang w:val="en-ZA"/>
        </w:rPr>
        <w:endnoteReference w:id="4"/>
      </w:r>
      <w:r>
        <w:t xml:space="preserve"> Achieving these objectives </w:t>
      </w:r>
      <w:r w:rsidRPr="009841E2">
        <w:rPr>
          <w:rFonts w:cs="Calibri"/>
          <w:lang w:val="en-US"/>
        </w:rPr>
        <w:t>requires</w:t>
      </w:r>
      <w:r>
        <w:rPr>
          <w:rFonts w:cs="Calibri"/>
          <w:lang w:val="en-US"/>
        </w:rPr>
        <w:t xml:space="preserve"> capacity, which is defined as the “</w:t>
      </w:r>
      <w:r w:rsidRPr="00B81940">
        <w:rPr>
          <w:rFonts w:eastAsia="Times New Roman" w:cs="Calibri"/>
          <w:bCs/>
          <w:lang w:eastAsia="en-GB"/>
        </w:rPr>
        <w:t>ability of people, organisations and society as a whole to manage their affairs successfully</w:t>
      </w:r>
      <w:r>
        <w:rPr>
          <w:rFonts w:cs="Calibri"/>
          <w:lang w:val="en-US"/>
        </w:rPr>
        <w:t>”.</w:t>
      </w:r>
      <w:r w:rsidRPr="00970242">
        <w:rPr>
          <w:rStyle w:val="EndnoteReference"/>
          <w:lang w:val="en-ZA"/>
        </w:rPr>
        <w:endnoteReference w:id="5"/>
      </w:r>
      <w:r w:rsidRPr="009841E2">
        <w:rPr>
          <w:rFonts w:cs="Calibri"/>
          <w:lang w:val="en-US"/>
        </w:rPr>
        <w:t xml:space="preserve"> </w:t>
      </w:r>
    </w:p>
    <w:p w:rsidR="00B94D15" w:rsidRDefault="00B94D15" w:rsidP="00B94D15">
      <w:pPr>
        <w:autoSpaceDE w:val="0"/>
        <w:autoSpaceDN w:val="0"/>
        <w:adjustRightInd w:val="0"/>
        <w:jc w:val="both"/>
        <w:rPr>
          <w:rFonts w:cs="Calibri"/>
          <w:lang w:val="en-US"/>
        </w:rPr>
      </w:pPr>
    </w:p>
    <w:p w:rsidR="00B94D15" w:rsidRPr="00B405E6" w:rsidRDefault="00B94D15" w:rsidP="00B94D15">
      <w:pPr>
        <w:autoSpaceDE w:val="0"/>
        <w:autoSpaceDN w:val="0"/>
        <w:adjustRightInd w:val="0"/>
        <w:jc w:val="both"/>
      </w:pPr>
      <w:r>
        <w:rPr>
          <w:rFonts w:cs="Calibri"/>
          <w:lang w:val="en-US"/>
        </w:rPr>
        <w:t>Capacity operates at two levels, by providing the ability of individuals and organisations to perform tasks and produce outputs, and by providing the ability of stakeholders to collectively define and solve problems and make informed choices</w:t>
      </w:r>
      <w:r w:rsidRPr="00970242">
        <w:rPr>
          <w:rStyle w:val="EndnoteReference"/>
          <w:lang w:val="en-ZA"/>
        </w:rPr>
        <w:endnoteReference w:id="6"/>
      </w:r>
      <w:r>
        <w:rPr>
          <w:rFonts w:cs="Calibri"/>
          <w:lang w:val="en-US"/>
        </w:rPr>
        <w:t>. Due to the nature of sustainable water development, capacity is required across countries</w:t>
      </w:r>
      <w:r w:rsidRPr="00582E1A">
        <w:rPr>
          <w:rFonts w:cs="Calibri"/>
          <w:lang w:val="en-US"/>
        </w:rPr>
        <w:t xml:space="preserve"> </w:t>
      </w:r>
      <w:r>
        <w:rPr>
          <w:rFonts w:cs="Calibri"/>
          <w:lang w:val="en-US"/>
        </w:rPr>
        <w:t>and sectors – in water and sanitation services and water resources management - in the short and long term. As the process of building and strengthening capacity, capacity development can aim at: improving technical competence; improving performance and results; strengthening accountability; and, improving decision-making.</w:t>
      </w:r>
      <w:r w:rsidRPr="003B7AD1">
        <w:rPr>
          <w:rStyle w:val="EndnoteReference"/>
          <w:lang w:val="en-ZA"/>
        </w:rPr>
        <w:t xml:space="preserve"> </w:t>
      </w:r>
      <w:r w:rsidRPr="00970242">
        <w:rPr>
          <w:rStyle w:val="EndnoteReference"/>
          <w:lang w:val="en-ZA"/>
        </w:rPr>
        <w:endnoteReference w:id="7"/>
      </w:r>
      <w:r>
        <w:rPr>
          <w:rFonts w:cs="Calibri"/>
          <w:lang w:val="en-US"/>
        </w:rPr>
        <w:t xml:space="preserve"> The </w:t>
      </w:r>
      <w:r w:rsidRPr="009841E2">
        <w:rPr>
          <w:rFonts w:cs="Calibri"/>
          <w:lang w:val="en-US"/>
        </w:rPr>
        <w:t>capacity of water and sanitation operators</w:t>
      </w:r>
      <w:r>
        <w:rPr>
          <w:rFonts w:cs="Calibri"/>
          <w:lang w:val="en-US"/>
        </w:rPr>
        <w:t xml:space="preserve"> to provide services depends on the employment of adequate</w:t>
      </w:r>
      <w:r w:rsidRPr="009841E2">
        <w:rPr>
          <w:rFonts w:cs="Calibri"/>
          <w:lang w:val="en-US"/>
        </w:rPr>
        <w:t xml:space="preserve"> number</w:t>
      </w:r>
      <w:r>
        <w:rPr>
          <w:rFonts w:cs="Calibri"/>
          <w:lang w:val="en-US"/>
        </w:rPr>
        <w:t>s</w:t>
      </w:r>
      <w:r w:rsidRPr="009841E2">
        <w:rPr>
          <w:rFonts w:cs="Calibri"/>
          <w:lang w:val="en-US"/>
        </w:rPr>
        <w:t xml:space="preserve"> </w:t>
      </w:r>
      <w:r>
        <w:rPr>
          <w:rFonts w:cs="Calibri"/>
          <w:lang w:val="en-US"/>
        </w:rPr>
        <w:t xml:space="preserve">of </w:t>
      </w:r>
      <w:r w:rsidRPr="009841E2">
        <w:rPr>
          <w:rFonts w:cs="Calibri"/>
          <w:lang w:val="en-US"/>
        </w:rPr>
        <w:t>skill</w:t>
      </w:r>
      <w:r>
        <w:rPr>
          <w:rFonts w:cs="Calibri"/>
          <w:lang w:val="en-US"/>
        </w:rPr>
        <w:t>ed</w:t>
      </w:r>
      <w:r w:rsidRPr="009841E2">
        <w:rPr>
          <w:rFonts w:cs="Calibri"/>
          <w:lang w:val="en-US"/>
        </w:rPr>
        <w:t xml:space="preserve"> staff</w:t>
      </w:r>
      <w:r w:rsidR="001B4585">
        <w:rPr>
          <w:rFonts w:cs="Calibri"/>
          <w:lang w:val="en-US"/>
        </w:rPr>
        <w:t xml:space="preserve"> in the appropriate managerial and operational functions</w:t>
      </w:r>
      <w:r w:rsidRPr="009841E2">
        <w:rPr>
          <w:rFonts w:cs="Calibri"/>
          <w:lang w:val="en-US"/>
        </w:rPr>
        <w:t>.</w:t>
      </w:r>
      <w:r>
        <w:rPr>
          <w:rFonts w:cs="Calibri"/>
          <w:lang w:val="en-US"/>
        </w:rPr>
        <w:t xml:space="preserve"> The institutional capacity to address water-related problems </w:t>
      </w:r>
      <w:r w:rsidR="00D2422D">
        <w:rPr>
          <w:rFonts w:cs="Calibri"/>
          <w:lang w:val="en-US"/>
        </w:rPr>
        <w:t>corresponds to</w:t>
      </w:r>
      <w:r>
        <w:rPr>
          <w:rFonts w:cs="Calibri"/>
          <w:lang w:val="en-US"/>
        </w:rPr>
        <w:t xml:space="preserve"> the articulated capacity of stakeholders to</w:t>
      </w:r>
      <w:r w:rsidR="001B4585">
        <w:rPr>
          <w:rFonts w:cs="Calibri"/>
          <w:lang w:val="en-US"/>
        </w:rPr>
        <w:t xml:space="preserve"> </w:t>
      </w:r>
      <w:r w:rsidR="00AC6647">
        <w:rPr>
          <w:rFonts w:cs="Calibri"/>
          <w:lang w:val="en-US"/>
        </w:rPr>
        <w:t>successfully engage in the decision-making cycle</w:t>
      </w:r>
      <w:r w:rsidR="001B4585">
        <w:rPr>
          <w:rFonts w:cs="Calibri"/>
          <w:lang w:val="en-US"/>
        </w:rPr>
        <w:t xml:space="preserve"> by analysing</w:t>
      </w:r>
      <w:r>
        <w:rPr>
          <w:rFonts w:cs="Calibri"/>
          <w:lang w:val="en-US"/>
        </w:rPr>
        <w:t xml:space="preserve"> problems, identify</w:t>
      </w:r>
      <w:r w:rsidR="001B4585">
        <w:rPr>
          <w:rFonts w:cs="Calibri"/>
          <w:lang w:val="en-US"/>
        </w:rPr>
        <w:t>ing</w:t>
      </w:r>
      <w:r>
        <w:rPr>
          <w:rFonts w:cs="Calibri"/>
          <w:lang w:val="en-US"/>
        </w:rPr>
        <w:t xml:space="preserve"> and implement</w:t>
      </w:r>
      <w:r w:rsidR="001B4585">
        <w:rPr>
          <w:rFonts w:cs="Calibri"/>
          <w:lang w:val="en-US"/>
        </w:rPr>
        <w:t>ing</w:t>
      </w:r>
      <w:r>
        <w:rPr>
          <w:rFonts w:cs="Calibri"/>
          <w:lang w:val="en-US"/>
        </w:rPr>
        <w:t xml:space="preserve"> solutions, monitor</w:t>
      </w:r>
      <w:r w:rsidR="001B4585">
        <w:rPr>
          <w:rFonts w:cs="Calibri"/>
          <w:lang w:val="en-US"/>
        </w:rPr>
        <w:t>ing progress, and evaluating</w:t>
      </w:r>
      <w:r>
        <w:rPr>
          <w:rFonts w:cs="Calibri"/>
          <w:lang w:val="en-US"/>
        </w:rPr>
        <w:t xml:space="preserve"> the opportunity for further action.</w:t>
      </w:r>
      <w:r w:rsidRPr="00212225">
        <w:rPr>
          <w:rStyle w:val="EndnoteReference"/>
          <w:lang w:val="en-ZA"/>
        </w:rPr>
        <w:t xml:space="preserve"> </w:t>
      </w:r>
      <w:r w:rsidRPr="00970242">
        <w:rPr>
          <w:rStyle w:val="EndnoteReference"/>
          <w:lang w:val="en-ZA"/>
        </w:rPr>
        <w:endnoteReference w:id="8"/>
      </w:r>
      <w:r>
        <w:rPr>
          <w:rFonts w:cs="Calibri"/>
          <w:lang w:val="en-US"/>
        </w:rPr>
        <w:t xml:space="preserve">   </w:t>
      </w:r>
    </w:p>
    <w:p w:rsidR="00B94D15" w:rsidRDefault="00B94D15" w:rsidP="00B94D15">
      <w:pPr>
        <w:pStyle w:val="NoSpacing"/>
        <w:jc w:val="both"/>
        <w:rPr>
          <w:rFonts w:ascii="Calibri" w:hAnsi="Calibri"/>
          <w:sz w:val="22"/>
          <w:szCs w:val="22"/>
        </w:rPr>
      </w:pPr>
    </w:p>
    <w:p w:rsidR="00B94D15" w:rsidRPr="00290694" w:rsidRDefault="00B94D15" w:rsidP="00B94D15">
      <w:pPr>
        <w:autoSpaceDE w:val="0"/>
        <w:autoSpaceDN w:val="0"/>
        <w:adjustRightInd w:val="0"/>
        <w:jc w:val="both"/>
        <w:rPr>
          <w:rFonts w:eastAsia="Times New Roman" w:cs="Calibri"/>
          <w:lang w:eastAsia="en-GB"/>
        </w:rPr>
      </w:pPr>
      <w:r w:rsidRPr="00290694">
        <w:rPr>
          <w:rFonts w:cs="Calibri"/>
        </w:rPr>
        <w:t xml:space="preserve">In 2010, the </w:t>
      </w:r>
      <w:r w:rsidRPr="00290694">
        <w:rPr>
          <w:rFonts w:eastAsia="Times New Roman" w:cs="Calibri"/>
          <w:lang w:eastAsia="en-GB"/>
        </w:rPr>
        <w:t>UN-Water Global Annual Assessment of Sanitation and Drinking-Water carried out a survey on 42 developing countries, most of which from sub-Saharan Africa. It found that the respondents had experienced the following obstacles with regards to numbers, skills and deployment of human resources in the water and sanitation sector: inability to attract and retain staff, including inability to retain trained staff after completion of capacity building projects; lack of training; an ageing workforce, particularly in rural water supply; failure to implement recommendations of institutional and organizational studies.</w:t>
      </w:r>
      <w:r w:rsidRPr="00290694">
        <w:rPr>
          <w:rStyle w:val="EndnoteReference"/>
          <w:lang w:val="en-ZA"/>
        </w:rPr>
        <w:endnoteReference w:id="9"/>
      </w:r>
      <w:r w:rsidRPr="00290694">
        <w:rPr>
          <w:rFonts w:eastAsia="Times New Roman" w:cs="Calibri"/>
          <w:lang w:eastAsia="en-GB"/>
        </w:rPr>
        <w:t xml:space="preserve"> </w:t>
      </w:r>
      <w:r>
        <w:rPr>
          <w:rFonts w:eastAsia="Times New Roman" w:cs="Calibri"/>
          <w:lang w:eastAsia="en-GB"/>
        </w:rPr>
        <w:t>These findings suggest that in order to achieve sustainable water development capacity development should not only attain adequate levels of capacity, but also ensure that the developed capacity is not subsequently lost. In other words, a precondition for sustainable water development is obtaining a critical mass of capacity. This is a self-sustaining and reproducible level of institutional and human capacity that is adequate to achieve locally-relevant sustainable development objectives. As sustainable water development is a global goal, capacity development should aim at the generation of</w:t>
      </w:r>
      <w:r w:rsidR="00B20D51">
        <w:rPr>
          <w:rFonts w:eastAsia="Times New Roman" w:cs="Calibri"/>
          <w:lang w:eastAsia="en-GB"/>
        </w:rPr>
        <w:t xml:space="preserve"> a critical mass of capacity at</w:t>
      </w:r>
      <w:r>
        <w:rPr>
          <w:rFonts w:eastAsia="Times New Roman" w:cs="Calibri"/>
          <w:lang w:eastAsia="en-GB"/>
        </w:rPr>
        <w:t xml:space="preserve"> both the local and the global level: entrenching capacity in water and sanitation utilities and other stakeholders participating in local governance, and replicating and scaling up capacity generation processes regionally, nationally and internationally.      </w:t>
      </w:r>
      <w:r w:rsidRPr="00290694">
        <w:rPr>
          <w:rFonts w:eastAsia="Times New Roman" w:cs="Calibri"/>
          <w:lang w:eastAsia="en-GB"/>
        </w:rPr>
        <w:t xml:space="preserve">  </w:t>
      </w:r>
    </w:p>
    <w:p w:rsidR="00B94D15" w:rsidRDefault="00B94D15" w:rsidP="00B94D15">
      <w:pPr>
        <w:pStyle w:val="NoSpacing"/>
        <w:jc w:val="both"/>
        <w:rPr>
          <w:rFonts w:ascii="Calibri" w:hAnsi="Calibri"/>
          <w:sz w:val="22"/>
          <w:szCs w:val="22"/>
        </w:rPr>
      </w:pPr>
    </w:p>
    <w:p w:rsidR="003D778A" w:rsidRDefault="00B94D15" w:rsidP="003D778A">
      <w:pPr>
        <w:autoSpaceDE w:val="0"/>
        <w:autoSpaceDN w:val="0"/>
        <w:adjustRightInd w:val="0"/>
        <w:jc w:val="both"/>
        <w:rPr>
          <w:rFonts w:eastAsia="Times New Roman" w:cs="Calibri"/>
          <w:color w:val="211D1E"/>
          <w:lang w:eastAsia="en-GB"/>
        </w:rPr>
      </w:pPr>
      <w:r>
        <w:t>Not-for-profit partnerships for capacity development are cost-effective ways of transferring knowledge and building local institutional and human capacity in the water and sanitation sector.</w:t>
      </w:r>
      <w:r>
        <w:rPr>
          <w:rStyle w:val="EndnoteReference"/>
        </w:rPr>
        <w:endnoteReference w:id="10"/>
      </w:r>
      <w:r>
        <w:t xml:space="preserve"> </w:t>
      </w:r>
      <w:r w:rsidRPr="00BB5C10">
        <w:t>ACP-EU Water Partnerships</w:t>
      </w:r>
      <w:r>
        <w:t xml:space="preserve"> are not-for-profit partnerships for capacity development </w:t>
      </w:r>
      <w:r w:rsidR="001B4585">
        <w:t>whose aim is</w:t>
      </w:r>
      <w:r>
        <w:t xml:space="preserve"> to contribute to sustainable water development. This paper therefore evaluates the expected impact of </w:t>
      </w:r>
      <w:r w:rsidRPr="00BB5C10">
        <w:t>ACP-EU Water Partnerships</w:t>
      </w:r>
      <w:r>
        <w:t xml:space="preserve"> in light of their contribution to the achievement of a critical mass of capacity in the region’s water and sanitation sector.</w:t>
      </w:r>
      <w:r w:rsidR="00CF14EA">
        <w:t xml:space="preserve"> This is a crucial objective for the</w:t>
      </w:r>
      <w:r w:rsidR="00CF14EA" w:rsidRPr="00CF14EA">
        <w:t xml:space="preserve"> </w:t>
      </w:r>
      <w:r w:rsidR="00CF14EA">
        <w:t>international development community.</w:t>
      </w:r>
      <w:r w:rsidR="008C1921">
        <w:t xml:space="preserve"> </w:t>
      </w:r>
      <w:smartTag w:uri="urn:schemas-microsoft-com:office:smarttags" w:element="place">
        <w:r w:rsidR="008C1921">
          <w:t>Africa</w:t>
        </w:r>
      </w:smartTag>
      <w:r w:rsidR="008C1921">
        <w:t xml:space="preserve"> lags behind other regions in attaining the MDG targets on water and sanitation. In fact, it has been estimated that the current pace of expansion of service coverage in urban water supply needs to double in </w:t>
      </w:r>
      <w:smartTag w:uri="urn:schemas-microsoft-com:office:smarttags" w:element="place">
        <w:r w:rsidR="008C1921">
          <w:t>Africa</w:t>
        </w:r>
      </w:smartTag>
      <w:r w:rsidR="008C1921">
        <w:t xml:space="preserve"> if the MDGs are to be met by 2015, while the pace of expansion in urban sanitation needs to </w:t>
      </w:r>
      <w:r w:rsidR="000F289C">
        <w:t>trip</w:t>
      </w:r>
      <w:r w:rsidR="008C1921">
        <w:t>le</w:t>
      </w:r>
      <w:r w:rsidR="003D778A">
        <w:rPr>
          <w:rFonts w:eastAsia="Times New Roman" w:cs="Calibri"/>
          <w:color w:val="211D1E"/>
          <w:lang w:eastAsia="en-GB"/>
        </w:rPr>
        <w:t>.</w:t>
      </w:r>
      <w:r w:rsidR="003D778A" w:rsidRPr="003D778A">
        <w:rPr>
          <w:rStyle w:val="EndnoteReference"/>
          <w:rFonts w:eastAsia="Times New Roman" w:cs="Calibri"/>
          <w:lang w:eastAsia="en-GB"/>
        </w:rPr>
        <w:t xml:space="preserve"> </w:t>
      </w:r>
      <w:r w:rsidR="003D778A">
        <w:rPr>
          <w:rStyle w:val="EndnoteReference"/>
          <w:rFonts w:eastAsia="Times New Roman" w:cs="Calibri"/>
          <w:lang w:eastAsia="en-GB"/>
        </w:rPr>
        <w:endnoteReference w:id="11"/>
      </w:r>
      <w:r w:rsidR="003D778A">
        <w:rPr>
          <w:rStyle w:val="EndnoteReference"/>
          <w:rFonts w:eastAsia="Times New Roman" w:cs="Calibri"/>
          <w:lang w:eastAsia="en-GB"/>
        </w:rPr>
        <w:t xml:space="preserve"> </w:t>
      </w:r>
      <w:r w:rsidR="00143DDB">
        <w:rPr>
          <w:rFonts w:eastAsia="Times New Roman" w:cs="Calibri"/>
          <w:color w:val="211D1E"/>
          <w:lang w:eastAsia="en-GB"/>
        </w:rPr>
        <w:t>Concerns for poor</w:t>
      </w:r>
      <w:r w:rsidR="003D778A">
        <w:rPr>
          <w:rFonts w:eastAsia="Times New Roman" w:cs="Calibri"/>
          <w:color w:val="211D1E"/>
          <w:lang w:eastAsia="en-GB"/>
        </w:rPr>
        <w:t xml:space="preserve"> sustainability</w:t>
      </w:r>
      <w:r w:rsidR="00143DDB">
        <w:rPr>
          <w:rFonts w:eastAsia="Times New Roman" w:cs="Calibri"/>
          <w:color w:val="211D1E"/>
          <w:lang w:eastAsia="en-GB"/>
        </w:rPr>
        <w:t xml:space="preserve"> records</w:t>
      </w:r>
      <w:r w:rsidR="003D778A">
        <w:rPr>
          <w:rFonts w:eastAsia="Times New Roman" w:cs="Calibri"/>
          <w:color w:val="211D1E"/>
          <w:lang w:eastAsia="en-GB"/>
        </w:rPr>
        <w:t xml:space="preserve"> in the water and sanitation sector of developing countries suggest that sustaining progress will continue to be an issue even for those countries that were to </w:t>
      </w:r>
      <w:r w:rsidR="00B00C4F">
        <w:rPr>
          <w:rFonts w:eastAsia="Times New Roman" w:cs="Calibri"/>
          <w:color w:val="211D1E"/>
          <w:lang w:eastAsia="en-GB"/>
        </w:rPr>
        <w:t xml:space="preserve">timely </w:t>
      </w:r>
      <w:r w:rsidR="003D778A">
        <w:rPr>
          <w:rFonts w:eastAsia="Times New Roman" w:cs="Calibri"/>
          <w:color w:val="211D1E"/>
          <w:lang w:eastAsia="en-GB"/>
        </w:rPr>
        <w:t>achieve the MDG targets.</w:t>
      </w:r>
      <w:r w:rsidR="00B00C4F" w:rsidRPr="00B00C4F">
        <w:rPr>
          <w:rStyle w:val="EndnoteReference"/>
          <w:lang w:val="en-ZA"/>
        </w:rPr>
        <w:t xml:space="preserve"> </w:t>
      </w:r>
      <w:r w:rsidR="00B00C4F" w:rsidRPr="00290694">
        <w:rPr>
          <w:rStyle w:val="EndnoteReference"/>
          <w:lang w:val="en-ZA"/>
        </w:rPr>
        <w:endnoteReference w:id="12"/>
      </w:r>
    </w:p>
    <w:p w:rsidR="003D778A" w:rsidRPr="003D778A" w:rsidRDefault="003D778A" w:rsidP="003D778A">
      <w:pPr>
        <w:autoSpaceDE w:val="0"/>
        <w:autoSpaceDN w:val="0"/>
        <w:adjustRightInd w:val="0"/>
        <w:rPr>
          <w:rFonts w:eastAsia="Times New Roman" w:cs="Calibri"/>
          <w:color w:val="211D1E"/>
          <w:lang w:eastAsia="en-GB"/>
        </w:rPr>
      </w:pPr>
    </w:p>
    <w:p w:rsidR="00EF699C" w:rsidRDefault="00EF699C" w:rsidP="00EF699C">
      <w:pPr>
        <w:pStyle w:val="Heading1"/>
      </w:pPr>
      <w:bookmarkStart w:id="9" w:name="_Toc331783562"/>
      <w:r>
        <w:lastRenderedPageBreak/>
        <w:t>ACP-EU Water Partnerships: Institutional features</w:t>
      </w:r>
      <w:bookmarkEnd w:id="9"/>
    </w:p>
    <w:p w:rsidR="00A23F45" w:rsidRDefault="00611CF0" w:rsidP="00A955D4">
      <w:pPr>
        <w:jc w:val="both"/>
      </w:pPr>
      <w:r>
        <w:t xml:space="preserve">In 2010, the European Commission’s </w:t>
      </w:r>
      <w:r w:rsidRPr="00BB5C10">
        <w:t>ACP-EU Water</w:t>
      </w:r>
      <w:r>
        <w:t xml:space="preserve"> Facility published a Restricted Call for Proposals on “</w:t>
      </w:r>
      <w:r w:rsidRPr="00611CF0">
        <w:rPr>
          <w:rFonts w:cs="Calibri"/>
        </w:rPr>
        <w:t>Partnerships</w:t>
      </w:r>
      <w:r w:rsidRPr="00611CF0">
        <w:rPr>
          <w:rFonts w:cs="Calibri"/>
          <w:i/>
        </w:rPr>
        <w:t xml:space="preserve"> </w:t>
      </w:r>
      <w:r w:rsidRPr="00611CF0">
        <w:rPr>
          <w:rFonts w:cs="Calibri"/>
        </w:rPr>
        <w:t>for Capacity Development in the ACP Water &amp; Sanitation Sector</w:t>
      </w:r>
      <w:r>
        <w:t>” (</w:t>
      </w:r>
      <w:r w:rsidRPr="00611CF0">
        <w:rPr>
          <w:rFonts w:cs="Calibri"/>
        </w:rPr>
        <w:t>Reference: EuropeAid/129510/C/ACT/Multi</w:t>
      </w:r>
      <w:r>
        <w:t>).</w:t>
      </w:r>
      <w:r w:rsidR="00F16748">
        <w:t xml:space="preserve"> </w:t>
      </w:r>
      <w:r w:rsidR="00A23F45">
        <w:t>This Call for Proposals</w:t>
      </w:r>
      <w:r w:rsidR="003C2C5B">
        <w:t xml:space="preserve"> is funding</w:t>
      </w:r>
      <w:r w:rsidR="00A23F45">
        <w:t xml:space="preserve"> </w:t>
      </w:r>
      <w:r w:rsidR="00801D10">
        <w:t xml:space="preserve">not-for-profit partnerships for capacity development, as profit-making actions are ineligible for support. The funded </w:t>
      </w:r>
      <w:r w:rsidR="00A23F45">
        <w:rPr>
          <w:rFonts w:cs="Calibri"/>
          <w:lang w:val="en-US"/>
        </w:rPr>
        <w:t>capacity development activities</w:t>
      </w:r>
      <w:r w:rsidR="00801D10">
        <w:rPr>
          <w:rFonts w:cs="Calibri"/>
          <w:lang w:val="en-US"/>
        </w:rPr>
        <w:t xml:space="preserve"> aim at: ”</w:t>
      </w:r>
      <w:r w:rsidR="00A23F45" w:rsidRPr="006E61AA">
        <w:t xml:space="preserve">i) developing the </w:t>
      </w:r>
      <w:r w:rsidR="00A23F45" w:rsidRPr="006E61AA">
        <w:rPr>
          <w:i/>
          <w:iCs/>
        </w:rPr>
        <w:t xml:space="preserve">knowledge </w:t>
      </w:r>
      <w:r w:rsidR="00A23F45" w:rsidRPr="006E61AA">
        <w:t xml:space="preserve">and </w:t>
      </w:r>
      <w:r w:rsidR="00A23F45" w:rsidRPr="006E61AA">
        <w:rPr>
          <w:i/>
          <w:iCs/>
        </w:rPr>
        <w:t xml:space="preserve">competence </w:t>
      </w:r>
      <w:r w:rsidR="00A23F45" w:rsidRPr="006E61AA">
        <w:t xml:space="preserve">of individuals and organisations; ii) developing </w:t>
      </w:r>
      <w:r w:rsidR="00A23F45" w:rsidRPr="006E61AA">
        <w:rPr>
          <w:i/>
          <w:iCs/>
        </w:rPr>
        <w:t xml:space="preserve">organisations </w:t>
      </w:r>
      <w:r w:rsidR="00A23F45" w:rsidRPr="006E61AA">
        <w:t xml:space="preserve">and/or </w:t>
      </w:r>
      <w:r w:rsidR="00A23F45" w:rsidRPr="006E61AA">
        <w:rPr>
          <w:i/>
          <w:iCs/>
        </w:rPr>
        <w:t xml:space="preserve">systems of </w:t>
      </w:r>
      <w:r w:rsidR="00A23F45" w:rsidRPr="006E61AA">
        <w:rPr>
          <w:iCs/>
        </w:rPr>
        <w:t xml:space="preserve">organisations; </w:t>
      </w:r>
      <w:r w:rsidR="00A23F45" w:rsidRPr="006E61AA">
        <w:t>iii) changing and strengthening institutional frameworks in the form of formal policies and laws and/or other informal norms which stipulate the limits within which individuals and organisations develop</w:t>
      </w:r>
      <w:r w:rsidR="00A23F45">
        <w:t>”</w:t>
      </w:r>
      <w:r w:rsidR="00A23F45" w:rsidRPr="006E61AA">
        <w:t>.</w:t>
      </w:r>
      <w:r w:rsidR="00445F07">
        <w:t xml:space="preserve"> These can be conducted by </w:t>
      </w:r>
      <w:r w:rsidR="00445F07" w:rsidRPr="0061565E">
        <w:t>both North-Sou</w:t>
      </w:r>
      <w:r w:rsidR="00445F07">
        <w:t>th and South-South partnerships</w:t>
      </w:r>
      <w:r w:rsidR="00445F07" w:rsidRPr="0061565E">
        <w:t xml:space="preserve"> </w:t>
      </w:r>
      <w:r w:rsidR="00445F07">
        <w:t xml:space="preserve">and are intended to </w:t>
      </w:r>
      <w:r w:rsidR="00445F07" w:rsidRPr="00040579">
        <w:rPr>
          <w:rFonts w:cs="Calibri"/>
        </w:rPr>
        <w:t xml:space="preserve">transfer expertise, knowledge and learning to </w:t>
      </w:r>
      <w:r w:rsidR="00445F07">
        <w:rPr>
          <w:rFonts w:cs="Calibri"/>
        </w:rPr>
        <w:t xml:space="preserve">the </w:t>
      </w:r>
      <w:r w:rsidR="00445F07" w:rsidRPr="00040579">
        <w:rPr>
          <w:rFonts w:cs="Calibri"/>
        </w:rPr>
        <w:t xml:space="preserve">ACP </w:t>
      </w:r>
      <w:r w:rsidR="00445F07">
        <w:rPr>
          <w:rFonts w:cs="Calibri"/>
        </w:rPr>
        <w:t>partners.</w:t>
      </w:r>
      <w:r w:rsidR="00A23F45" w:rsidRPr="00E74712">
        <w:rPr>
          <w:rStyle w:val="EndnoteReference"/>
          <w:lang w:val="en-ZA"/>
        </w:rPr>
        <w:t xml:space="preserve"> </w:t>
      </w:r>
      <w:r w:rsidR="00A23F45" w:rsidRPr="00970242">
        <w:rPr>
          <w:rStyle w:val="EndnoteReference"/>
          <w:lang w:val="en-ZA"/>
        </w:rPr>
        <w:endnoteReference w:id="13"/>
      </w:r>
    </w:p>
    <w:p w:rsidR="00A23F45" w:rsidRDefault="00A23F45" w:rsidP="00A955D4">
      <w:pPr>
        <w:jc w:val="both"/>
      </w:pPr>
    </w:p>
    <w:p w:rsidR="006D0369" w:rsidRPr="00A23F45" w:rsidRDefault="00A23F45" w:rsidP="00A23F45">
      <w:pPr>
        <w:jc w:val="both"/>
      </w:pPr>
      <w:r>
        <w:t xml:space="preserve">The </w:t>
      </w:r>
      <w:r w:rsidR="00D37A5D">
        <w:t>Call for P</w:t>
      </w:r>
      <w:r>
        <w:t>roposals</w:t>
      </w:r>
      <w:r w:rsidR="00F16748">
        <w:t xml:space="preserve"> </w:t>
      </w:r>
      <w:r w:rsidR="00D37A5D">
        <w:t>is funded by the budget that</w:t>
      </w:r>
      <w:r w:rsidR="00D37A5D" w:rsidRPr="00D37A5D">
        <w:t xml:space="preserve"> </w:t>
      </w:r>
      <w:r w:rsidR="00D37A5D">
        <w:t xml:space="preserve">the European Commission approved in March 2009 for the </w:t>
      </w:r>
      <w:r w:rsidR="00D37A5D" w:rsidRPr="0098608A">
        <w:t>10</w:t>
      </w:r>
      <w:r w:rsidR="00D37A5D" w:rsidRPr="0098608A">
        <w:rPr>
          <w:vertAlign w:val="superscript"/>
        </w:rPr>
        <w:t>th</w:t>
      </w:r>
      <w:r w:rsidR="00D37A5D" w:rsidRPr="0098608A">
        <w:t xml:space="preserve"> European Development Fund</w:t>
      </w:r>
      <w:r w:rsidR="00D37A5D">
        <w:t xml:space="preserve">. No further Call for Proposals is to be expected for </w:t>
      </w:r>
      <w:r w:rsidRPr="00BB5C10">
        <w:t>ACP-EU Water</w:t>
      </w:r>
      <w:r>
        <w:t xml:space="preserve"> </w:t>
      </w:r>
      <w:r w:rsidRPr="00BB5C10">
        <w:t>Partnerships</w:t>
      </w:r>
      <w:r w:rsidR="00D37A5D">
        <w:t>.</w:t>
      </w:r>
      <w:r w:rsidR="00A955D4">
        <w:t xml:space="preserve"> Of the €</w:t>
      </w:r>
      <w:r w:rsidR="00A955D4" w:rsidRPr="0098608A">
        <w:t>200 m</w:t>
      </w:r>
      <w:r w:rsidR="00A955D4">
        <w:t xml:space="preserve">illion allocated </w:t>
      </w:r>
      <w:r w:rsidR="00A955D4" w:rsidRPr="0098608A">
        <w:t>to the</w:t>
      </w:r>
      <w:r w:rsidR="00A955D4">
        <w:t xml:space="preserve"> </w:t>
      </w:r>
      <w:r w:rsidR="00A955D4" w:rsidRPr="00BB5C10">
        <w:t>ACP-EU Water</w:t>
      </w:r>
      <w:r w:rsidR="00A955D4">
        <w:t xml:space="preserve"> Facility</w:t>
      </w:r>
      <w:r w:rsidR="00A955D4" w:rsidRPr="0098608A">
        <w:t xml:space="preserve"> under the 10</w:t>
      </w:r>
      <w:r w:rsidR="00A955D4" w:rsidRPr="0098608A">
        <w:rPr>
          <w:vertAlign w:val="superscript"/>
        </w:rPr>
        <w:t>th</w:t>
      </w:r>
      <w:r w:rsidR="00A955D4" w:rsidRPr="0098608A">
        <w:t xml:space="preserve"> European Development Fund</w:t>
      </w:r>
      <w:r w:rsidR="00A955D4">
        <w:t xml:space="preserve">, the </w:t>
      </w:r>
      <w:r w:rsidR="00A955D4" w:rsidRPr="0098608A">
        <w:t>Water Facility</w:t>
      </w:r>
      <w:r w:rsidR="00A955D4">
        <w:t xml:space="preserve"> made €</w:t>
      </w:r>
      <w:r w:rsidR="00A955D4" w:rsidRPr="007E3377">
        <w:t>40 million</w:t>
      </w:r>
      <w:r w:rsidR="00A955D4">
        <w:t xml:space="preserve"> available to the </w:t>
      </w:r>
      <w:r w:rsidR="00A955D4" w:rsidRPr="00BB5C10">
        <w:t>ACP-EU Water</w:t>
      </w:r>
      <w:r w:rsidR="00A955D4">
        <w:t xml:space="preserve"> </w:t>
      </w:r>
      <w:r w:rsidR="00A955D4" w:rsidRPr="00BB5C10">
        <w:t>Partnerships</w:t>
      </w:r>
      <w:r w:rsidR="00A955D4">
        <w:t xml:space="preserve"> initiative. However, the</w:t>
      </w:r>
      <w:r w:rsidR="00A955D4" w:rsidRPr="00A955D4">
        <w:t xml:space="preserve"> </w:t>
      </w:r>
      <w:r w:rsidR="00A955D4" w:rsidRPr="0098608A">
        <w:t>Water Facility</w:t>
      </w:r>
      <w:r w:rsidR="00A955D4">
        <w:t xml:space="preserve"> reserved</w:t>
      </w:r>
      <w:r w:rsidR="00A955D4" w:rsidRPr="007E3377">
        <w:t xml:space="preserve"> the right not to award all available funds.</w:t>
      </w:r>
      <w:r w:rsidR="00D37A5D" w:rsidRPr="00D37A5D">
        <w:rPr>
          <w:rStyle w:val="EndnoteReference"/>
          <w:rFonts w:cs="Calibri"/>
          <w:lang w:val="en-ZA"/>
        </w:rPr>
        <w:t xml:space="preserve"> </w:t>
      </w:r>
      <w:r w:rsidR="006D0369">
        <w:t>Grants awarded by the European Commission’s</w:t>
      </w:r>
      <w:r w:rsidR="006D0369" w:rsidRPr="00CC2B00">
        <w:t xml:space="preserve"> </w:t>
      </w:r>
      <w:r w:rsidR="006D0369" w:rsidRPr="00BB5C10">
        <w:t>ACP-EU Water</w:t>
      </w:r>
      <w:r w:rsidR="006D0369">
        <w:t xml:space="preserve"> Facility range from a minimum of €250,000 and a maximum of €1 million, and do not exceed 75% of the total eligible cost of the action to be implemented by the approved </w:t>
      </w:r>
      <w:r w:rsidR="006D0369" w:rsidRPr="0061565E">
        <w:t>ACP-EU Water Partnerships</w:t>
      </w:r>
      <w:r w:rsidR="006D0369">
        <w:t xml:space="preserve">. The duration of actions funded by the </w:t>
      </w:r>
      <w:r w:rsidR="006D0369" w:rsidRPr="00BB5C10">
        <w:t>ACP-EU Water</w:t>
      </w:r>
      <w:r w:rsidR="006D0369">
        <w:t xml:space="preserve"> F</w:t>
      </w:r>
      <w:r>
        <w:t>acility is minimum 24 months</w:t>
      </w:r>
      <w:r w:rsidR="006D0369">
        <w:t xml:space="preserve"> and maximum </w:t>
      </w:r>
      <w:r>
        <w:t>60 months</w:t>
      </w:r>
      <w:r w:rsidR="006D0369">
        <w:t>.</w:t>
      </w:r>
      <w:r w:rsidR="006D0369" w:rsidRPr="008E2F6F">
        <w:rPr>
          <w:rStyle w:val="EndnoteReference"/>
          <w:lang w:val="en-ZA"/>
        </w:rPr>
        <w:t xml:space="preserve"> </w:t>
      </w:r>
      <w:r w:rsidR="006D0369" w:rsidRPr="00970242">
        <w:rPr>
          <w:rStyle w:val="EndnoteReference"/>
          <w:lang w:val="en-ZA"/>
        </w:rPr>
        <w:endnoteReference w:id="14"/>
      </w:r>
      <w:r w:rsidR="006D0369">
        <w:t xml:space="preserve">   </w:t>
      </w:r>
    </w:p>
    <w:p w:rsidR="006D0369" w:rsidRPr="008410FC" w:rsidRDefault="006D0369" w:rsidP="00B94D15">
      <w:pPr>
        <w:rPr>
          <w:rFonts w:cs="Calibri"/>
        </w:rPr>
      </w:pPr>
    </w:p>
    <w:p w:rsidR="007371EE" w:rsidRPr="003C2C5B" w:rsidRDefault="007371EE" w:rsidP="003C2C5B">
      <w:pPr>
        <w:pStyle w:val="NoSpacing"/>
        <w:jc w:val="both"/>
        <w:rPr>
          <w:rFonts w:ascii="Calibri" w:hAnsi="Calibri" w:cs="Calibri"/>
          <w:sz w:val="22"/>
          <w:szCs w:val="22"/>
        </w:rPr>
      </w:pPr>
      <w:r w:rsidRPr="008410FC">
        <w:rPr>
          <w:rFonts w:ascii="Calibri" w:hAnsi="Calibri" w:cs="Calibri"/>
          <w:sz w:val="22"/>
          <w:szCs w:val="22"/>
        </w:rPr>
        <w:t xml:space="preserve">The </w:t>
      </w:r>
      <w:r w:rsidR="00500AC1" w:rsidRPr="008410FC">
        <w:rPr>
          <w:rFonts w:ascii="Calibri" w:hAnsi="Calibri" w:cs="Calibri"/>
          <w:sz w:val="22"/>
          <w:szCs w:val="22"/>
        </w:rPr>
        <w:t xml:space="preserve">ACP-EU Water Partnerships </w:t>
      </w:r>
      <w:r w:rsidRPr="008410FC">
        <w:rPr>
          <w:rFonts w:ascii="Calibri" w:hAnsi="Calibri" w:cs="Calibri"/>
          <w:sz w:val="22"/>
          <w:szCs w:val="22"/>
        </w:rPr>
        <w:t>Restricted Call for Proposals provided for the competitive selection of</w:t>
      </w:r>
      <w:r>
        <w:rPr>
          <w:rFonts w:ascii="Calibri" w:hAnsi="Calibri"/>
          <w:sz w:val="22"/>
          <w:szCs w:val="22"/>
        </w:rPr>
        <w:t xml:space="preserve"> applications in two stages. First, applicants were to submit Concept Notes by 6</w:t>
      </w:r>
      <w:r w:rsidRPr="00FB5A56">
        <w:rPr>
          <w:rFonts w:ascii="Calibri" w:hAnsi="Calibri"/>
          <w:sz w:val="22"/>
          <w:szCs w:val="22"/>
          <w:vertAlign w:val="superscript"/>
        </w:rPr>
        <w:t>th</w:t>
      </w:r>
      <w:r>
        <w:rPr>
          <w:rFonts w:ascii="Calibri" w:hAnsi="Calibri"/>
          <w:sz w:val="22"/>
          <w:szCs w:val="22"/>
        </w:rPr>
        <w:t xml:space="preserve"> October 2010. At this stage, only Concept Notes of no more than four pages had to be submitted for evaluation. </w:t>
      </w:r>
      <w:r w:rsidRPr="00DB4FF7">
        <w:rPr>
          <w:rFonts w:ascii="Calibri" w:hAnsi="Calibri" w:cs="Calibri"/>
          <w:sz w:val="22"/>
          <w:szCs w:val="22"/>
        </w:rPr>
        <w:t xml:space="preserve">Applicants whose Concept Notes had been pre-selected were subsequently invited to submit a Full Application Form. Grants would be awarded to the </w:t>
      </w:r>
      <w:r>
        <w:rPr>
          <w:rFonts w:ascii="Calibri" w:hAnsi="Calibri" w:cs="Calibri"/>
          <w:sz w:val="22"/>
          <w:szCs w:val="22"/>
        </w:rPr>
        <w:t>applicant</w:t>
      </w:r>
      <w:r w:rsidRPr="00DB4FF7">
        <w:rPr>
          <w:rFonts w:ascii="Calibri" w:hAnsi="Calibri" w:cs="Calibri"/>
          <w:sz w:val="22"/>
          <w:szCs w:val="22"/>
        </w:rPr>
        <w:t>s whose proposal successfully past this second stage of the selection process.</w:t>
      </w:r>
      <w:r w:rsidRPr="00DB4FF7">
        <w:rPr>
          <w:rStyle w:val="EndnoteReference"/>
          <w:rFonts w:ascii="Calibri" w:hAnsi="Calibri" w:cs="Calibri"/>
          <w:sz w:val="22"/>
          <w:szCs w:val="22"/>
          <w:lang w:val="en-ZA"/>
        </w:rPr>
        <w:endnoteReference w:id="15"/>
      </w:r>
      <w:r w:rsidRPr="00DB4FF7">
        <w:rPr>
          <w:rFonts w:ascii="Calibri" w:hAnsi="Calibri" w:cs="Calibri"/>
          <w:sz w:val="22"/>
          <w:szCs w:val="22"/>
        </w:rPr>
        <w:t xml:space="preserve"> The published eligibility and evaluation </w:t>
      </w:r>
      <w:r w:rsidRPr="00BF6BF9">
        <w:rPr>
          <w:rFonts w:ascii="Calibri" w:hAnsi="Calibri" w:cs="Calibri"/>
          <w:sz w:val="22"/>
          <w:szCs w:val="22"/>
        </w:rPr>
        <w:t>criteria</w:t>
      </w:r>
      <w:r>
        <w:rPr>
          <w:rFonts w:ascii="Calibri" w:hAnsi="Calibri" w:cs="Calibri"/>
          <w:sz w:val="22"/>
          <w:szCs w:val="22"/>
        </w:rPr>
        <w:t xml:space="preserve"> affected the content of the selected applications and are therefore worth of attention.</w:t>
      </w:r>
      <w:r w:rsidR="003C2C5B">
        <w:rPr>
          <w:rFonts w:ascii="Calibri" w:hAnsi="Calibri" w:cs="Calibri"/>
          <w:sz w:val="22"/>
          <w:szCs w:val="22"/>
        </w:rPr>
        <w:t xml:space="preserve"> </w:t>
      </w:r>
    </w:p>
    <w:p w:rsidR="00EF699C" w:rsidRDefault="00EF699C" w:rsidP="00EF699C"/>
    <w:p w:rsidR="00EF699C" w:rsidRDefault="00EF699C" w:rsidP="00EF699C">
      <w:pPr>
        <w:pStyle w:val="Heading2"/>
      </w:pPr>
      <w:bookmarkStart w:id="10" w:name="_Toc331783563"/>
      <w:r>
        <w:t>Eligibility criteria</w:t>
      </w:r>
      <w:bookmarkEnd w:id="10"/>
    </w:p>
    <w:p w:rsidR="00EF699C" w:rsidRDefault="00420DA1" w:rsidP="00420DA1">
      <w:pPr>
        <w:jc w:val="both"/>
      </w:pPr>
      <w:r>
        <w:t xml:space="preserve">Three sets of eligibility criteria </w:t>
      </w:r>
      <w:r w:rsidR="00F805B2">
        <w:t>can</w:t>
      </w:r>
      <w:r>
        <w:t xml:space="preserve"> be distinguished: eligibility criteria relating to the partners constituting partnerships; eligibility criteria relating to the actions funded by grants; and, eligibility criteria relating to the costs covered by grants.</w:t>
      </w:r>
      <w:r w:rsidRPr="00420DA1">
        <w:rPr>
          <w:rStyle w:val="EndnoteReference"/>
        </w:rPr>
        <w:t xml:space="preserve"> </w:t>
      </w:r>
      <w:r>
        <w:rPr>
          <w:rStyle w:val="EndnoteReference"/>
        </w:rPr>
        <w:endnoteReference w:id="16"/>
      </w:r>
      <w:r>
        <w:t xml:space="preserve">   </w:t>
      </w:r>
    </w:p>
    <w:p w:rsidR="001B4585" w:rsidRDefault="001B4585" w:rsidP="00B94D15"/>
    <w:p w:rsidR="00420DA1" w:rsidRDefault="006A6779" w:rsidP="006A6779">
      <w:pPr>
        <w:jc w:val="both"/>
      </w:pPr>
      <w:r>
        <w:t xml:space="preserve">Partnerships are composed of only one grant applicant - the </w:t>
      </w:r>
      <w:r>
        <w:rPr>
          <w:rFonts w:cs="Calibri"/>
        </w:rPr>
        <w:t>lead organisation</w:t>
      </w:r>
      <w:r w:rsidRPr="00040579">
        <w:rPr>
          <w:rFonts w:cs="Calibri"/>
        </w:rPr>
        <w:t xml:space="preserve"> and</w:t>
      </w:r>
      <w:r>
        <w:rPr>
          <w:rFonts w:cs="Calibri"/>
        </w:rPr>
        <w:t xml:space="preserve"> principal implementing partner</w:t>
      </w:r>
      <w:r w:rsidRPr="00040579">
        <w:rPr>
          <w:rFonts w:cs="Calibri"/>
        </w:rPr>
        <w:t xml:space="preserve"> within the partnership</w:t>
      </w:r>
      <w:r>
        <w:rPr>
          <w:rFonts w:cs="Calibri"/>
        </w:rPr>
        <w:t xml:space="preserve">, responsible for </w:t>
      </w:r>
      <w:r w:rsidR="00801D10">
        <w:rPr>
          <w:rFonts w:cs="Calibri"/>
        </w:rPr>
        <w:t xml:space="preserve">submitting the application and </w:t>
      </w:r>
      <w:r>
        <w:rPr>
          <w:rFonts w:cs="Calibri"/>
        </w:rPr>
        <w:t xml:space="preserve">receiving the grant – and </w:t>
      </w:r>
      <w:r w:rsidR="00D77879">
        <w:rPr>
          <w:rFonts w:cs="Calibri"/>
        </w:rPr>
        <w:t>one or more</w:t>
      </w:r>
      <w:r>
        <w:rPr>
          <w:rFonts w:cs="Calibri"/>
        </w:rPr>
        <w:t xml:space="preserve"> beneficiary partners</w:t>
      </w:r>
      <w:r w:rsidR="00D77879">
        <w:rPr>
          <w:rFonts w:cs="Calibri"/>
        </w:rPr>
        <w:t>.</w:t>
      </w:r>
      <w:r w:rsidR="0001747D">
        <w:rPr>
          <w:rFonts w:cs="Calibri"/>
        </w:rPr>
        <w:t xml:space="preserve"> Beneficiary </w:t>
      </w:r>
      <w:r w:rsidR="0001747D" w:rsidRPr="0061565E">
        <w:t>partners</w:t>
      </w:r>
      <w:r w:rsidR="0001747D">
        <w:t xml:space="preserve"> are the</w:t>
      </w:r>
      <w:r w:rsidR="0001747D" w:rsidRPr="00040579">
        <w:rPr>
          <w:rFonts w:cs="Calibri"/>
        </w:rPr>
        <w:t xml:space="preserve"> ACP organisations receiving capacity development from the implementing partners.</w:t>
      </w:r>
      <w:r w:rsidR="0001747D">
        <w:t xml:space="preserve">  </w:t>
      </w:r>
      <w:r w:rsidR="0001747D">
        <w:rPr>
          <w:rFonts w:cs="Calibri"/>
        </w:rPr>
        <w:t>O</w:t>
      </w:r>
      <w:r w:rsidR="003B5C47">
        <w:rPr>
          <w:rFonts w:cs="Calibri"/>
        </w:rPr>
        <w:t xml:space="preserve">ther types of partner </w:t>
      </w:r>
      <w:r w:rsidR="00801D10">
        <w:rPr>
          <w:rFonts w:cs="Calibri"/>
        </w:rPr>
        <w:t xml:space="preserve">that can constitute a partnership </w:t>
      </w:r>
      <w:r w:rsidR="003B5C47">
        <w:rPr>
          <w:rFonts w:cs="Calibri"/>
        </w:rPr>
        <w:t>are implementing partners and</w:t>
      </w:r>
      <w:r>
        <w:rPr>
          <w:rFonts w:cs="Calibri"/>
        </w:rPr>
        <w:t xml:space="preserve"> supporting partners.</w:t>
      </w:r>
      <w:r w:rsidR="003B5C47">
        <w:rPr>
          <w:rFonts w:cs="Calibri"/>
        </w:rPr>
        <w:t xml:space="preserve"> </w:t>
      </w:r>
      <w:r w:rsidR="0001747D">
        <w:rPr>
          <w:rFonts w:cs="Calibri"/>
        </w:rPr>
        <w:t xml:space="preserve">Implementing </w:t>
      </w:r>
      <w:r w:rsidR="0001747D" w:rsidRPr="00040579">
        <w:rPr>
          <w:rFonts w:cs="Calibri"/>
        </w:rPr>
        <w:t>partners</w:t>
      </w:r>
      <w:r w:rsidR="0001747D">
        <w:rPr>
          <w:rFonts w:cs="Calibri"/>
        </w:rPr>
        <w:t xml:space="preserve"> are organisations other than the applicant that provide</w:t>
      </w:r>
      <w:r>
        <w:t xml:space="preserve"> </w:t>
      </w:r>
      <w:r w:rsidR="0001747D" w:rsidRPr="007E3377">
        <w:t>training and/or capacity development to the beneficiary partner(s).</w:t>
      </w:r>
      <w:r w:rsidR="0001747D">
        <w:t xml:space="preserve"> Supporting partners </w:t>
      </w:r>
      <w:r w:rsidR="007D15CC">
        <w:t xml:space="preserve">are </w:t>
      </w:r>
      <w:r w:rsidR="007D15CC" w:rsidRPr="007E3377">
        <w:t>Non-State Actors</w:t>
      </w:r>
      <w:r w:rsidR="007D15CC">
        <w:t xml:space="preserve"> (other than</w:t>
      </w:r>
      <w:r w:rsidR="007D15CC" w:rsidRPr="00EF26C6">
        <w:t xml:space="preserve"> </w:t>
      </w:r>
      <w:r w:rsidR="007D15CC" w:rsidRPr="007E3377">
        <w:t>water and sanitation utilities</w:t>
      </w:r>
      <w:r w:rsidR="007D15CC">
        <w:t>)</w:t>
      </w:r>
      <w:r w:rsidR="007D15CC" w:rsidRPr="007E3377">
        <w:t xml:space="preserve"> and ACP </w:t>
      </w:r>
      <w:r w:rsidR="007D15CC">
        <w:t xml:space="preserve">national </w:t>
      </w:r>
      <w:r w:rsidR="007D15CC" w:rsidRPr="007E3377">
        <w:t>governments (specifically Ministries responsible for Water and Sanitation)</w:t>
      </w:r>
      <w:r w:rsidR="007D15CC">
        <w:t xml:space="preserve"> </w:t>
      </w:r>
      <w:r w:rsidR="007D15CC" w:rsidRPr="006E61AA">
        <w:t xml:space="preserve">which can assist </w:t>
      </w:r>
      <w:r w:rsidR="007D15CC">
        <w:t xml:space="preserve">in activities such as awareness </w:t>
      </w:r>
      <w:r w:rsidR="007D15CC" w:rsidRPr="006E61AA">
        <w:t>raising and in the institution-building process.</w:t>
      </w:r>
      <w:r w:rsidR="007D15CC">
        <w:t xml:space="preserve"> Therefore, while applicants and implementing partners can be nationals of ACP or EU member countries, beneficiary partners can only be nationals of ACP countries. While </w:t>
      </w:r>
      <w:r w:rsidR="007D15CC" w:rsidRPr="007E3377">
        <w:t>Non-State Actors</w:t>
      </w:r>
      <w:r w:rsidR="007D15CC">
        <w:t xml:space="preserve"> of both ACP and EU member countries can be supporting partners, only </w:t>
      </w:r>
      <w:r w:rsidR="00B32FEA">
        <w:t>national governments of ACP countries can be supporting partners.</w:t>
      </w:r>
      <w:r w:rsidR="006A47E3" w:rsidRPr="006A47E3">
        <w:rPr>
          <w:rStyle w:val="EndnoteReference"/>
          <w:lang w:val="en-ZA"/>
        </w:rPr>
        <w:t xml:space="preserve"> </w:t>
      </w:r>
      <w:r w:rsidR="006A47E3" w:rsidRPr="00970242">
        <w:rPr>
          <w:rStyle w:val="EndnoteReference"/>
          <w:lang w:val="en-ZA"/>
        </w:rPr>
        <w:endnoteReference w:id="17"/>
      </w:r>
      <w:r w:rsidR="007D15CC" w:rsidRPr="007D15CC">
        <w:rPr>
          <w:rStyle w:val="EndnoteReference"/>
          <w:lang w:val="en-ZA"/>
        </w:rPr>
        <w:t xml:space="preserve"> </w:t>
      </w:r>
    </w:p>
    <w:p w:rsidR="00420DA1" w:rsidRDefault="00420DA1" w:rsidP="00B94D15"/>
    <w:p w:rsidR="00B32FEA" w:rsidRDefault="00B32FEA" w:rsidP="006A6779">
      <w:pPr>
        <w:jc w:val="both"/>
      </w:pPr>
      <w:r>
        <w:t xml:space="preserve">Applicants, </w:t>
      </w:r>
      <w:r w:rsidR="00ED4925">
        <w:t xml:space="preserve">other implementing partners and </w:t>
      </w:r>
      <w:r>
        <w:t xml:space="preserve">beneficiary partners can be water and sanitation utilities, or local authorities, or other water sector organisations. </w:t>
      </w:r>
      <w:r w:rsidR="00706488">
        <w:t>For the purpose of the ACP-EU Water Partnerships initiative, any legal person providing water and sanitation services is regarded as a water and sanitation utility. Local authorities</w:t>
      </w:r>
      <w:r w:rsidR="00706488" w:rsidRPr="00CC6049">
        <w:t xml:space="preserve"> </w:t>
      </w:r>
      <w:r w:rsidR="00706488">
        <w:t>are defined as</w:t>
      </w:r>
      <w:r w:rsidR="00706488" w:rsidRPr="00CC6049">
        <w:t xml:space="preserve"> any legislative tier of government that is below the national level</w:t>
      </w:r>
      <w:r w:rsidR="00706488">
        <w:t xml:space="preserve"> </w:t>
      </w:r>
      <w:r w:rsidR="00706488">
        <w:lastRenderedPageBreak/>
        <w:t>and has</w:t>
      </w:r>
      <w:r w:rsidR="00706488" w:rsidRPr="00FC39A2">
        <w:t xml:space="preserve"> legal personality distinct from that</w:t>
      </w:r>
      <w:r w:rsidR="00706488">
        <w:t xml:space="preserve"> of the State at national level</w:t>
      </w:r>
      <w:r w:rsidR="00706488" w:rsidRPr="00CC6049">
        <w:t>. This can include distri</w:t>
      </w:r>
      <w:r w:rsidR="00706488">
        <w:t>ct o</w:t>
      </w:r>
      <w:r w:rsidR="00706488" w:rsidRPr="00CC6049">
        <w:t>r city municipalities, state or regional governments, and local/regional governmental agencies.</w:t>
      </w:r>
      <w:r w:rsidR="00706488">
        <w:t xml:space="preserve"> As examples of other water sector organisations, the Call for Proposals indicates river basin organisations and training centres. In addition to the partners, associates can be involved in delivering capacity development actions. Associates are not partners but play a real role in the action.</w:t>
      </w:r>
      <w:r w:rsidR="006A47E3" w:rsidRPr="006A47E3">
        <w:rPr>
          <w:rStyle w:val="EndnoteReference"/>
          <w:lang w:val="en-ZA"/>
        </w:rPr>
        <w:t xml:space="preserve"> </w:t>
      </w:r>
      <w:r w:rsidR="006A47E3" w:rsidRPr="00970242">
        <w:rPr>
          <w:rStyle w:val="EndnoteReference"/>
          <w:lang w:val="en-ZA"/>
        </w:rPr>
        <w:endnoteReference w:id="18"/>
      </w:r>
      <w:r w:rsidR="00706488" w:rsidRPr="00CC6049">
        <w:t xml:space="preserve"> </w:t>
      </w:r>
    </w:p>
    <w:p w:rsidR="00B32FEA" w:rsidRDefault="00B32FEA" w:rsidP="006A6779">
      <w:pPr>
        <w:jc w:val="both"/>
      </w:pPr>
    </w:p>
    <w:p w:rsidR="006C5A9C" w:rsidRPr="006C5A9C" w:rsidRDefault="00302E52" w:rsidP="006A6779">
      <w:pPr>
        <w:jc w:val="both"/>
        <w:rPr>
          <w:rFonts w:cs="Calibri"/>
        </w:rPr>
      </w:pPr>
      <w:r w:rsidRPr="006C5A9C">
        <w:rPr>
          <w:rFonts w:cs="Calibri"/>
        </w:rPr>
        <w:t>The</w:t>
      </w:r>
      <w:r w:rsidR="006C5A9C" w:rsidRPr="006C5A9C">
        <w:rPr>
          <w:rFonts w:cs="Calibri"/>
        </w:rPr>
        <w:t xml:space="preserve"> </w:t>
      </w:r>
      <w:r w:rsidRPr="006C5A9C">
        <w:rPr>
          <w:rFonts w:cs="Calibri"/>
        </w:rPr>
        <w:t xml:space="preserve">ACP-EU Water Partnerships initiative funds </w:t>
      </w:r>
      <w:r w:rsidR="006C5A9C" w:rsidRPr="006C5A9C">
        <w:rPr>
          <w:rFonts w:cs="Calibri"/>
        </w:rPr>
        <w:t xml:space="preserve">capacity development activities </w:t>
      </w:r>
      <w:r w:rsidRPr="006C5A9C">
        <w:rPr>
          <w:rFonts w:cs="Calibri"/>
        </w:rPr>
        <w:t xml:space="preserve">ranging from classical training to intensive highly specialised courses and workshops on specialist subjects. </w:t>
      </w:r>
      <w:r w:rsidR="006C5A9C" w:rsidRPr="006C5A9C">
        <w:rPr>
          <w:rFonts w:cs="Calibri"/>
        </w:rPr>
        <w:t xml:space="preserve">While the Call for Proposals recognises that </w:t>
      </w:r>
      <w:r w:rsidR="006C5A9C" w:rsidRPr="000753D5">
        <w:rPr>
          <w:rFonts w:cs="TimesNewRoman"/>
        </w:rPr>
        <w:t>classical training activities may be a necessary part of the partnership projects, it requires partnerships to involve close cooperation and not to be only a means to provide one-way advice or other types of classical technical assistance.</w:t>
      </w:r>
      <w:r w:rsidR="006C5A9C" w:rsidRPr="000753D5">
        <w:rPr>
          <w:rFonts w:cs="Calibri"/>
        </w:rPr>
        <w:t xml:space="preserve"> This is because partnership projects should </w:t>
      </w:r>
      <w:r w:rsidR="006C5A9C" w:rsidRPr="000753D5">
        <w:rPr>
          <w:rFonts w:cs="TimesNewRoman"/>
        </w:rPr>
        <w:t>enable beneficiary partners to achieve significant, tangible and sustained progress in water and sanitation</w:t>
      </w:r>
      <w:r w:rsidR="006C5A9C" w:rsidRPr="000753D5">
        <w:t xml:space="preserve"> governance, manageme</w:t>
      </w:r>
      <w:r w:rsidR="000753D5" w:rsidRPr="000753D5">
        <w:t>nt and sustainable development and</w:t>
      </w:r>
      <w:r w:rsidR="006C5A9C" w:rsidRPr="000753D5">
        <w:t xml:space="preserve"> maintenance of infrastructure.</w:t>
      </w:r>
      <w:r w:rsidR="000753D5" w:rsidRPr="000753D5">
        <w:rPr>
          <w:rStyle w:val="EndnoteReference"/>
          <w:rFonts w:cs="Calibri"/>
          <w:lang w:val="en-ZA"/>
        </w:rPr>
        <w:t xml:space="preserve"> </w:t>
      </w:r>
      <w:r w:rsidR="000753D5" w:rsidRPr="00040579">
        <w:rPr>
          <w:rStyle w:val="EndnoteReference"/>
          <w:rFonts w:cs="Calibri"/>
          <w:lang w:val="en-ZA"/>
        </w:rPr>
        <w:endnoteReference w:id="19"/>
      </w:r>
      <w:r w:rsidR="006C5A9C" w:rsidRPr="007E3377">
        <w:t xml:space="preserve"> </w:t>
      </w:r>
      <w:r w:rsidR="006C5A9C" w:rsidRPr="006C5A9C">
        <w:rPr>
          <w:rFonts w:cs="Calibri"/>
        </w:rPr>
        <w:t xml:space="preserve"> </w:t>
      </w:r>
    </w:p>
    <w:p w:rsidR="006C5A9C" w:rsidRDefault="006C5A9C" w:rsidP="006A6779">
      <w:pPr>
        <w:jc w:val="both"/>
        <w:rPr>
          <w:rFonts w:cs="Calibri"/>
        </w:rPr>
      </w:pPr>
    </w:p>
    <w:p w:rsidR="007371EE" w:rsidRPr="00710055" w:rsidRDefault="007371EE" w:rsidP="007371EE">
      <w:pPr>
        <w:pStyle w:val="NoSpacing"/>
        <w:jc w:val="both"/>
        <w:rPr>
          <w:rFonts w:ascii="Calibri" w:hAnsi="Calibri"/>
          <w:sz w:val="22"/>
          <w:szCs w:val="22"/>
        </w:rPr>
      </w:pPr>
      <w:r>
        <w:rPr>
          <w:rFonts w:ascii="Calibri" w:hAnsi="Calibri"/>
          <w:sz w:val="22"/>
          <w:szCs w:val="22"/>
        </w:rPr>
        <w:t xml:space="preserve">The themes defining eligible actions can be summarised as follows: </w:t>
      </w:r>
      <w:r>
        <w:rPr>
          <w:rFonts w:ascii="Calibri" w:hAnsi="Calibri" w:cs="Calibri"/>
          <w:sz w:val="22"/>
          <w:szCs w:val="22"/>
        </w:rPr>
        <w:t>good water governance; integrated water resources m</w:t>
      </w:r>
      <w:r w:rsidRPr="00040579">
        <w:rPr>
          <w:rFonts w:ascii="Calibri" w:hAnsi="Calibri" w:cs="Calibri"/>
          <w:sz w:val="22"/>
          <w:szCs w:val="22"/>
        </w:rPr>
        <w:t>anagement;</w:t>
      </w:r>
      <w:r w:rsidRPr="00710055">
        <w:rPr>
          <w:rFonts w:ascii="Calibri" w:hAnsi="Calibri"/>
          <w:sz w:val="22"/>
          <w:szCs w:val="22"/>
        </w:rPr>
        <w:t xml:space="preserve"> </w:t>
      </w:r>
      <w:r>
        <w:rPr>
          <w:rFonts w:ascii="Calibri" w:hAnsi="Calibri"/>
          <w:sz w:val="22"/>
          <w:szCs w:val="22"/>
        </w:rPr>
        <w:t>s</w:t>
      </w:r>
      <w:r w:rsidRPr="00710055">
        <w:rPr>
          <w:rFonts w:ascii="Calibri" w:hAnsi="Calibri"/>
          <w:sz w:val="22"/>
          <w:szCs w:val="22"/>
        </w:rPr>
        <w:t>ystem maintenance and improvement</w:t>
      </w:r>
      <w:r>
        <w:rPr>
          <w:rFonts w:ascii="Calibri" w:hAnsi="Calibri"/>
          <w:sz w:val="22"/>
          <w:szCs w:val="22"/>
        </w:rPr>
        <w:t>; l</w:t>
      </w:r>
      <w:r w:rsidRPr="00710055">
        <w:rPr>
          <w:rFonts w:ascii="Calibri" w:hAnsi="Calibri" w:cs="Arial"/>
          <w:sz w:val="22"/>
          <w:szCs w:val="22"/>
        </w:rPr>
        <w:t>eakage reduction</w:t>
      </w:r>
      <w:r>
        <w:rPr>
          <w:rFonts w:ascii="Calibri" w:hAnsi="Calibri" w:cs="Arial"/>
          <w:sz w:val="22"/>
          <w:szCs w:val="22"/>
        </w:rPr>
        <w:t>; water quality testing; w</w:t>
      </w:r>
      <w:r w:rsidRPr="00710055">
        <w:rPr>
          <w:rFonts w:ascii="Calibri" w:hAnsi="Calibri" w:cs="Arial"/>
          <w:sz w:val="22"/>
          <w:szCs w:val="22"/>
        </w:rPr>
        <w:t>ater resources protection</w:t>
      </w:r>
      <w:r>
        <w:rPr>
          <w:rFonts w:ascii="Calibri" w:hAnsi="Calibri" w:cs="Arial"/>
          <w:sz w:val="22"/>
          <w:szCs w:val="22"/>
        </w:rPr>
        <w:t>; p</w:t>
      </w:r>
      <w:r w:rsidRPr="00710055">
        <w:rPr>
          <w:rFonts w:ascii="Calibri" w:hAnsi="Calibri" w:cs="Arial"/>
          <w:sz w:val="22"/>
          <w:szCs w:val="22"/>
        </w:rPr>
        <w:t>ollution prevention</w:t>
      </w:r>
      <w:r>
        <w:rPr>
          <w:rFonts w:ascii="Calibri" w:hAnsi="Calibri" w:cs="Arial"/>
          <w:sz w:val="22"/>
          <w:szCs w:val="22"/>
        </w:rPr>
        <w:t xml:space="preserve">; studies to assess the state of water resources; studies to assess the necessity and scale of infrastructure developments; </w:t>
      </w:r>
      <w:r>
        <w:rPr>
          <w:rFonts w:ascii="Calibri" w:hAnsi="Calibri"/>
          <w:sz w:val="22"/>
          <w:szCs w:val="22"/>
        </w:rPr>
        <w:t>i</w:t>
      </w:r>
      <w:r w:rsidRPr="00710055">
        <w:rPr>
          <w:rFonts w:ascii="Calibri" w:hAnsi="Calibri"/>
          <w:sz w:val="22"/>
          <w:szCs w:val="22"/>
        </w:rPr>
        <w:t>mproving efficiency in management</w:t>
      </w:r>
      <w:r>
        <w:rPr>
          <w:rFonts w:ascii="Calibri" w:hAnsi="Calibri"/>
          <w:sz w:val="22"/>
          <w:szCs w:val="22"/>
        </w:rPr>
        <w:t xml:space="preserve"> practices; labour management tools; </w:t>
      </w:r>
      <w:r>
        <w:rPr>
          <w:rFonts w:ascii="Calibri" w:hAnsi="Calibri" w:cs="Arial"/>
          <w:sz w:val="22"/>
          <w:szCs w:val="22"/>
        </w:rPr>
        <w:t>a</w:t>
      </w:r>
      <w:r w:rsidRPr="00710055">
        <w:rPr>
          <w:rFonts w:ascii="Calibri" w:hAnsi="Calibri" w:cs="Arial"/>
          <w:sz w:val="22"/>
          <w:szCs w:val="22"/>
        </w:rPr>
        <w:t>ccessing investment finance</w:t>
      </w:r>
      <w:r>
        <w:rPr>
          <w:rFonts w:ascii="Calibri" w:hAnsi="Calibri"/>
          <w:sz w:val="22"/>
          <w:szCs w:val="22"/>
        </w:rPr>
        <w:t xml:space="preserve">; </w:t>
      </w:r>
      <w:r>
        <w:rPr>
          <w:rFonts w:ascii="Calibri" w:hAnsi="Calibri" w:cs="Arial"/>
          <w:sz w:val="22"/>
          <w:szCs w:val="22"/>
        </w:rPr>
        <w:t>methodologies for e</w:t>
      </w:r>
      <w:r w:rsidRPr="00997B43">
        <w:rPr>
          <w:rFonts w:ascii="Calibri" w:hAnsi="Calibri" w:cs="Arial"/>
          <w:sz w:val="22"/>
          <w:szCs w:val="22"/>
        </w:rPr>
        <w:t>xpanding access to the poor</w:t>
      </w:r>
      <w:r>
        <w:rPr>
          <w:rFonts w:ascii="Calibri" w:hAnsi="Calibri" w:cs="Arial"/>
          <w:sz w:val="22"/>
          <w:szCs w:val="22"/>
        </w:rPr>
        <w:t>; p</w:t>
      </w:r>
      <w:r w:rsidRPr="00710055">
        <w:rPr>
          <w:rFonts w:ascii="Calibri" w:hAnsi="Calibri" w:cs="Arial"/>
          <w:sz w:val="22"/>
          <w:szCs w:val="22"/>
        </w:rPr>
        <w:t>articipatory governance</w:t>
      </w:r>
      <w:r>
        <w:rPr>
          <w:rFonts w:ascii="Calibri" w:hAnsi="Calibri" w:cs="Arial"/>
          <w:sz w:val="22"/>
          <w:szCs w:val="22"/>
        </w:rPr>
        <w:t>; a</w:t>
      </w:r>
      <w:r w:rsidRPr="00710055">
        <w:rPr>
          <w:rFonts w:ascii="Calibri" w:hAnsi="Calibri" w:cs="Arial"/>
          <w:sz w:val="22"/>
          <w:szCs w:val="22"/>
        </w:rPr>
        <w:t>wareness raising</w:t>
      </w:r>
      <w:r>
        <w:rPr>
          <w:rFonts w:ascii="Calibri" w:hAnsi="Calibri" w:cs="Arial"/>
          <w:sz w:val="22"/>
          <w:szCs w:val="22"/>
        </w:rPr>
        <w:t xml:space="preserve">; </w:t>
      </w:r>
      <w:r w:rsidRPr="00040579">
        <w:rPr>
          <w:rFonts w:ascii="Calibri" w:hAnsi="Calibri" w:cs="Calibri"/>
          <w:sz w:val="22"/>
          <w:szCs w:val="22"/>
        </w:rPr>
        <w:t>institutional support</w:t>
      </w:r>
      <w:r>
        <w:rPr>
          <w:rFonts w:ascii="Calibri" w:hAnsi="Calibri" w:cs="Calibri"/>
          <w:sz w:val="22"/>
          <w:szCs w:val="22"/>
        </w:rPr>
        <w:t xml:space="preserve"> (e.g.</w:t>
      </w:r>
      <w:r w:rsidRPr="00DB4FF7">
        <w:rPr>
          <w:rFonts w:ascii="Calibri" w:hAnsi="Calibri" w:cs="Calibri"/>
          <w:sz w:val="22"/>
          <w:szCs w:val="22"/>
        </w:rPr>
        <w:t xml:space="preserve"> reinforcement of the municipalities’ management and control capabilities</w:t>
      </w:r>
      <w:r>
        <w:rPr>
          <w:rFonts w:ascii="Calibri" w:hAnsi="Calibri" w:cs="Calibri"/>
          <w:sz w:val="22"/>
          <w:szCs w:val="22"/>
        </w:rPr>
        <w:t>, in-house restru</w:t>
      </w:r>
      <w:r w:rsidR="00221A4C">
        <w:rPr>
          <w:rFonts w:ascii="Calibri" w:hAnsi="Calibri" w:cs="Calibri"/>
          <w:sz w:val="22"/>
          <w:szCs w:val="22"/>
        </w:rPr>
        <w:t>cturing). This list of themes i</w:t>
      </w:r>
      <w:r>
        <w:rPr>
          <w:rFonts w:ascii="Calibri" w:hAnsi="Calibri" w:cs="Calibri"/>
          <w:sz w:val="22"/>
          <w:szCs w:val="22"/>
        </w:rPr>
        <w:t>s not exhaustive.</w:t>
      </w:r>
      <w:r w:rsidRPr="002C04DF">
        <w:rPr>
          <w:rStyle w:val="EndnoteReference"/>
          <w:rFonts w:ascii="Calibri" w:hAnsi="Calibri" w:cs="Calibri"/>
          <w:sz w:val="22"/>
          <w:szCs w:val="22"/>
          <w:lang w:val="en-ZA"/>
        </w:rPr>
        <w:t xml:space="preserve"> </w:t>
      </w:r>
      <w:r w:rsidRPr="00040579">
        <w:rPr>
          <w:rStyle w:val="EndnoteReference"/>
          <w:rFonts w:ascii="Calibri" w:hAnsi="Calibri" w:cs="Calibri"/>
          <w:sz w:val="22"/>
          <w:szCs w:val="22"/>
          <w:lang w:val="en-ZA"/>
        </w:rPr>
        <w:endnoteReference w:id="20"/>
      </w:r>
    </w:p>
    <w:p w:rsidR="007371EE" w:rsidRDefault="007371EE" w:rsidP="00B94D15"/>
    <w:p w:rsidR="00B94D15" w:rsidRDefault="00F26EB0" w:rsidP="00EF699C">
      <w:pPr>
        <w:pStyle w:val="Heading2"/>
      </w:pPr>
      <w:bookmarkStart w:id="11" w:name="_Toc315076954"/>
      <w:bookmarkStart w:id="12" w:name="_Toc321061365"/>
      <w:bookmarkStart w:id="13" w:name="_Toc331783564"/>
      <w:r>
        <w:rPr>
          <w:lang w:val="en-GB"/>
        </w:rPr>
        <w:t>The s</w:t>
      </w:r>
      <w:r w:rsidR="00B94D15">
        <w:t>election procedure</w:t>
      </w:r>
      <w:bookmarkEnd w:id="11"/>
      <w:bookmarkEnd w:id="12"/>
      <w:bookmarkEnd w:id="13"/>
    </w:p>
    <w:p w:rsidR="00B94D15" w:rsidRDefault="00B94D15" w:rsidP="00B94D15">
      <w:pPr>
        <w:pStyle w:val="NoSpacing"/>
        <w:jc w:val="both"/>
        <w:rPr>
          <w:rFonts w:ascii="Calibri" w:hAnsi="Calibri" w:cs="Calibri"/>
          <w:sz w:val="22"/>
          <w:szCs w:val="22"/>
        </w:rPr>
      </w:pPr>
      <w:r>
        <w:rPr>
          <w:rFonts w:ascii="Calibri" w:hAnsi="Calibri"/>
          <w:sz w:val="22"/>
          <w:szCs w:val="22"/>
        </w:rPr>
        <w:t xml:space="preserve">Applicants could score a maximum of </w:t>
      </w:r>
      <w:r w:rsidR="00E6561F">
        <w:rPr>
          <w:rFonts w:ascii="Calibri" w:hAnsi="Calibri"/>
          <w:sz w:val="22"/>
          <w:szCs w:val="22"/>
        </w:rPr>
        <w:t xml:space="preserve">50 points for Concept Notes and a maximum of </w:t>
      </w:r>
      <w:r>
        <w:rPr>
          <w:rFonts w:ascii="Calibri" w:hAnsi="Calibri"/>
          <w:sz w:val="22"/>
          <w:szCs w:val="22"/>
        </w:rPr>
        <w:t>100</w:t>
      </w:r>
      <w:r w:rsidRPr="006F137E">
        <w:rPr>
          <w:rFonts w:ascii="Calibri" w:hAnsi="Calibri"/>
          <w:sz w:val="22"/>
          <w:szCs w:val="22"/>
        </w:rPr>
        <w:t xml:space="preserve"> </w:t>
      </w:r>
      <w:r>
        <w:rPr>
          <w:rFonts w:ascii="Calibri" w:hAnsi="Calibri"/>
          <w:sz w:val="22"/>
          <w:szCs w:val="22"/>
        </w:rPr>
        <w:t xml:space="preserve">points for </w:t>
      </w:r>
      <w:r w:rsidRPr="00816069">
        <w:rPr>
          <w:rFonts w:ascii="Calibri" w:hAnsi="Calibri" w:cs="Calibri"/>
          <w:sz w:val="22"/>
          <w:szCs w:val="22"/>
        </w:rPr>
        <w:t>Full Application Forms</w:t>
      </w:r>
      <w:r>
        <w:rPr>
          <w:rFonts w:ascii="Calibri" w:hAnsi="Calibri" w:cs="Calibri"/>
          <w:sz w:val="22"/>
          <w:szCs w:val="22"/>
        </w:rPr>
        <w:t xml:space="preserve">. </w:t>
      </w:r>
      <w:r w:rsidRPr="00B94D15">
        <w:rPr>
          <w:rFonts w:ascii="Calibri" w:hAnsi="Calibri" w:cs="Calibri"/>
          <w:sz w:val="22"/>
          <w:szCs w:val="22"/>
        </w:rPr>
        <w:t>The evaluation criteria for</w:t>
      </w:r>
      <w:r w:rsidR="00E6561F">
        <w:rPr>
          <w:rFonts w:ascii="Calibri" w:hAnsi="Calibri" w:cs="Calibri"/>
          <w:sz w:val="22"/>
          <w:szCs w:val="22"/>
        </w:rPr>
        <w:t xml:space="preserve"> Concept Notes overlap with the evaluation criteria for</w:t>
      </w:r>
      <w:r w:rsidRPr="00B94D15">
        <w:rPr>
          <w:rFonts w:ascii="Calibri" w:hAnsi="Calibri" w:cs="Calibri"/>
          <w:sz w:val="22"/>
          <w:szCs w:val="22"/>
        </w:rPr>
        <w:t xml:space="preserve"> Full Application Forms</w:t>
      </w:r>
      <w:r w:rsidR="00E6561F">
        <w:rPr>
          <w:rFonts w:ascii="Calibri" w:hAnsi="Calibri" w:cs="Calibri"/>
          <w:sz w:val="22"/>
          <w:szCs w:val="22"/>
        </w:rPr>
        <w:t>. These</w:t>
      </w:r>
      <w:r w:rsidRPr="00B94D15">
        <w:rPr>
          <w:rFonts w:ascii="Calibri" w:hAnsi="Calibri" w:cs="Calibri"/>
          <w:sz w:val="22"/>
          <w:szCs w:val="22"/>
        </w:rPr>
        <w:t xml:space="preserve"> were of two types, selection criteria (20/100 points) and award criteria (80/100 points). The selection criteria were intended to ensure that the applicant had stable and sufficient sources of finance to maintain their activity throughout the project, and that the applicant and implementing partners had the management capacity, professional competencies and qualifications required to successfully complete the proposed action. Award criteria covered such aspects as the relevance of the action, its consistency with the objectives of the call for proposals, quality, expected impact, sustainability and cost-effectiveness. They were intended to ensure the quality of the selected applications in relation to the set objectives and priorities, and the maximisation of the overall effectiveness of the call for proposals.</w:t>
      </w:r>
      <w:r w:rsidRPr="00040579">
        <w:rPr>
          <w:rStyle w:val="EndnoteReference"/>
          <w:rFonts w:ascii="Calibri" w:hAnsi="Calibri" w:cs="Calibri"/>
          <w:sz w:val="22"/>
          <w:szCs w:val="22"/>
          <w:lang w:val="en-ZA"/>
        </w:rPr>
        <w:endnoteReference w:id="21"/>
      </w:r>
    </w:p>
    <w:p w:rsidR="00B94D15" w:rsidRDefault="00B94D15" w:rsidP="00B94D15">
      <w:pPr>
        <w:pStyle w:val="NoSpacing"/>
        <w:jc w:val="both"/>
        <w:rPr>
          <w:rFonts w:ascii="Calibri" w:hAnsi="Calibri" w:cs="Calibri"/>
          <w:sz w:val="22"/>
          <w:szCs w:val="22"/>
        </w:rPr>
      </w:pPr>
    </w:p>
    <w:p w:rsidR="00B94D15" w:rsidRPr="00B94D15" w:rsidRDefault="00B94D15" w:rsidP="00B94D15">
      <w:pPr>
        <w:pStyle w:val="NoSpacing"/>
        <w:jc w:val="both"/>
        <w:rPr>
          <w:rFonts w:ascii="Calibri" w:hAnsi="Calibri" w:cs="Calibri"/>
          <w:sz w:val="22"/>
          <w:szCs w:val="22"/>
        </w:rPr>
      </w:pPr>
      <w:r>
        <w:rPr>
          <w:rFonts w:ascii="Calibri" w:hAnsi="Calibri" w:cs="Calibri"/>
          <w:sz w:val="22"/>
          <w:szCs w:val="22"/>
        </w:rPr>
        <w:t xml:space="preserve">The emphasis on the quality of </w:t>
      </w:r>
      <w:r w:rsidRPr="00AA1B7D">
        <w:rPr>
          <w:rFonts w:ascii="Calibri" w:hAnsi="Calibri" w:cs="Calibri"/>
          <w:sz w:val="22"/>
          <w:szCs w:val="22"/>
        </w:rPr>
        <w:t>Full Application Forms</w:t>
      </w:r>
      <w:r>
        <w:rPr>
          <w:rFonts w:ascii="Calibri" w:hAnsi="Calibri" w:cs="Calibri"/>
          <w:sz w:val="22"/>
          <w:szCs w:val="22"/>
        </w:rPr>
        <w:t xml:space="preserve"> is also illustrated by the fact that </w:t>
      </w:r>
      <w:r w:rsidRPr="00AA1B7D">
        <w:rPr>
          <w:rFonts w:ascii="Calibri" w:hAnsi="Calibri" w:cs="Calibri"/>
          <w:sz w:val="22"/>
          <w:szCs w:val="22"/>
        </w:rPr>
        <w:t xml:space="preserve">evaluation criteria </w:t>
      </w:r>
      <w:r>
        <w:rPr>
          <w:rFonts w:ascii="Calibri" w:hAnsi="Calibri" w:cs="Calibri"/>
          <w:sz w:val="22"/>
          <w:szCs w:val="22"/>
        </w:rPr>
        <w:t>provided for the rejection of</w:t>
      </w:r>
      <w:r w:rsidRPr="00AA1B7D">
        <w:rPr>
          <w:rFonts w:ascii="Calibri" w:hAnsi="Calibri" w:cs="Calibri"/>
          <w:sz w:val="22"/>
          <w:szCs w:val="22"/>
        </w:rPr>
        <w:t xml:space="preserve"> </w:t>
      </w:r>
      <w:r>
        <w:rPr>
          <w:rFonts w:ascii="Calibri" w:hAnsi="Calibri" w:cs="Calibri"/>
          <w:sz w:val="22"/>
          <w:szCs w:val="22"/>
        </w:rPr>
        <w:t>applications scoring less than 20/25</w:t>
      </w:r>
      <w:r w:rsidRPr="00121266">
        <w:rPr>
          <w:rFonts w:ascii="Calibri" w:hAnsi="Calibri" w:cs="Calibri"/>
          <w:sz w:val="22"/>
          <w:szCs w:val="22"/>
        </w:rPr>
        <w:t xml:space="preserve"> points under the heading of Relevance</w:t>
      </w:r>
      <w:r>
        <w:rPr>
          <w:rFonts w:ascii="Calibri" w:hAnsi="Calibri" w:cs="Calibri"/>
          <w:sz w:val="22"/>
          <w:szCs w:val="22"/>
        </w:rPr>
        <w:t xml:space="preserve">. Applicants could score half of the 20/25 points necessary to avoid rejection by showing how their proposal </w:t>
      </w:r>
      <w:r w:rsidRPr="00816069">
        <w:rPr>
          <w:rFonts w:ascii="Calibri" w:hAnsi="Calibri" w:cs="Calibri"/>
          <w:sz w:val="22"/>
          <w:szCs w:val="22"/>
        </w:rPr>
        <w:t>contributed to developing or implementing national water and sanitation strategies and programmes, and actively involved local Non State Actors.</w:t>
      </w:r>
      <w:r>
        <w:rPr>
          <w:rFonts w:ascii="Calibri" w:hAnsi="Calibri" w:cs="Calibri"/>
          <w:sz w:val="22"/>
          <w:szCs w:val="22"/>
        </w:rPr>
        <w:t xml:space="preserve"> The remaining half could be scored by clearly defining and strategically choosing</w:t>
      </w:r>
      <w:r w:rsidRPr="00816069">
        <w:rPr>
          <w:rFonts w:ascii="Calibri" w:hAnsi="Calibri" w:cs="Calibri"/>
          <w:sz w:val="22"/>
          <w:szCs w:val="22"/>
        </w:rPr>
        <w:t xml:space="preserve"> the</w:t>
      </w:r>
      <w:r>
        <w:rPr>
          <w:rFonts w:ascii="Calibri" w:hAnsi="Calibri" w:cs="Calibri"/>
          <w:sz w:val="22"/>
          <w:szCs w:val="22"/>
        </w:rPr>
        <w:t xml:space="preserve"> </w:t>
      </w:r>
      <w:r w:rsidRPr="00816069">
        <w:rPr>
          <w:rFonts w:ascii="Calibri" w:hAnsi="Calibri" w:cs="Calibri"/>
          <w:sz w:val="22"/>
          <w:szCs w:val="22"/>
        </w:rPr>
        <w:t>mandatory result</w:t>
      </w:r>
      <w:r>
        <w:rPr>
          <w:rFonts w:ascii="Calibri" w:hAnsi="Calibri" w:cs="Calibri"/>
          <w:sz w:val="22"/>
          <w:szCs w:val="22"/>
        </w:rPr>
        <w:t>s of the project –</w:t>
      </w:r>
      <w:r w:rsidRPr="00DB4FF7">
        <w:rPr>
          <w:rFonts w:ascii="Calibri" w:hAnsi="Calibri" w:cs="Calibri"/>
          <w:sz w:val="22"/>
          <w:szCs w:val="22"/>
        </w:rPr>
        <w:t xml:space="preserve"> </w:t>
      </w:r>
      <w:r>
        <w:rPr>
          <w:rFonts w:ascii="Calibri" w:hAnsi="Calibri" w:cs="Calibri"/>
          <w:sz w:val="22"/>
          <w:szCs w:val="22"/>
        </w:rPr>
        <w:t xml:space="preserve">i.e. </w:t>
      </w:r>
      <w:r w:rsidRPr="00DB4FF7">
        <w:rPr>
          <w:rFonts w:ascii="Calibri" w:hAnsi="Calibri" w:cs="Calibri"/>
          <w:sz w:val="22"/>
          <w:szCs w:val="22"/>
        </w:rPr>
        <w:t xml:space="preserve">the </w:t>
      </w:r>
      <w:r w:rsidRPr="00DB4FF7">
        <w:rPr>
          <w:rFonts w:ascii="Calibri" w:hAnsi="Calibri" w:cs="Calibri"/>
          <w:bCs/>
          <w:sz w:val="22"/>
          <w:szCs w:val="22"/>
        </w:rPr>
        <w:t xml:space="preserve">concrete operational results </w:t>
      </w:r>
      <w:r w:rsidRPr="00DB4FF7">
        <w:rPr>
          <w:rFonts w:ascii="Calibri" w:hAnsi="Calibri" w:cs="Calibri"/>
          <w:sz w:val="22"/>
          <w:szCs w:val="22"/>
        </w:rPr>
        <w:t xml:space="preserve">which </w:t>
      </w:r>
      <w:r w:rsidRPr="00B94D15">
        <w:rPr>
          <w:rFonts w:ascii="Calibri" w:hAnsi="Calibri" w:cs="Calibri"/>
          <w:sz w:val="22"/>
          <w:szCs w:val="22"/>
        </w:rPr>
        <w:t xml:space="preserve">should be </w:t>
      </w:r>
      <w:r w:rsidRPr="00B94D15">
        <w:rPr>
          <w:rFonts w:ascii="Calibri" w:hAnsi="Calibri" w:cs="Calibri"/>
          <w:bCs/>
          <w:sz w:val="22"/>
          <w:szCs w:val="22"/>
        </w:rPr>
        <w:t xml:space="preserve">maintained </w:t>
      </w:r>
      <w:r w:rsidRPr="00B94D15">
        <w:rPr>
          <w:rFonts w:ascii="Calibri" w:hAnsi="Calibri" w:cs="Calibri"/>
          <w:sz w:val="22"/>
          <w:szCs w:val="22"/>
        </w:rPr>
        <w:t>as a permanent asset to the beneficiary partner(s) even after the end of project implementation - and by clearly defining and appropriately addressing the needs of the beneficiary partner(s). This included consideration for the establishment of synergy with any other capacity development initiatives and avoidance of duplication.</w:t>
      </w:r>
      <w:r w:rsidRPr="00866CED">
        <w:rPr>
          <w:rStyle w:val="EndnoteReference"/>
          <w:rFonts w:ascii="Calibri" w:hAnsi="Calibri" w:cs="Calibri"/>
          <w:sz w:val="22"/>
          <w:szCs w:val="22"/>
          <w:lang w:val="en-ZA"/>
        </w:rPr>
        <w:t xml:space="preserve"> </w:t>
      </w:r>
      <w:r w:rsidRPr="00040579">
        <w:rPr>
          <w:rStyle w:val="EndnoteReference"/>
          <w:rFonts w:ascii="Calibri" w:hAnsi="Calibri" w:cs="Calibri"/>
          <w:sz w:val="22"/>
          <w:szCs w:val="22"/>
          <w:lang w:val="en-ZA"/>
        </w:rPr>
        <w:endnoteReference w:id="22"/>
      </w:r>
      <w:r w:rsidRPr="00B94D15">
        <w:rPr>
          <w:rFonts w:ascii="Calibri" w:hAnsi="Calibri" w:cs="Calibri"/>
          <w:sz w:val="22"/>
          <w:szCs w:val="22"/>
        </w:rPr>
        <w:t xml:space="preserve"> </w:t>
      </w:r>
    </w:p>
    <w:p w:rsidR="00B94D15" w:rsidRPr="00B94D15" w:rsidRDefault="00B94D15" w:rsidP="00B94D15">
      <w:pPr>
        <w:pStyle w:val="NoSpacing"/>
        <w:jc w:val="both"/>
        <w:rPr>
          <w:rFonts w:ascii="Calibri" w:hAnsi="Calibri" w:cs="Calibri"/>
          <w:sz w:val="22"/>
          <w:szCs w:val="22"/>
        </w:rPr>
      </w:pPr>
    </w:p>
    <w:p w:rsidR="00B94D15" w:rsidRPr="00553DE0" w:rsidRDefault="00B94D15" w:rsidP="00B94D15">
      <w:pPr>
        <w:pStyle w:val="NoSpacing"/>
        <w:jc w:val="both"/>
        <w:rPr>
          <w:rFonts w:ascii="Calibri" w:hAnsi="Calibri"/>
          <w:sz w:val="22"/>
          <w:szCs w:val="22"/>
        </w:rPr>
      </w:pPr>
      <w:r w:rsidRPr="00B94D15">
        <w:rPr>
          <w:rFonts w:ascii="Calibri" w:hAnsi="Calibri" w:cs="Calibri"/>
          <w:sz w:val="22"/>
          <w:szCs w:val="22"/>
        </w:rPr>
        <w:t xml:space="preserve">The combined effect of the eligibility and evaluation criteria is that applicants were </w:t>
      </w:r>
      <w:r w:rsidR="00D67097">
        <w:rPr>
          <w:rFonts w:ascii="Calibri" w:hAnsi="Calibri" w:cs="Calibri"/>
          <w:sz w:val="22"/>
          <w:szCs w:val="22"/>
        </w:rPr>
        <w:t>induc</w:t>
      </w:r>
      <w:r w:rsidRPr="00B94D15">
        <w:rPr>
          <w:rFonts w:ascii="Calibri" w:hAnsi="Calibri" w:cs="Calibri"/>
          <w:sz w:val="22"/>
          <w:szCs w:val="22"/>
        </w:rPr>
        <w:t xml:space="preserve">ed to produce a tangible and permanent impact on the operations of the beneficiary partner(s). They were encouraged to do so through the achievement of mandatory results in a number of areas which the call for proposal indicated as themes defining eligible actions. Applicants were not only requested to develop the capacity of the beneficiary partner(s), but also expected to generate a multiplier effect resulting from the action being replicated and/or scaled-up within the country/region. To guarantee the realisation of expected impact, </w:t>
      </w:r>
      <w:r w:rsidRPr="00B94D15">
        <w:rPr>
          <w:rFonts w:ascii="Calibri" w:hAnsi="Calibri" w:cs="Calibri"/>
          <w:sz w:val="22"/>
          <w:szCs w:val="22"/>
        </w:rPr>
        <w:lastRenderedPageBreak/>
        <w:t xml:space="preserve">applicants were requested to demonstrate their </w:t>
      </w:r>
      <w:r w:rsidRPr="00816069">
        <w:rPr>
          <w:rFonts w:ascii="Calibri" w:hAnsi="Calibri" w:cs="Calibri"/>
          <w:sz w:val="22"/>
          <w:szCs w:val="22"/>
        </w:rPr>
        <w:t>capacity</w:t>
      </w:r>
      <w:r w:rsidRPr="00B94D15">
        <w:rPr>
          <w:rFonts w:ascii="Calibri" w:hAnsi="Calibri" w:cs="Calibri"/>
          <w:sz w:val="22"/>
          <w:szCs w:val="22"/>
        </w:rPr>
        <w:t xml:space="preserve"> to </w:t>
      </w:r>
      <w:r w:rsidRPr="00816069">
        <w:rPr>
          <w:rFonts w:ascii="Calibri" w:hAnsi="Calibri" w:cs="Calibri"/>
          <w:sz w:val="22"/>
          <w:szCs w:val="22"/>
        </w:rPr>
        <w:t>successfully complete the proposed action</w:t>
      </w:r>
      <w:r w:rsidRPr="00B94D15">
        <w:rPr>
          <w:rFonts w:ascii="Calibri" w:hAnsi="Calibri" w:cs="Calibri"/>
          <w:sz w:val="22"/>
          <w:szCs w:val="22"/>
        </w:rPr>
        <w:t xml:space="preserve"> and to accurately describe the procedures for internal/external evaluation during execution of the action.</w:t>
      </w:r>
      <w:r w:rsidRPr="00C63FC8">
        <w:rPr>
          <w:rStyle w:val="EndnoteReference"/>
          <w:rFonts w:ascii="Calibri" w:hAnsi="Calibri" w:cs="Calibri"/>
          <w:sz w:val="22"/>
          <w:szCs w:val="22"/>
          <w:lang w:val="en-ZA"/>
        </w:rPr>
        <w:t xml:space="preserve"> </w:t>
      </w:r>
      <w:r w:rsidRPr="00040579">
        <w:rPr>
          <w:rStyle w:val="EndnoteReference"/>
          <w:rFonts w:ascii="Calibri" w:hAnsi="Calibri" w:cs="Calibri"/>
          <w:sz w:val="22"/>
          <w:szCs w:val="22"/>
          <w:lang w:val="en-ZA"/>
        </w:rPr>
        <w:endnoteReference w:id="23"/>
      </w:r>
      <w:r w:rsidRPr="00553DE0">
        <w:rPr>
          <w:rFonts w:ascii="Calibri" w:hAnsi="Calibri"/>
          <w:sz w:val="22"/>
          <w:szCs w:val="22"/>
        </w:rPr>
        <w:t xml:space="preserve">          </w:t>
      </w:r>
    </w:p>
    <w:p w:rsidR="004E122C" w:rsidRPr="0061565E" w:rsidRDefault="004E122C" w:rsidP="00300A74">
      <w:pPr>
        <w:pStyle w:val="NoSpacing"/>
        <w:jc w:val="both"/>
        <w:rPr>
          <w:rFonts w:ascii="Calibri" w:hAnsi="Calibri"/>
          <w:sz w:val="22"/>
          <w:szCs w:val="22"/>
        </w:rPr>
      </w:pPr>
    </w:p>
    <w:p w:rsidR="00316000" w:rsidRDefault="001606FD" w:rsidP="00316000">
      <w:pPr>
        <w:pStyle w:val="Heading1"/>
      </w:pPr>
      <w:bookmarkStart w:id="14" w:name="_Toc331783565"/>
      <w:r>
        <w:t>A</w:t>
      </w:r>
      <w:r w:rsidR="00547F8D">
        <w:rPr>
          <w:lang w:val="en-GB"/>
        </w:rPr>
        <w:t>CP-EU Water Partnerships: O</w:t>
      </w:r>
      <w:r>
        <w:rPr>
          <w:lang w:val="en-GB"/>
        </w:rPr>
        <w:t>verview</w:t>
      </w:r>
      <w:r w:rsidR="00316000">
        <w:t xml:space="preserve"> of successful applications</w:t>
      </w:r>
      <w:bookmarkEnd w:id="14"/>
    </w:p>
    <w:p w:rsidR="00E1452F" w:rsidRDefault="001606FD" w:rsidP="00214AC2">
      <w:pPr>
        <w:pStyle w:val="NoSpacing"/>
        <w:jc w:val="both"/>
      </w:pPr>
      <w:r w:rsidRPr="00A7603F">
        <w:rPr>
          <w:rFonts w:ascii="Calibri" w:hAnsi="Calibri" w:cs="Calibri"/>
          <w:sz w:val="22"/>
          <w:szCs w:val="22"/>
        </w:rPr>
        <w:t xml:space="preserve">At the end of 2011, the ACP-EU Water Facility </w:t>
      </w:r>
      <w:r w:rsidR="007320D7" w:rsidRPr="00A7603F">
        <w:rPr>
          <w:rFonts w:ascii="Calibri" w:hAnsi="Calibri" w:cs="Calibri"/>
          <w:sz w:val="22"/>
          <w:szCs w:val="22"/>
        </w:rPr>
        <w:t>selected</w:t>
      </w:r>
      <w:r w:rsidR="00E514D9">
        <w:rPr>
          <w:rFonts w:ascii="Calibri" w:hAnsi="Calibri" w:cs="Calibri"/>
          <w:sz w:val="22"/>
          <w:szCs w:val="22"/>
        </w:rPr>
        <w:t xml:space="preserve"> 32 projects among </w:t>
      </w:r>
      <w:r w:rsidRPr="00A7603F">
        <w:rPr>
          <w:rFonts w:ascii="Calibri" w:hAnsi="Calibri" w:cs="Calibri"/>
          <w:sz w:val="22"/>
          <w:szCs w:val="22"/>
        </w:rPr>
        <w:t xml:space="preserve">300 </w:t>
      </w:r>
      <w:r w:rsidR="00214AC2">
        <w:rPr>
          <w:rFonts w:ascii="Calibri" w:hAnsi="Calibri" w:cs="Calibri"/>
          <w:sz w:val="22"/>
          <w:szCs w:val="22"/>
        </w:rPr>
        <w:t>Concept Notes</w:t>
      </w:r>
      <w:r w:rsidRPr="00A7603F">
        <w:rPr>
          <w:rFonts w:ascii="Calibri" w:hAnsi="Calibri" w:cs="Calibri"/>
          <w:sz w:val="22"/>
          <w:szCs w:val="22"/>
        </w:rPr>
        <w:t xml:space="preserve"> submitted in</w:t>
      </w:r>
      <w:r w:rsidR="007320D7" w:rsidRPr="00A7603F">
        <w:rPr>
          <w:rFonts w:ascii="Calibri" w:hAnsi="Calibri" w:cs="Calibri"/>
          <w:sz w:val="22"/>
          <w:szCs w:val="22"/>
        </w:rPr>
        <w:t xml:space="preserve"> </w:t>
      </w:r>
      <w:r w:rsidRPr="00A7603F">
        <w:rPr>
          <w:rFonts w:ascii="Calibri" w:hAnsi="Calibri" w:cs="Calibri"/>
          <w:sz w:val="22"/>
          <w:szCs w:val="22"/>
        </w:rPr>
        <w:t>the first stage of the selection procedure.</w:t>
      </w:r>
      <w:r w:rsidR="007320D7" w:rsidRPr="00A7603F">
        <w:rPr>
          <w:rFonts w:ascii="Calibri" w:hAnsi="Calibri" w:cs="Calibri"/>
          <w:sz w:val="22"/>
          <w:szCs w:val="22"/>
        </w:rPr>
        <w:t xml:space="preserve"> Grants to be awarded to the successful applicants amounted to €23million</w:t>
      </w:r>
      <w:r w:rsidR="00066DF9">
        <w:rPr>
          <w:rFonts w:ascii="Calibri" w:hAnsi="Calibri" w:cs="Calibri"/>
          <w:sz w:val="22"/>
          <w:szCs w:val="22"/>
        </w:rPr>
        <w:t>, while the projected value of funds</w:t>
      </w:r>
      <w:r w:rsidR="00066DF9" w:rsidRPr="00066DF9">
        <w:rPr>
          <w:rFonts w:ascii="Calibri" w:hAnsi="Calibri" w:cs="Calibri"/>
          <w:sz w:val="22"/>
          <w:szCs w:val="22"/>
        </w:rPr>
        <w:t xml:space="preserve"> </w:t>
      </w:r>
      <w:r w:rsidR="00066DF9">
        <w:rPr>
          <w:rFonts w:ascii="Calibri" w:hAnsi="Calibri" w:cs="Calibri"/>
          <w:sz w:val="22"/>
          <w:szCs w:val="22"/>
        </w:rPr>
        <w:t>mobilised by the 32 partnerships totals €</w:t>
      </w:r>
      <w:r w:rsidR="005F64B2">
        <w:rPr>
          <w:rFonts w:ascii="Calibri" w:hAnsi="Calibri" w:cs="Calibri"/>
          <w:sz w:val="22"/>
          <w:szCs w:val="22"/>
        </w:rPr>
        <w:t>31.9 million</w:t>
      </w:r>
      <w:r w:rsidR="007320D7" w:rsidRPr="00A7603F">
        <w:rPr>
          <w:rFonts w:ascii="Calibri" w:hAnsi="Calibri" w:cs="Calibri"/>
          <w:sz w:val="22"/>
          <w:szCs w:val="22"/>
        </w:rPr>
        <w:t>. A complete list of all the successfu</w:t>
      </w:r>
      <w:r w:rsidR="00E1452F">
        <w:rPr>
          <w:rFonts w:ascii="Calibri" w:hAnsi="Calibri" w:cs="Calibri"/>
          <w:sz w:val="22"/>
          <w:szCs w:val="22"/>
        </w:rPr>
        <w:t>l applications is set out in</w:t>
      </w:r>
      <w:r w:rsidR="009373C6">
        <w:rPr>
          <w:rFonts w:ascii="Calibri" w:hAnsi="Calibri" w:cs="Calibri"/>
          <w:sz w:val="22"/>
          <w:szCs w:val="22"/>
        </w:rPr>
        <w:t xml:space="preserve"> Annex</w:t>
      </w:r>
      <w:r w:rsidR="00E1452F">
        <w:rPr>
          <w:rFonts w:ascii="Calibri" w:hAnsi="Calibri" w:cs="Calibri"/>
          <w:sz w:val="22"/>
          <w:szCs w:val="22"/>
        </w:rPr>
        <w:t xml:space="preserve"> I</w:t>
      </w:r>
      <w:r w:rsidR="007320D7" w:rsidRPr="00A7603F">
        <w:rPr>
          <w:rFonts w:ascii="Calibri" w:hAnsi="Calibri" w:cs="Calibri"/>
          <w:sz w:val="22"/>
          <w:szCs w:val="22"/>
        </w:rPr>
        <w:t>, Table 1.</w:t>
      </w:r>
      <w:r w:rsidR="007320D7" w:rsidRPr="00CA12F8">
        <w:rPr>
          <w:rFonts w:ascii="Calibri" w:hAnsi="Calibri" w:cs="Calibri"/>
          <w:sz w:val="22"/>
          <w:szCs w:val="22"/>
        </w:rPr>
        <w:t xml:space="preserve"> The 32 projects selected </w:t>
      </w:r>
      <w:r w:rsidR="00E514D9" w:rsidRPr="00CA12F8">
        <w:rPr>
          <w:rFonts w:ascii="Calibri" w:hAnsi="Calibri" w:cs="Calibri"/>
          <w:sz w:val="22"/>
          <w:szCs w:val="22"/>
        </w:rPr>
        <w:t>involve</w:t>
      </w:r>
      <w:r w:rsidR="007320D7" w:rsidRPr="00CA12F8">
        <w:rPr>
          <w:rFonts w:ascii="Calibri" w:hAnsi="Calibri" w:cs="Calibri"/>
          <w:sz w:val="22"/>
          <w:szCs w:val="22"/>
        </w:rPr>
        <w:t xml:space="preserve"> beneficiary partners in a total of 21 different ACP countries, including countries covered in multi-country proposals.  </w:t>
      </w:r>
      <w:r w:rsidR="00E1452F" w:rsidRPr="00CA12F8">
        <w:rPr>
          <w:rFonts w:ascii="Calibri" w:hAnsi="Calibri" w:cs="Calibri"/>
          <w:sz w:val="22"/>
          <w:szCs w:val="22"/>
        </w:rPr>
        <w:t>19 of the countries are in sub-S</w:t>
      </w:r>
      <w:r w:rsidR="007320D7" w:rsidRPr="00CA12F8">
        <w:rPr>
          <w:rFonts w:ascii="Calibri" w:hAnsi="Calibri" w:cs="Calibri"/>
          <w:sz w:val="22"/>
          <w:szCs w:val="22"/>
        </w:rPr>
        <w:t xml:space="preserve">aharan Africa, and two in the </w:t>
      </w:r>
      <w:smartTag w:uri="urn:schemas-microsoft-com:office:smarttags" w:element="place">
        <w:r w:rsidR="007320D7" w:rsidRPr="00CA12F8">
          <w:rPr>
            <w:rFonts w:ascii="Calibri" w:hAnsi="Calibri" w:cs="Calibri"/>
            <w:sz w:val="22"/>
            <w:szCs w:val="22"/>
          </w:rPr>
          <w:t>Caribbean</w:t>
        </w:r>
      </w:smartTag>
      <w:r w:rsidR="007320D7" w:rsidRPr="00CA12F8">
        <w:rPr>
          <w:rFonts w:ascii="Calibri" w:hAnsi="Calibri" w:cs="Calibri"/>
          <w:sz w:val="22"/>
          <w:szCs w:val="22"/>
        </w:rPr>
        <w:t xml:space="preserve">.  11 of the countries covered are classified as low-income by the World Bank; 6 as lower-middle income; and 4 </w:t>
      </w:r>
      <w:r w:rsidR="00E1452F" w:rsidRPr="00CA12F8">
        <w:rPr>
          <w:rFonts w:ascii="Calibri" w:hAnsi="Calibri" w:cs="Calibri"/>
          <w:sz w:val="22"/>
          <w:szCs w:val="22"/>
        </w:rPr>
        <w:t xml:space="preserve">as upper middle income. </w:t>
      </w:r>
      <w:r w:rsidR="00FE041F" w:rsidRPr="00CA12F8">
        <w:rPr>
          <w:rFonts w:ascii="Calibri" w:hAnsi="Calibri" w:cs="Calibri"/>
          <w:sz w:val="22"/>
          <w:szCs w:val="22"/>
        </w:rPr>
        <w:t>This suggests that the majority of ACP-EU Water Partnerships benefit countries where the need for capacity development is more acute. In other words, applicants have focused their efforts in response to evaluation criteria concerning the relevance of the proposal to the particular needs and constraints of the water and sanitation sector in the country/region of the beneficiary partner(s).</w:t>
      </w:r>
      <w:r w:rsidR="00FE041F" w:rsidRPr="00CA12F8">
        <w:rPr>
          <w:rStyle w:val="EndnoteReference"/>
          <w:rFonts w:ascii="Calibri" w:hAnsi="Calibri" w:cs="Calibri"/>
          <w:sz w:val="22"/>
          <w:szCs w:val="22"/>
          <w:lang w:val="en-ZA"/>
        </w:rPr>
        <w:endnoteReference w:id="24"/>
      </w:r>
      <w:r w:rsidR="00FE041F" w:rsidRPr="00816069">
        <w:rPr>
          <w:rFonts w:cs="Calibri"/>
        </w:rPr>
        <w:t xml:space="preserve"> </w:t>
      </w:r>
      <w:r w:rsidR="00FE041F">
        <w:t xml:space="preserve">   </w:t>
      </w:r>
    </w:p>
    <w:p w:rsidR="00E1452F" w:rsidRDefault="00E1452F" w:rsidP="00E1452F">
      <w:pPr>
        <w:jc w:val="both"/>
      </w:pPr>
    </w:p>
    <w:p w:rsidR="007320D7" w:rsidRDefault="007320D7" w:rsidP="00E1452F">
      <w:pPr>
        <w:jc w:val="both"/>
      </w:pPr>
      <w:r>
        <w:t xml:space="preserve">The </w:t>
      </w:r>
      <w:r w:rsidR="00E1452F" w:rsidRPr="00B02CE8">
        <w:t>ACP-EU Water Partnerships</w:t>
      </w:r>
      <w:r w:rsidR="00E1452F">
        <w:t xml:space="preserve"> initiative</w:t>
      </w:r>
      <w:r>
        <w:t xml:space="preserve"> has increased the number of organisations involved in not-for-profit capacity development </w:t>
      </w:r>
      <w:r w:rsidR="00E1452F">
        <w:t>project</w:t>
      </w:r>
      <w:r>
        <w:t>s and built on existing relations. Five out of 22 successful app</w:t>
      </w:r>
      <w:r w:rsidR="00765061">
        <w:t>licants, and at least 33 out of</w:t>
      </w:r>
      <w:r>
        <w:t xml:space="preserve"> 81 ACP beneficiary partners, had no prior experience</w:t>
      </w:r>
      <w:r w:rsidRPr="00B52A5C">
        <w:t xml:space="preserve"> </w:t>
      </w:r>
      <w:r>
        <w:t>of parti</w:t>
      </w:r>
      <w:r w:rsidR="00B0609B">
        <w:t>cipation in such partnerships (s</w:t>
      </w:r>
      <w:r w:rsidR="009373C6">
        <w:t>ee Annex</w:t>
      </w:r>
      <w:r w:rsidR="00E1452F">
        <w:t xml:space="preserve"> I</w:t>
      </w:r>
      <w:r w:rsidR="009342B4">
        <w:t>, Tables 2-5</w:t>
      </w:r>
      <w:r>
        <w:t>)</w:t>
      </w:r>
      <w:r w:rsidR="00765061">
        <w:t>.</w:t>
      </w:r>
      <w:r w:rsidR="003C620D">
        <w:t xml:space="preserve"> This is significant because it shows an interest in participating in capacity development projects beyond those organisations with an established experienced in this domain. It is also significant because in a number of cases organisations that benefited from not-for-profit capacity development partnerships as mentees have become mentors in capacity development</w:t>
      </w:r>
      <w:r w:rsidR="00663C93">
        <w:t xml:space="preserve"> partnerships in the same country or region.</w:t>
      </w:r>
      <w:r w:rsidR="00663C93">
        <w:rPr>
          <w:rStyle w:val="EndnoteReference"/>
        </w:rPr>
        <w:endnoteReference w:id="25"/>
      </w:r>
      <w:r w:rsidR="003C620D">
        <w:t xml:space="preserve"> </w:t>
      </w:r>
      <w:r w:rsidR="006A51D1">
        <w:t xml:space="preserve">The increased </w:t>
      </w:r>
      <w:r w:rsidR="00663C93">
        <w:t>number of organisations involved in not-for-profit capacity development projects has therefo</w:t>
      </w:r>
      <w:r w:rsidR="0031037E">
        <w:t>re the potential to contribute</w:t>
      </w:r>
      <w:r w:rsidR="00663C93">
        <w:t xml:space="preserve"> to the multiplier effect as defined by the evaluation criteria: the replication of an action and/or its </w:t>
      </w:r>
      <w:r w:rsidR="00663C93">
        <w:rPr>
          <w:rFonts w:cs="Calibri"/>
        </w:rPr>
        <w:t>scaling</w:t>
      </w:r>
      <w:r w:rsidR="00663C93" w:rsidRPr="00B94D15">
        <w:rPr>
          <w:rFonts w:cs="Calibri"/>
        </w:rPr>
        <w:t>-up within the country/region</w:t>
      </w:r>
      <w:r w:rsidR="00663C93">
        <w:rPr>
          <w:rFonts w:cs="Calibri"/>
        </w:rPr>
        <w:t>.</w:t>
      </w:r>
      <w:r w:rsidR="00663C93">
        <w:t xml:space="preserve"> </w:t>
      </w:r>
      <w:r w:rsidR="009342B4">
        <w:t xml:space="preserve"> </w:t>
      </w:r>
      <w:r w:rsidR="00FE041F">
        <w:t xml:space="preserve"> </w:t>
      </w:r>
      <w:r w:rsidR="00E1452F">
        <w:t xml:space="preserve"> </w:t>
      </w:r>
    </w:p>
    <w:p w:rsidR="007320D7" w:rsidRDefault="007320D7" w:rsidP="007320D7"/>
    <w:p w:rsidR="00C04465" w:rsidRDefault="00B60700" w:rsidP="00C04465">
      <w:pPr>
        <w:jc w:val="both"/>
      </w:pPr>
      <w:r>
        <w:t>The selected</w:t>
      </w:r>
      <w:r w:rsidR="007320D7">
        <w:t xml:space="preserve"> </w:t>
      </w:r>
      <w:r w:rsidR="00663C93">
        <w:t>application</w:t>
      </w:r>
      <w:r w:rsidR="00B0609B">
        <w:t>s include</w:t>
      </w:r>
      <w:r w:rsidR="007320D7">
        <w:t xml:space="preserve"> 18 </w:t>
      </w:r>
      <w:r w:rsidR="00B0609B" w:rsidRPr="00816069">
        <w:rPr>
          <w:rFonts w:cs="Calibri"/>
        </w:rPr>
        <w:t>Non State Actors</w:t>
      </w:r>
      <w:r>
        <w:t xml:space="preserve"> based in ACP countri</w:t>
      </w:r>
      <w:r w:rsidR="007320D7">
        <w:t xml:space="preserve">es </w:t>
      </w:r>
      <w:r w:rsidR="00B0609B">
        <w:t xml:space="preserve">out of </w:t>
      </w:r>
      <w:r w:rsidR="00C37AEC">
        <w:t xml:space="preserve">a total </w:t>
      </w:r>
      <w:r w:rsidR="0031037E">
        <w:t xml:space="preserve">of </w:t>
      </w:r>
      <w:r w:rsidR="00B0609B">
        <w:t>31</w:t>
      </w:r>
      <w:r w:rsidR="00B0609B" w:rsidRPr="00B0609B">
        <w:rPr>
          <w:rFonts w:cs="Calibri"/>
        </w:rPr>
        <w:t xml:space="preserve"> </w:t>
      </w:r>
      <w:r w:rsidR="00B0609B" w:rsidRPr="00816069">
        <w:rPr>
          <w:rFonts w:cs="Calibri"/>
        </w:rPr>
        <w:t>Non State Actors</w:t>
      </w:r>
      <w:r w:rsidR="00B0609B">
        <w:rPr>
          <w:rFonts w:cs="Calibri"/>
        </w:rPr>
        <w:t xml:space="preserve"> who participate as partners </w:t>
      </w:r>
      <w:r w:rsidR="003E0718">
        <w:t>(see Annex</w:t>
      </w:r>
      <w:r w:rsidR="00B0609B">
        <w:t xml:space="preserve"> I,</w:t>
      </w:r>
      <w:r w:rsidR="00651CCD">
        <w:t xml:space="preserve"> Table 6</w:t>
      </w:r>
      <w:r w:rsidR="00B0609B">
        <w:t>)</w:t>
      </w:r>
      <w:r w:rsidR="007320D7">
        <w:t>.</w:t>
      </w:r>
      <w:r w:rsidR="00B0609B">
        <w:t xml:space="preserve"> This is in response to the Call for Proposal encouraging the active involvement of local </w:t>
      </w:r>
      <w:r w:rsidR="00B0609B" w:rsidRPr="00816069">
        <w:rPr>
          <w:rFonts w:cs="Calibri"/>
        </w:rPr>
        <w:t>Non State Actors</w:t>
      </w:r>
      <w:r w:rsidR="00B0609B">
        <w:rPr>
          <w:rFonts w:cs="Calibri"/>
        </w:rPr>
        <w:t xml:space="preserve"> to support the institution building process.</w:t>
      </w:r>
      <w:r w:rsidR="0031037E">
        <w:rPr>
          <w:rFonts w:cs="Calibri"/>
        </w:rPr>
        <w:t xml:space="preserve"> </w:t>
      </w:r>
      <w:r w:rsidR="00C37AEC">
        <w:rPr>
          <w:rFonts w:cs="Calibri"/>
        </w:rPr>
        <w:t xml:space="preserve"> </w:t>
      </w:r>
      <w:r w:rsidR="00C04465">
        <w:rPr>
          <w:rFonts w:cs="Calibri"/>
        </w:rPr>
        <w:t xml:space="preserve">Finally, the </w:t>
      </w:r>
      <w:r w:rsidR="00C04465" w:rsidRPr="00B02CE8">
        <w:t>ACP-EU Water Partnerships</w:t>
      </w:r>
      <w:r w:rsidR="00C04465">
        <w:t xml:space="preserve"> initiative has had some success in mobilising the South-South capacity</w:t>
      </w:r>
      <w:r w:rsidR="00C04465" w:rsidRPr="00AF7A43">
        <w:t xml:space="preserve"> </w:t>
      </w:r>
      <w:r w:rsidR="00C04465">
        <w:t>transfer compone</w:t>
      </w:r>
      <w:r w:rsidR="0031037E">
        <w:t>nt of successful applications. For the purpose of this study, t</w:t>
      </w:r>
      <w:r w:rsidR="00C04465">
        <w:t xml:space="preserve">he South-South component is defined as the participation of any ACP actor as successful applicant or implementing partner. While </w:t>
      </w:r>
      <w:r w:rsidR="00C04465" w:rsidRPr="00E820D8">
        <w:t xml:space="preserve">no ACP actor is </w:t>
      </w:r>
      <w:r w:rsidR="00C04465">
        <w:t>among the successful applicants,</w:t>
      </w:r>
      <w:r w:rsidR="00C04465" w:rsidRPr="00E820D8">
        <w:t xml:space="preserve"> ACP actors </w:t>
      </w:r>
      <w:r w:rsidR="00C04465">
        <w:t xml:space="preserve">participated </w:t>
      </w:r>
      <w:r w:rsidR="00C04465" w:rsidRPr="00E820D8">
        <w:t>as implementing partner</w:t>
      </w:r>
      <w:r w:rsidR="00C04465">
        <w:t>s</w:t>
      </w:r>
      <w:r w:rsidR="00C04465" w:rsidRPr="00E820D8">
        <w:t xml:space="preserve"> in 5 projects</w:t>
      </w:r>
      <w:r w:rsidR="00C04465">
        <w:t xml:space="preserve"> (see Annex I, Table 7)</w:t>
      </w:r>
      <w:r w:rsidR="00C04465" w:rsidRPr="00E820D8">
        <w:t xml:space="preserve">. </w:t>
      </w:r>
      <w:r w:rsidR="005543C8">
        <w:t>The mobilisation of the South-South component of not-for-profit capacity</w:t>
      </w:r>
      <w:r w:rsidR="005543C8" w:rsidRPr="00AF7A43">
        <w:t xml:space="preserve"> </w:t>
      </w:r>
      <w:r w:rsidR="005543C8">
        <w:t xml:space="preserve">development partnerships is expected to </w:t>
      </w:r>
      <w:r w:rsidR="00192592">
        <w:t>facilitate knowledge transfer in light of less significant cultural barriers between Southern partners.</w:t>
      </w:r>
      <w:r w:rsidR="00C04465">
        <w:t xml:space="preserve"> </w:t>
      </w:r>
    </w:p>
    <w:p w:rsidR="00300A74" w:rsidRDefault="00300A74" w:rsidP="00661F91">
      <w:pPr>
        <w:pStyle w:val="NoSpacing"/>
        <w:ind w:left="11"/>
        <w:jc w:val="both"/>
        <w:rPr>
          <w:rFonts w:ascii="Calibri" w:hAnsi="Calibri"/>
          <w:sz w:val="22"/>
          <w:szCs w:val="22"/>
        </w:rPr>
      </w:pPr>
    </w:p>
    <w:p w:rsidR="00B60700" w:rsidRDefault="00547F8D" w:rsidP="00B60700">
      <w:pPr>
        <w:pStyle w:val="Heading1"/>
      </w:pPr>
      <w:bookmarkStart w:id="15" w:name="_Toc331783566"/>
      <w:r>
        <w:rPr>
          <w:lang w:val="en-GB"/>
        </w:rPr>
        <w:t>ACP-EU Water Partnerships: E</w:t>
      </w:r>
      <w:r w:rsidR="00AE3227">
        <w:rPr>
          <w:lang w:val="en-GB"/>
        </w:rPr>
        <w:t>xpected</w:t>
      </w:r>
      <w:r w:rsidR="00B60700">
        <w:t xml:space="preserve"> impact of successful applications</w:t>
      </w:r>
      <w:bookmarkEnd w:id="15"/>
      <w:r w:rsidR="00B60700">
        <w:t xml:space="preserve"> </w:t>
      </w:r>
    </w:p>
    <w:p w:rsidR="00E514D9" w:rsidRDefault="00A465D8" w:rsidP="00661F91">
      <w:pPr>
        <w:pStyle w:val="NoSpacing"/>
        <w:ind w:left="11"/>
        <w:jc w:val="both"/>
        <w:rPr>
          <w:rFonts w:ascii="Calibri" w:hAnsi="Calibri"/>
          <w:sz w:val="22"/>
          <w:szCs w:val="22"/>
        </w:rPr>
      </w:pPr>
      <w:r>
        <w:rPr>
          <w:rFonts w:ascii="Calibri" w:hAnsi="Calibri"/>
          <w:sz w:val="22"/>
          <w:szCs w:val="22"/>
        </w:rPr>
        <w:t xml:space="preserve">For the purpose of this study, the expected impact of ACP-EU Water Partnerships is defined as the impact that the </w:t>
      </w:r>
      <w:r w:rsidR="00EF47C9">
        <w:rPr>
          <w:rFonts w:ascii="Calibri" w:hAnsi="Calibri"/>
          <w:sz w:val="22"/>
          <w:szCs w:val="22"/>
        </w:rPr>
        <w:t xml:space="preserve">32 </w:t>
      </w:r>
      <w:r>
        <w:rPr>
          <w:rFonts w:ascii="Calibri" w:hAnsi="Calibri"/>
          <w:sz w:val="22"/>
          <w:szCs w:val="22"/>
        </w:rPr>
        <w:t>successful applications are expected to produce though the respective project activities.</w:t>
      </w:r>
      <w:r w:rsidR="00EF47C9">
        <w:rPr>
          <w:rFonts w:ascii="Calibri" w:hAnsi="Calibri"/>
          <w:sz w:val="22"/>
          <w:szCs w:val="22"/>
        </w:rPr>
        <w:t xml:space="preserve"> </w:t>
      </w:r>
      <w:r w:rsidR="00C24D5C">
        <w:rPr>
          <w:rFonts w:ascii="Calibri" w:hAnsi="Calibri"/>
          <w:sz w:val="22"/>
          <w:szCs w:val="22"/>
        </w:rPr>
        <w:t xml:space="preserve">This impact is expressed as </w:t>
      </w:r>
      <w:r w:rsidR="00E33801">
        <w:rPr>
          <w:rFonts w:ascii="Calibri" w:hAnsi="Calibri"/>
          <w:sz w:val="22"/>
          <w:szCs w:val="22"/>
        </w:rPr>
        <w:t xml:space="preserve">the </w:t>
      </w:r>
      <w:r w:rsidR="00C24D5C">
        <w:rPr>
          <w:rFonts w:ascii="Calibri" w:hAnsi="Calibri"/>
          <w:sz w:val="22"/>
          <w:szCs w:val="22"/>
        </w:rPr>
        <w:t>population</w:t>
      </w:r>
      <w:r w:rsidR="00E33801">
        <w:rPr>
          <w:rFonts w:ascii="Calibri" w:hAnsi="Calibri"/>
          <w:sz w:val="22"/>
          <w:szCs w:val="22"/>
        </w:rPr>
        <w:t xml:space="preserve"> expected to </w:t>
      </w:r>
      <w:r w:rsidR="00D62A22">
        <w:rPr>
          <w:rFonts w:ascii="Calibri" w:hAnsi="Calibri"/>
          <w:sz w:val="22"/>
          <w:szCs w:val="22"/>
        </w:rPr>
        <w:t>benefit from</w:t>
      </w:r>
      <w:r w:rsidR="00C7563F">
        <w:rPr>
          <w:rFonts w:ascii="Calibri" w:hAnsi="Calibri"/>
          <w:sz w:val="22"/>
          <w:szCs w:val="22"/>
        </w:rPr>
        <w:t xml:space="preserve"> </w:t>
      </w:r>
      <w:r w:rsidR="00201114">
        <w:rPr>
          <w:rFonts w:ascii="Calibri" w:hAnsi="Calibri"/>
          <w:sz w:val="22"/>
          <w:szCs w:val="22"/>
        </w:rPr>
        <w:t>the proposed</w:t>
      </w:r>
      <w:r w:rsidR="00E33801" w:rsidRPr="00E33801">
        <w:rPr>
          <w:rFonts w:ascii="Calibri" w:hAnsi="Calibri"/>
          <w:sz w:val="22"/>
          <w:szCs w:val="22"/>
        </w:rPr>
        <w:t xml:space="preserve"> </w:t>
      </w:r>
      <w:r w:rsidR="00C7563F">
        <w:rPr>
          <w:rFonts w:ascii="Calibri" w:hAnsi="Calibri"/>
          <w:sz w:val="22"/>
          <w:szCs w:val="22"/>
        </w:rPr>
        <w:t>actions under the</w:t>
      </w:r>
      <w:r w:rsidR="00C7563F" w:rsidRPr="00C7563F">
        <w:rPr>
          <w:rFonts w:ascii="Calibri" w:hAnsi="Calibri"/>
          <w:sz w:val="22"/>
          <w:szCs w:val="22"/>
        </w:rPr>
        <w:t xml:space="preserve"> </w:t>
      </w:r>
      <w:r w:rsidR="00C7563F">
        <w:rPr>
          <w:rFonts w:ascii="Calibri" w:hAnsi="Calibri"/>
          <w:sz w:val="22"/>
          <w:szCs w:val="22"/>
        </w:rPr>
        <w:t>Partnerships Initiative.</w:t>
      </w:r>
      <w:r w:rsidR="00C7563F" w:rsidRPr="00C7563F">
        <w:rPr>
          <w:rStyle w:val="EndnoteReference"/>
          <w:rFonts w:ascii="Calibri" w:hAnsi="Calibri" w:cs="Calibri"/>
          <w:sz w:val="22"/>
          <w:szCs w:val="22"/>
          <w:lang w:val="en-ZA"/>
        </w:rPr>
        <w:t xml:space="preserve"> </w:t>
      </w:r>
      <w:r w:rsidR="00C7563F" w:rsidRPr="00040579">
        <w:rPr>
          <w:rStyle w:val="EndnoteReference"/>
          <w:rFonts w:ascii="Calibri" w:hAnsi="Calibri" w:cs="Calibri"/>
          <w:sz w:val="22"/>
          <w:szCs w:val="22"/>
          <w:lang w:val="en-ZA"/>
        </w:rPr>
        <w:endnoteReference w:id="26"/>
      </w:r>
      <w:r w:rsidR="00C7563F">
        <w:rPr>
          <w:rFonts w:ascii="Calibri" w:hAnsi="Calibri"/>
          <w:sz w:val="22"/>
          <w:szCs w:val="22"/>
        </w:rPr>
        <w:t xml:space="preserve"> Annex III contains 32 Project Summaries indicating the population benefitted</w:t>
      </w:r>
      <w:r w:rsidR="00C076CB">
        <w:rPr>
          <w:rFonts w:ascii="Calibri" w:hAnsi="Calibri"/>
          <w:sz w:val="22"/>
          <w:szCs w:val="22"/>
        </w:rPr>
        <w:t xml:space="preserve"> by the proposed actions</w:t>
      </w:r>
      <w:r w:rsidR="00C7563F">
        <w:rPr>
          <w:rFonts w:ascii="Calibri" w:hAnsi="Calibri"/>
          <w:sz w:val="22"/>
          <w:szCs w:val="22"/>
        </w:rPr>
        <w:t xml:space="preserve"> a</w:t>
      </w:r>
      <w:r w:rsidR="00C076CB">
        <w:rPr>
          <w:rFonts w:ascii="Calibri" w:hAnsi="Calibri"/>
          <w:sz w:val="22"/>
          <w:szCs w:val="22"/>
        </w:rPr>
        <w:t xml:space="preserve">nd the </w:t>
      </w:r>
      <w:r w:rsidR="00201114">
        <w:rPr>
          <w:rFonts w:ascii="Calibri" w:hAnsi="Calibri"/>
          <w:sz w:val="22"/>
          <w:szCs w:val="22"/>
        </w:rPr>
        <w:t xml:space="preserve">corresponding </w:t>
      </w:r>
      <w:r w:rsidR="00C076CB">
        <w:rPr>
          <w:rFonts w:ascii="Calibri" w:hAnsi="Calibri"/>
          <w:sz w:val="22"/>
          <w:szCs w:val="22"/>
        </w:rPr>
        <w:t>themes</w:t>
      </w:r>
      <w:r w:rsidR="00201114">
        <w:rPr>
          <w:rFonts w:ascii="Calibri" w:hAnsi="Calibri"/>
          <w:sz w:val="22"/>
          <w:szCs w:val="22"/>
        </w:rPr>
        <w:t xml:space="preserve"> or impact areas - indicating the eligible actions under the call for proposals -</w:t>
      </w:r>
      <w:r w:rsidR="00C076CB">
        <w:rPr>
          <w:rFonts w:ascii="Calibri" w:hAnsi="Calibri"/>
          <w:sz w:val="22"/>
          <w:szCs w:val="22"/>
        </w:rPr>
        <w:t xml:space="preserve"> for</w:t>
      </w:r>
      <w:r w:rsidR="00C7563F">
        <w:rPr>
          <w:rFonts w:ascii="Calibri" w:hAnsi="Calibri"/>
          <w:sz w:val="22"/>
          <w:szCs w:val="22"/>
        </w:rPr>
        <w:t xml:space="preserve"> each successful application.</w:t>
      </w:r>
      <w:r w:rsidR="00C076CB">
        <w:rPr>
          <w:rFonts w:ascii="Calibri" w:hAnsi="Calibri"/>
          <w:sz w:val="22"/>
          <w:szCs w:val="22"/>
        </w:rPr>
        <w:t xml:space="preserve"> This data is aggregated into</w:t>
      </w:r>
      <w:r w:rsidR="001C77E0">
        <w:rPr>
          <w:rFonts w:ascii="Calibri" w:hAnsi="Calibri"/>
          <w:sz w:val="22"/>
          <w:szCs w:val="22"/>
        </w:rPr>
        <w:t xml:space="preserve"> 33 tables – contained in Annex II – which show the expected impact of successful applications in each of the identified 16 themes and three sub-sectors: water supply, sanitation, and water resources. </w:t>
      </w:r>
      <w:r w:rsidR="00D71FBC">
        <w:rPr>
          <w:rFonts w:ascii="Calibri" w:hAnsi="Calibri"/>
          <w:sz w:val="22"/>
          <w:szCs w:val="22"/>
        </w:rPr>
        <w:t>Table 1 below collates the results of the 33 tables contained in Annex II and captures the expected impact of</w:t>
      </w:r>
      <w:r w:rsidR="00D71FBC" w:rsidRPr="00D71FBC">
        <w:rPr>
          <w:rFonts w:ascii="Calibri" w:hAnsi="Calibri"/>
          <w:sz w:val="22"/>
          <w:szCs w:val="22"/>
        </w:rPr>
        <w:t xml:space="preserve"> </w:t>
      </w:r>
      <w:r w:rsidR="00D71FBC">
        <w:rPr>
          <w:rFonts w:ascii="Calibri" w:hAnsi="Calibri"/>
          <w:sz w:val="22"/>
          <w:szCs w:val="22"/>
        </w:rPr>
        <w:t xml:space="preserve">ACP-EU Water Partnerships.  </w:t>
      </w:r>
      <w:r w:rsidR="001C77E0">
        <w:rPr>
          <w:rFonts w:ascii="Calibri" w:hAnsi="Calibri"/>
          <w:sz w:val="22"/>
          <w:szCs w:val="22"/>
        </w:rPr>
        <w:t xml:space="preserve"> </w:t>
      </w:r>
      <w:r w:rsidR="00C076CB">
        <w:rPr>
          <w:rFonts w:ascii="Calibri" w:hAnsi="Calibri"/>
          <w:sz w:val="22"/>
          <w:szCs w:val="22"/>
        </w:rPr>
        <w:t xml:space="preserve"> </w:t>
      </w:r>
      <w:r w:rsidR="00C7563F">
        <w:rPr>
          <w:rFonts w:ascii="Calibri" w:hAnsi="Calibri"/>
          <w:sz w:val="22"/>
          <w:szCs w:val="22"/>
        </w:rPr>
        <w:t xml:space="preserve">   </w:t>
      </w:r>
      <w:r w:rsidR="00C24D5C">
        <w:rPr>
          <w:rFonts w:ascii="Calibri" w:hAnsi="Calibri"/>
          <w:sz w:val="22"/>
          <w:szCs w:val="22"/>
        </w:rPr>
        <w:t xml:space="preserve"> </w:t>
      </w:r>
      <w:r>
        <w:rPr>
          <w:rFonts w:ascii="Calibri" w:hAnsi="Calibri"/>
          <w:sz w:val="22"/>
          <w:szCs w:val="22"/>
        </w:rPr>
        <w:t xml:space="preserve">   </w:t>
      </w:r>
    </w:p>
    <w:p w:rsidR="00F26EB0" w:rsidRDefault="00F26EB0" w:rsidP="00661F91">
      <w:pPr>
        <w:pStyle w:val="NoSpacing"/>
        <w:ind w:left="11"/>
        <w:jc w:val="both"/>
        <w:rPr>
          <w:rFonts w:ascii="Calibri" w:hAnsi="Calibri" w:cs="Calibri"/>
          <w:sz w:val="22"/>
          <w:szCs w:val="22"/>
        </w:rPr>
      </w:pPr>
    </w:p>
    <w:p w:rsidR="00137E89" w:rsidRDefault="00137E89" w:rsidP="00661F91">
      <w:pPr>
        <w:pStyle w:val="NoSpacing"/>
        <w:ind w:left="11"/>
        <w:jc w:val="both"/>
        <w:rPr>
          <w:rFonts w:ascii="Calibri" w:hAnsi="Calibri" w:cs="Calibri"/>
          <w:sz w:val="22"/>
          <w:szCs w:val="22"/>
        </w:rPr>
      </w:pPr>
    </w:p>
    <w:p w:rsidR="00F26EB0" w:rsidRPr="00F26EB0" w:rsidRDefault="00EF47C9" w:rsidP="00F26EB0">
      <w:pPr>
        <w:pStyle w:val="Heading7"/>
      </w:pPr>
      <w:bookmarkStart w:id="16" w:name="_Toc331783567"/>
      <w:r>
        <w:lastRenderedPageBreak/>
        <w:t>E</w:t>
      </w:r>
      <w:r w:rsidR="00F26EB0" w:rsidRPr="00F26EB0">
        <w:t>xpected impact</w:t>
      </w:r>
      <w:r w:rsidR="00E33801">
        <w:t xml:space="preserve"> of ACP-EU Water Partnerships</w:t>
      </w:r>
      <w:bookmarkEnd w:id="1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268"/>
        <w:gridCol w:w="2127"/>
      </w:tblGrid>
      <w:tr w:rsidR="00F26EB0" w:rsidRPr="008E14FC" w:rsidTr="00F26EB0">
        <w:trPr>
          <w:tblHeader/>
        </w:trPr>
        <w:tc>
          <w:tcPr>
            <w:tcW w:w="2943" w:type="dxa"/>
            <w:shd w:val="clear" w:color="auto" w:fill="auto"/>
          </w:tcPr>
          <w:p w:rsidR="00F26EB0" w:rsidRPr="00BF401E" w:rsidRDefault="00F26EB0" w:rsidP="00CE4AEE">
            <w:pPr>
              <w:rPr>
                <w:rFonts w:cs="Calibri"/>
                <w:b/>
                <w:sz w:val="20"/>
                <w:szCs w:val="20"/>
              </w:rPr>
            </w:pPr>
            <w:r>
              <w:rPr>
                <w:rFonts w:cs="Calibri"/>
                <w:b/>
                <w:sz w:val="20"/>
                <w:szCs w:val="20"/>
              </w:rPr>
              <w:t>Theme</w:t>
            </w:r>
            <w:r w:rsidR="001C77E0">
              <w:rPr>
                <w:rFonts w:cs="Calibri"/>
                <w:b/>
                <w:sz w:val="20"/>
                <w:szCs w:val="20"/>
              </w:rPr>
              <w:t xml:space="preserve"> (impact area)</w:t>
            </w:r>
          </w:p>
          <w:p w:rsidR="00F26EB0" w:rsidRPr="00BF401E" w:rsidRDefault="00F26EB0" w:rsidP="00CE4AEE">
            <w:pPr>
              <w:rPr>
                <w:rFonts w:cs="Calibri"/>
                <w:b/>
                <w:sz w:val="20"/>
                <w:szCs w:val="20"/>
              </w:rPr>
            </w:pPr>
          </w:p>
        </w:tc>
        <w:tc>
          <w:tcPr>
            <w:tcW w:w="2268" w:type="dxa"/>
          </w:tcPr>
          <w:p w:rsidR="00F26EB0" w:rsidRPr="00BF401E" w:rsidRDefault="00F26EB0" w:rsidP="00CE4AEE">
            <w:pPr>
              <w:rPr>
                <w:rFonts w:cs="Calibri"/>
                <w:b/>
                <w:sz w:val="20"/>
                <w:szCs w:val="20"/>
              </w:rPr>
            </w:pPr>
            <w:r w:rsidRPr="00BF401E">
              <w:rPr>
                <w:rFonts w:cs="Calibri"/>
                <w:b/>
                <w:sz w:val="20"/>
                <w:szCs w:val="20"/>
              </w:rPr>
              <w:t>Benefitted population</w:t>
            </w:r>
            <w:r>
              <w:rPr>
                <w:rFonts w:cs="Calibri"/>
                <w:b/>
                <w:sz w:val="20"/>
                <w:szCs w:val="20"/>
              </w:rPr>
              <w:t xml:space="preserve"> (Water supply)</w:t>
            </w:r>
          </w:p>
        </w:tc>
        <w:tc>
          <w:tcPr>
            <w:tcW w:w="2268" w:type="dxa"/>
            <w:shd w:val="clear" w:color="auto" w:fill="auto"/>
          </w:tcPr>
          <w:p w:rsidR="00F26EB0" w:rsidRDefault="00F26EB0" w:rsidP="00CE4AEE">
            <w:pPr>
              <w:rPr>
                <w:rFonts w:cs="Calibri"/>
                <w:b/>
                <w:sz w:val="20"/>
                <w:szCs w:val="20"/>
              </w:rPr>
            </w:pPr>
            <w:r w:rsidRPr="00BF401E">
              <w:rPr>
                <w:rFonts w:cs="Calibri"/>
                <w:b/>
                <w:sz w:val="20"/>
                <w:szCs w:val="20"/>
              </w:rPr>
              <w:t>Benefitted population</w:t>
            </w:r>
          </w:p>
          <w:p w:rsidR="00F26EB0" w:rsidRPr="00BF401E" w:rsidRDefault="00F26EB0" w:rsidP="00CE4AEE">
            <w:pPr>
              <w:rPr>
                <w:rFonts w:cs="Calibri"/>
                <w:b/>
                <w:sz w:val="20"/>
                <w:szCs w:val="20"/>
              </w:rPr>
            </w:pPr>
            <w:r>
              <w:rPr>
                <w:rFonts w:cs="Calibri"/>
                <w:b/>
                <w:sz w:val="20"/>
                <w:szCs w:val="20"/>
              </w:rPr>
              <w:t>(Sanitation)</w:t>
            </w:r>
          </w:p>
        </w:tc>
        <w:tc>
          <w:tcPr>
            <w:tcW w:w="2127" w:type="dxa"/>
          </w:tcPr>
          <w:p w:rsidR="00F26EB0" w:rsidRDefault="00F26EB0" w:rsidP="00CE4AEE">
            <w:pPr>
              <w:rPr>
                <w:rFonts w:cs="Calibri"/>
                <w:b/>
                <w:sz w:val="20"/>
                <w:szCs w:val="20"/>
              </w:rPr>
            </w:pPr>
            <w:r w:rsidRPr="00BF401E">
              <w:rPr>
                <w:rFonts w:cs="Calibri"/>
                <w:b/>
                <w:sz w:val="20"/>
                <w:szCs w:val="20"/>
              </w:rPr>
              <w:t>Benefitted population</w:t>
            </w:r>
          </w:p>
          <w:p w:rsidR="00F26EB0" w:rsidRPr="00BF401E" w:rsidRDefault="00F26EB0" w:rsidP="00CE4AEE">
            <w:pPr>
              <w:rPr>
                <w:rFonts w:cs="Calibri"/>
                <w:b/>
                <w:sz w:val="20"/>
                <w:szCs w:val="20"/>
              </w:rPr>
            </w:pPr>
            <w:r>
              <w:rPr>
                <w:rFonts w:cs="Calibri"/>
                <w:b/>
                <w:sz w:val="20"/>
                <w:szCs w:val="20"/>
              </w:rPr>
              <w:t>(Water resources)</w:t>
            </w:r>
          </w:p>
        </w:tc>
      </w:tr>
      <w:tr w:rsidR="002140D0" w:rsidRPr="008E14FC" w:rsidTr="00CE4AEE">
        <w:tc>
          <w:tcPr>
            <w:tcW w:w="2943" w:type="dxa"/>
            <w:shd w:val="clear" w:color="auto" w:fill="auto"/>
            <w:vAlign w:val="bottom"/>
          </w:tcPr>
          <w:p w:rsidR="002140D0" w:rsidRPr="00BF401E" w:rsidRDefault="002140D0" w:rsidP="00CE4AEE">
            <w:pPr>
              <w:rPr>
                <w:rFonts w:cs="Calibri"/>
                <w:color w:val="000000"/>
                <w:sz w:val="20"/>
                <w:szCs w:val="20"/>
              </w:rPr>
            </w:pPr>
            <w:r>
              <w:rPr>
                <w:rFonts w:cs="Calibri"/>
                <w:color w:val="000000"/>
                <w:sz w:val="20"/>
                <w:szCs w:val="20"/>
              </w:rPr>
              <w:t>Good water governance</w:t>
            </w:r>
          </w:p>
        </w:tc>
        <w:tc>
          <w:tcPr>
            <w:tcW w:w="2268" w:type="dxa"/>
          </w:tcPr>
          <w:p w:rsidR="002140D0" w:rsidRPr="002140D0" w:rsidRDefault="002140D0" w:rsidP="00CE4AEE">
            <w:pPr>
              <w:rPr>
                <w:rFonts w:cs="Calibri"/>
                <w:bCs/>
                <w:color w:val="000000"/>
                <w:sz w:val="20"/>
                <w:szCs w:val="20"/>
              </w:rPr>
            </w:pPr>
          </w:p>
          <w:p w:rsidR="002140D0" w:rsidRPr="002140D0" w:rsidRDefault="002140D0" w:rsidP="00CE4AEE">
            <w:pPr>
              <w:rPr>
                <w:rFonts w:cs="Calibri"/>
                <w:bCs/>
                <w:color w:val="000000"/>
                <w:sz w:val="20"/>
                <w:szCs w:val="20"/>
              </w:rPr>
            </w:pPr>
            <w:r w:rsidRPr="002140D0">
              <w:rPr>
                <w:rFonts w:cs="Calibri"/>
                <w:bCs/>
                <w:color w:val="000000"/>
                <w:sz w:val="20"/>
                <w:szCs w:val="20"/>
              </w:rPr>
              <w:t>19,551,000</w:t>
            </w:r>
          </w:p>
        </w:tc>
        <w:tc>
          <w:tcPr>
            <w:tcW w:w="2268" w:type="dxa"/>
            <w:shd w:val="clear" w:color="auto" w:fill="auto"/>
          </w:tcPr>
          <w:p w:rsidR="002140D0" w:rsidRPr="002140D0" w:rsidRDefault="002140D0" w:rsidP="00CE4AEE">
            <w:pPr>
              <w:rPr>
                <w:rFonts w:cs="Calibri"/>
                <w:bCs/>
                <w:color w:val="000000"/>
                <w:sz w:val="20"/>
                <w:szCs w:val="20"/>
              </w:rPr>
            </w:pPr>
          </w:p>
          <w:p w:rsidR="002140D0" w:rsidRPr="002140D0" w:rsidRDefault="002140D0" w:rsidP="00CE4AEE">
            <w:pPr>
              <w:rPr>
                <w:rFonts w:cs="Calibri"/>
                <w:bCs/>
                <w:color w:val="000000"/>
                <w:sz w:val="20"/>
                <w:szCs w:val="20"/>
              </w:rPr>
            </w:pPr>
            <w:r w:rsidRPr="002140D0">
              <w:rPr>
                <w:rFonts w:cs="Calibri"/>
                <w:bCs/>
                <w:color w:val="000000"/>
                <w:sz w:val="20"/>
                <w:szCs w:val="20"/>
              </w:rPr>
              <w:t>6,052,000</w:t>
            </w:r>
          </w:p>
        </w:tc>
        <w:tc>
          <w:tcPr>
            <w:tcW w:w="2127" w:type="dxa"/>
          </w:tcPr>
          <w:p w:rsidR="002140D0" w:rsidRPr="002140D0" w:rsidRDefault="002140D0" w:rsidP="00CE4AEE">
            <w:pPr>
              <w:rPr>
                <w:rFonts w:cs="Calibri"/>
                <w:bCs/>
                <w:color w:val="000000"/>
                <w:sz w:val="20"/>
                <w:szCs w:val="20"/>
              </w:rPr>
            </w:pPr>
          </w:p>
          <w:p w:rsidR="002140D0" w:rsidRPr="002140D0" w:rsidRDefault="002140D0" w:rsidP="00CE4AEE">
            <w:pPr>
              <w:rPr>
                <w:rFonts w:cs="Calibri"/>
                <w:bCs/>
                <w:color w:val="000000"/>
                <w:sz w:val="20"/>
                <w:szCs w:val="20"/>
              </w:rPr>
            </w:pPr>
            <w:r w:rsidRPr="002140D0">
              <w:rPr>
                <w:rFonts w:cs="Calibri"/>
                <w:bCs/>
                <w:color w:val="000000"/>
                <w:sz w:val="20"/>
                <w:szCs w:val="20"/>
              </w:rPr>
              <w:t>6,996,000</w:t>
            </w:r>
          </w:p>
        </w:tc>
      </w:tr>
      <w:tr w:rsidR="003A5ACB" w:rsidRPr="008E14FC" w:rsidTr="00CE4AEE">
        <w:tc>
          <w:tcPr>
            <w:tcW w:w="2943" w:type="dxa"/>
            <w:shd w:val="clear" w:color="auto" w:fill="auto"/>
            <w:vAlign w:val="bottom"/>
          </w:tcPr>
          <w:p w:rsidR="003A5ACB" w:rsidRPr="003A5ACB" w:rsidRDefault="003A5ACB" w:rsidP="00CE4AEE">
            <w:pPr>
              <w:rPr>
                <w:rFonts w:cs="Calibri"/>
                <w:color w:val="000000"/>
                <w:sz w:val="20"/>
                <w:szCs w:val="20"/>
              </w:rPr>
            </w:pPr>
            <w:r w:rsidRPr="003A5ACB">
              <w:rPr>
                <w:rFonts w:cs="Calibri"/>
                <w:color w:val="000000"/>
                <w:sz w:val="20"/>
                <w:szCs w:val="20"/>
              </w:rPr>
              <w:t>Integrated water resources management</w:t>
            </w:r>
          </w:p>
        </w:tc>
        <w:tc>
          <w:tcPr>
            <w:tcW w:w="2268" w:type="dxa"/>
          </w:tcPr>
          <w:p w:rsidR="003A5ACB" w:rsidRPr="003A5ACB" w:rsidRDefault="003A5ACB" w:rsidP="00CE4AEE">
            <w:pPr>
              <w:rPr>
                <w:rFonts w:cs="Calibri"/>
                <w:bCs/>
                <w:color w:val="000000"/>
                <w:sz w:val="20"/>
                <w:szCs w:val="20"/>
              </w:rPr>
            </w:pPr>
          </w:p>
          <w:p w:rsidR="003A5ACB" w:rsidRPr="003A5ACB" w:rsidRDefault="003A5ACB" w:rsidP="00CE4AEE">
            <w:pPr>
              <w:rPr>
                <w:rFonts w:cs="Calibri"/>
                <w:bCs/>
                <w:color w:val="000000"/>
                <w:sz w:val="20"/>
                <w:szCs w:val="20"/>
              </w:rPr>
            </w:pPr>
            <w:r w:rsidRPr="003A5ACB">
              <w:rPr>
                <w:rFonts w:cs="Calibri"/>
                <w:bCs/>
                <w:color w:val="000000"/>
                <w:sz w:val="20"/>
                <w:szCs w:val="20"/>
              </w:rPr>
              <w:t>11,903,000</w:t>
            </w:r>
          </w:p>
        </w:tc>
        <w:tc>
          <w:tcPr>
            <w:tcW w:w="2268" w:type="dxa"/>
            <w:shd w:val="clear" w:color="auto" w:fill="auto"/>
          </w:tcPr>
          <w:p w:rsidR="003A5ACB" w:rsidRPr="003A5ACB" w:rsidRDefault="003A5ACB" w:rsidP="00CE4AEE">
            <w:pPr>
              <w:rPr>
                <w:rFonts w:cs="Calibri"/>
                <w:bCs/>
                <w:color w:val="000000"/>
                <w:sz w:val="20"/>
                <w:szCs w:val="20"/>
              </w:rPr>
            </w:pPr>
          </w:p>
          <w:p w:rsidR="003A5ACB" w:rsidRPr="003A5ACB" w:rsidRDefault="003A5ACB" w:rsidP="00CE4AEE">
            <w:pPr>
              <w:rPr>
                <w:rFonts w:cs="Calibri"/>
                <w:bCs/>
                <w:color w:val="000000"/>
                <w:sz w:val="20"/>
                <w:szCs w:val="20"/>
              </w:rPr>
            </w:pPr>
            <w:r w:rsidRPr="003A5ACB">
              <w:rPr>
                <w:rFonts w:cs="Calibri"/>
                <w:bCs/>
                <w:color w:val="000000"/>
                <w:sz w:val="20"/>
                <w:szCs w:val="20"/>
              </w:rPr>
              <w:t>157,000</w:t>
            </w:r>
          </w:p>
        </w:tc>
        <w:tc>
          <w:tcPr>
            <w:tcW w:w="2127" w:type="dxa"/>
          </w:tcPr>
          <w:p w:rsidR="003A5ACB" w:rsidRPr="003A5ACB" w:rsidRDefault="003A5ACB" w:rsidP="00CE4AEE">
            <w:pPr>
              <w:rPr>
                <w:rFonts w:cs="Calibri"/>
                <w:bCs/>
                <w:color w:val="000000"/>
                <w:sz w:val="20"/>
                <w:szCs w:val="20"/>
              </w:rPr>
            </w:pPr>
          </w:p>
          <w:p w:rsidR="003A5ACB" w:rsidRPr="003A5ACB" w:rsidRDefault="003A5ACB" w:rsidP="00CE4AEE">
            <w:pPr>
              <w:rPr>
                <w:rFonts w:cs="Calibri"/>
                <w:bCs/>
                <w:color w:val="000000"/>
                <w:sz w:val="20"/>
                <w:szCs w:val="20"/>
              </w:rPr>
            </w:pPr>
            <w:r w:rsidRPr="003A5ACB">
              <w:rPr>
                <w:rFonts w:cs="Calibri"/>
                <w:bCs/>
                <w:color w:val="000000"/>
                <w:sz w:val="20"/>
                <w:szCs w:val="20"/>
              </w:rPr>
              <w:t>105,420,000</w:t>
            </w:r>
          </w:p>
        </w:tc>
      </w:tr>
      <w:tr w:rsidR="00D77BF7" w:rsidRPr="008E14FC" w:rsidTr="00F26EB0">
        <w:tc>
          <w:tcPr>
            <w:tcW w:w="2943" w:type="dxa"/>
            <w:shd w:val="clear" w:color="auto" w:fill="auto"/>
            <w:vAlign w:val="bottom"/>
          </w:tcPr>
          <w:p w:rsidR="00D77BF7" w:rsidRPr="003A5ACB" w:rsidRDefault="00D77BF7" w:rsidP="00CE4AEE">
            <w:pPr>
              <w:rPr>
                <w:rFonts w:cs="Calibri"/>
                <w:color w:val="000000"/>
                <w:sz w:val="20"/>
                <w:szCs w:val="20"/>
              </w:rPr>
            </w:pPr>
            <w:r w:rsidRPr="003A5ACB">
              <w:rPr>
                <w:sz w:val="20"/>
                <w:szCs w:val="20"/>
              </w:rPr>
              <w:t>System maintenance and improvement</w:t>
            </w:r>
          </w:p>
        </w:tc>
        <w:tc>
          <w:tcPr>
            <w:tcW w:w="2268" w:type="dxa"/>
          </w:tcPr>
          <w:p w:rsidR="00D77BF7" w:rsidRPr="00D77BF7" w:rsidRDefault="00D77BF7" w:rsidP="00CE4AEE">
            <w:pPr>
              <w:rPr>
                <w:rFonts w:cs="Calibri"/>
                <w:bCs/>
                <w:color w:val="000000"/>
                <w:sz w:val="20"/>
                <w:szCs w:val="20"/>
              </w:rPr>
            </w:pPr>
          </w:p>
          <w:p w:rsidR="00D77BF7" w:rsidRPr="00D77BF7" w:rsidRDefault="00D77BF7" w:rsidP="00CE4AEE">
            <w:pPr>
              <w:rPr>
                <w:rFonts w:cs="Calibri"/>
                <w:bCs/>
                <w:color w:val="000000"/>
                <w:sz w:val="20"/>
                <w:szCs w:val="20"/>
              </w:rPr>
            </w:pPr>
            <w:r w:rsidRPr="00D77BF7">
              <w:rPr>
                <w:rFonts w:cs="Calibri"/>
                <w:bCs/>
                <w:color w:val="000000"/>
                <w:sz w:val="20"/>
                <w:szCs w:val="20"/>
              </w:rPr>
              <w:t>32,695,000</w:t>
            </w:r>
          </w:p>
        </w:tc>
        <w:tc>
          <w:tcPr>
            <w:tcW w:w="2268" w:type="dxa"/>
            <w:shd w:val="clear" w:color="auto" w:fill="auto"/>
          </w:tcPr>
          <w:p w:rsidR="00D77BF7" w:rsidRPr="00D77BF7" w:rsidRDefault="00D77BF7" w:rsidP="00CE4AEE">
            <w:pPr>
              <w:rPr>
                <w:rFonts w:cs="Calibri"/>
                <w:bCs/>
                <w:color w:val="000000"/>
                <w:sz w:val="20"/>
                <w:szCs w:val="20"/>
              </w:rPr>
            </w:pPr>
          </w:p>
          <w:p w:rsidR="00D77BF7" w:rsidRPr="00D77BF7" w:rsidRDefault="00D77BF7" w:rsidP="00CE4AEE">
            <w:pPr>
              <w:rPr>
                <w:rFonts w:cs="Calibri"/>
                <w:bCs/>
                <w:color w:val="000000"/>
                <w:sz w:val="20"/>
                <w:szCs w:val="20"/>
              </w:rPr>
            </w:pPr>
            <w:r w:rsidRPr="00D77BF7">
              <w:rPr>
                <w:rFonts w:cs="Calibri"/>
                <w:bCs/>
                <w:color w:val="000000"/>
                <w:sz w:val="20"/>
                <w:szCs w:val="20"/>
              </w:rPr>
              <w:t>12,086,000</w:t>
            </w:r>
          </w:p>
        </w:tc>
        <w:tc>
          <w:tcPr>
            <w:tcW w:w="2127" w:type="dxa"/>
            <w:vAlign w:val="bottom"/>
          </w:tcPr>
          <w:p w:rsidR="00D77BF7" w:rsidRPr="00BF401E" w:rsidRDefault="00D77BF7" w:rsidP="00CE4AEE">
            <w:pPr>
              <w:rPr>
                <w:rFonts w:cs="Calibri"/>
                <w:color w:val="000000"/>
                <w:sz w:val="20"/>
                <w:szCs w:val="20"/>
              </w:rPr>
            </w:pPr>
            <w:r>
              <w:rPr>
                <w:rFonts w:cs="Calibri"/>
                <w:color w:val="000000"/>
                <w:sz w:val="20"/>
                <w:szCs w:val="20"/>
              </w:rPr>
              <w:t>-</w:t>
            </w:r>
          </w:p>
        </w:tc>
      </w:tr>
      <w:tr w:rsidR="00AF7033" w:rsidRPr="008E14FC" w:rsidTr="00F26EB0">
        <w:tc>
          <w:tcPr>
            <w:tcW w:w="2943" w:type="dxa"/>
            <w:shd w:val="clear" w:color="auto" w:fill="auto"/>
          </w:tcPr>
          <w:p w:rsidR="00AF7033" w:rsidRDefault="00AF7033" w:rsidP="00CE4AEE">
            <w:pPr>
              <w:rPr>
                <w:sz w:val="20"/>
                <w:szCs w:val="20"/>
              </w:rPr>
            </w:pPr>
          </w:p>
          <w:p w:rsidR="00AF7033" w:rsidRPr="003A5ACB" w:rsidRDefault="00AF7033" w:rsidP="00CE4AEE">
            <w:pPr>
              <w:rPr>
                <w:rFonts w:cs="Calibri"/>
                <w:sz w:val="20"/>
                <w:szCs w:val="20"/>
              </w:rPr>
            </w:pPr>
            <w:r>
              <w:rPr>
                <w:sz w:val="20"/>
                <w:szCs w:val="20"/>
              </w:rPr>
              <w:t>L</w:t>
            </w:r>
            <w:r w:rsidRPr="003A5ACB">
              <w:rPr>
                <w:rFonts w:cs="Arial"/>
                <w:sz w:val="20"/>
                <w:szCs w:val="20"/>
              </w:rPr>
              <w:t>eakage reduction</w:t>
            </w:r>
          </w:p>
        </w:tc>
        <w:tc>
          <w:tcPr>
            <w:tcW w:w="2268" w:type="dxa"/>
          </w:tcPr>
          <w:p w:rsidR="00AF7033" w:rsidRPr="00AF7033" w:rsidRDefault="00AF7033" w:rsidP="00CE4AEE">
            <w:pPr>
              <w:rPr>
                <w:rFonts w:cs="Calibri"/>
                <w:bCs/>
                <w:color w:val="000000"/>
                <w:sz w:val="20"/>
                <w:szCs w:val="20"/>
              </w:rPr>
            </w:pPr>
          </w:p>
          <w:p w:rsidR="00AF7033" w:rsidRPr="00AF7033" w:rsidRDefault="00AF7033" w:rsidP="00CE4AEE">
            <w:pPr>
              <w:rPr>
                <w:rFonts w:cs="Calibri"/>
                <w:bCs/>
                <w:color w:val="000000"/>
                <w:sz w:val="20"/>
                <w:szCs w:val="20"/>
              </w:rPr>
            </w:pPr>
            <w:r w:rsidRPr="00AF7033">
              <w:rPr>
                <w:rFonts w:cs="Calibri"/>
                <w:bCs/>
                <w:color w:val="000000"/>
                <w:sz w:val="20"/>
                <w:szCs w:val="20"/>
              </w:rPr>
              <w:t>26,385,000</w:t>
            </w:r>
          </w:p>
        </w:tc>
        <w:tc>
          <w:tcPr>
            <w:tcW w:w="2268" w:type="dxa"/>
            <w:shd w:val="clear" w:color="auto" w:fill="auto"/>
          </w:tcPr>
          <w:p w:rsidR="00AF7033" w:rsidRDefault="00AF7033" w:rsidP="00CE4AEE">
            <w:pPr>
              <w:rPr>
                <w:rFonts w:cs="Calibri"/>
                <w:sz w:val="20"/>
                <w:szCs w:val="20"/>
              </w:rPr>
            </w:pPr>
          </w:p>
          <w:p w:rsidR="00AF7033" w:rsidRPr="00BF401E" w:rsidRDefault="00AF7033" w:rsidP="00CE4AEE">
            <w:pPr>
              <w:rPr>
                <w:rFonts w:cs="Calibri"/>
                <w:sz w:val="20"/>
                <w:szCs w:val="20"/>
              </w:rPr>
            </w:pPr>
            <w:r w:rsidRPr="00BF401E">
              <w:rPr>
                <w:rFonts w:cs="Calibri"/>
                <w:sz w:val="20"/>
                <w:szCs w:val="20"/>
              </w:rPr>
              <w:t>580,000</w:t>
            </w:r>
          </w:p>
        </w:tc>
        <w:tc>
          <w:tcPr>
            <w:tcW w:w="2127" w:type="dxa"/>
            <w:vAlign w:val="bottom"/>
          </w:tcPr>
          <w:p w:rsidR="00AF7033" w:rsidRPr="00BF401E" w:rsidRDefault="00AF7033" w:rsidP="00CE4AEE">
            <w:pPr>
              <w:rPr>
                <w:rFonts w:cs="Calibri"/>
                <w:color w:val="000000"/>
                <w:sz w:val="20"/>
                <w:szCs w:val="20"/>
              </w:rPr>
            </w:pPr>
            <w:r>
              <w:rPr>
                <w:rFonts w:cs="Calibri"/>
                <w:color w:val="000000"/>
                <w:sz w:val="20"/>
                <w:szCs w:val="20"/>
              </w:rPr>
              <w:t>-</w:t>
            </w:r>
          </w:p>
        </w:tc>
      </w:tr>
      <w:tr w:rsidR="004B7CCC" w:rsidRPr="008E14FC" w:rsidTr="00CE4AEE">
        <w:tc>
          <w:tcPr>
            <w:tcW w:w="2943" w:type="dxa"/>
            <w:shd w:val="clear" w:color="auto" w:fill="auto"/>
          </w:tcPr>
          <w:p w:rsidR="004B7CCC" w:rsidRDefault="004B7CCC" w:rsidP="00CE4AEE">
            <w:pPr>
              <w:rPr>
                <w:rFonts w:cs="Arial"/>
                <w:sz w:val="20"/>
                <w:szCs w:val="20"/>
              </w:rPr>
            </w:pPr>
          </w:p>
          <w:p w:rsidR="004B7CCC" w:rsidRPr="003A5ACB" w:rsidRDefault="004B7CCC" w:rsidP="00CE4AEE">
            <w:pPr>
              <w:rPr>
                <w:rFonts w:cs="Calibri"/>
                <w:sz w:val="20"/>
                <w:szCs w:val="20"/>
              </w:rPr>
            </w:pPr>
            <w:r>
              <w:rPr>
                <w:rFonts w:cs="Arial"/>
                <w:sz w:val="20"/>
                <w:szCs w:val="20"/>
              </w:rPr>
              <w:t>W</w:t>
            </w:r>
            <w:r w:rsidRPr="003A5ACB">
              <w:rPr>
                <w:rFonts w:cs="Arial"/>
                <w:sz w:val="20"/>
                <w:szCs w:val="20"/>
              </w:rPr>
              <w:t>ater quality testing</w:t>
            </w:r>
          </w:p>
        </w:tc>
        <w:tc>
          <w:tcPr>
            <w:tcW w:w="2268" w:type="dxa"/>
          </w:tcPr>
          <w:p w:rsidR="004B7CCC" w:rsidRPr="004B7CCC" w:rsidRDefault="004B7CCC" w:rsidP="00CE4AEE">
            <w:pPr>
              <w:rPr>
                <w:rFonts w:cs="Calibri"/>
                <w:bCs/>
                <w:color w:val="000000"/>
                <w:sz w:val="20"/>
                <w:szCs w:val="20"/>
              </w:rPr>
            </w:pPr>
          </w:p>
          <w:p w:rsidR="004B7CCC" w:rsidRPr="004B7CCC" w:rsidRDefault="004B7CCC" w:rsidP="00CE4AEE">
            <w:pPr>
              <w:rPr>
                <w:rFonts w:cs="Calibri"/>
                <w:bCs/>
                <w:color w:val="000000"/>
                <w:sz w:val="20"/>
                <w:szCs w:val="20"/>
              </w:rPr>
            </w:pPr>
            <w:r w:rsidRPr="004B7CCC">
              <w:rPr>
                <w:rFonts w:cs="Calibri"/>
                <w:bCs/>
                <w:color w:val="000000"/>
                <w:sz w:val="20"/>
                <w:szCs w:val="20"/>
              </w:rPr>
              <w:t>18,993,000</w:t>
            </w:r>
          </w:p>
        </w:tc>
        <w:tc>
          <w:tcPr>
            <w:tcW w:w="2268" w:type="dxa"/>
            <w:shd w:val="clear" w:color="auto" w:fill="auto"/>
          </w:tcPr>
          <w:p w:rsidR="004B7CCC" w:rsidRPr="004B7CCC" w:rsidRDefault="004B7CCC" w:rsidP="00CE4AEE">
            <w:pPr>
              <w:rPr>
                <w:rFonts w:cs="Calibri"/>
                <w:bCs/>
                <w:color w:val="000000"/>
                <w:sz w:val="20"/>
                <w:szCs w:val="20"/>
              </w:rPr>
            </w:pPr>
          </w:p>
          <w:p w:rsidR="004B7CCC" w:rsidRPr="004B7CCC" w:rsidRDefault="004B7CCC" w:rsidP="00CE4AEE">
            <w:pPr>
              <w:rPr>
                <w:rFonts w:cs="Calibri"/>
                <w:bCs/>
                <w:color w:val="000000"/>
                <w:sz w:val="20"/>
                <w:szCs w:val="20"/>
              </w:rPr>
            </w:pPr>
            <w:r w:rsidRPr="004B7CCC">
              <w:rPr>
                <w:rFonts w:cs="Calibri"/>
                <w:bCs/>
                <w:color w:val="000000"/>
                <w:sz w:val="20"/>
                <w:szCs w:val="20"/>
              </w:rPr>
              <w:t>877,000</w:t>
            </w:r>
          </w:p>
        </w:tc>
        <w:tc>
          <w:tcPr>
            <w:tcW w:w="2127" w:type="dxa"/>
          </w:tcPr>
          <w:p w:rsidR="004B7CCC" w:rsidRPr="004B7CCC" w:rsidRDefault="004B7CCC" w:rsidP="00CE4AEE">
            <w:pPr>
              <w:rPr>
                <w:rFonts w:cs="Calibri"/>
                <w:bCs/>
                <w:color w:val="000000"/>
                <w:sz w:val="20"/>
                <w:szCs w:val="20"/>
              </w:rPr>
            </w:pPr>
          </w:p>
          <w:p w:rsidR="004B7CCC" w:rsidRPr="004B7CCC" w:rsidRDefault="004B7CCC" w:rsidP="00CE4AEE">
            <w:pPr>
              <w:rPr>
                <w:rFonts w:cs="Calibri"/>
                <w:bCs/>
                <w:color w:val="000000"/>
                <w:sz w:val="20"/>
                <w:szCs w:val="20"/>
              </w:rPr>
            </w:pPr>
            <w:r w:rsidRPr="004B7CCC">
              <w:rPr>
                <w:rFonts w:cs="Calibri"/>
                <w:bCs/>
                <w:color w:val="000000"/>
                <w:sz w:val="20"/>
                <w:szCs w:val="20"/>
              </w:rPr>
              <w:t>4,227,000</w:t>
            </w:r>
          </w:p>
        </w:tc>
      </w:tr>
      <w:tr w:rsidR="005B5F40" w:rsidRPr="008E14FC" w:rsidTr="00CE4AEE">
        <w:tc>
          <w:tcPr>
            <w:tcW w:w="2943" w:type="dxa"/>
            <w:shd w:val="clear" w:color="auto" w:fill="auto"/>
          </w:tcPr>
          <w:p w:rsidR="005B5F40" w:rsidRDefault="005B5F40" w:rsidP="00CE4AEE">
            <w:pPr>
              <w:rPr>
                <w:rFonts w:cs="Arial"/>
                <w:sz w:val="20"/>
                <w:szCs w:val="20"/>
              </w:rPr>
            </w:pPr>
          </w:p>
          <w:p w:rsidR="005B5F40" w:rsidRPr="003A5ACB" w:rsidRDefault="005B5F40" w:rsidP="00CE4AEE">
            <w:pPr>
              <w:rPr>
                <w:rFonts w:cs="Calibri"/>
                <w:sz w:val="20"/>
                <w:szCs w:val="20"/>
              </w:rPr>
            </w:pPr>
            <w:r>
              <w:rPr>
                <w:rFonts w:cs="Arial"/>
                <w:sz w:val="20"/>
                <w:szCs w:val="20"/>
              </w:rPr>
              <w:t>W</w:t>
            </w:r>
            <w:r w:rsidRPr="003A5ACB">
              <w:rPr>
                <w:rFonts w:cs="Arial"/>
                <w:sz w:val="20"/>
                <w:szCs w:val="20"/>
              </w:rPr>
              <w:t>ater resources protection</w:t>
            </w:r>
          </w:p>
        </w:tc>
        <w:tc>
          <w:tcPr>
            <w:tcW w:w="2268" w:type="dxa"/>
          </w:tcPr>
          <w:p w:rsidR="005B5F40" w:rsidRDefault="005B5F40" w:rsidP="00CE4AEE">
            <w:pPr>
              <w:rPr>
                <w:rFonts w:cs="Calibri"/>
                <w:sz w:val="20"/>
                <w:szCs w:val="20"/>
              </w:rPr>
            </w:pPr>
          </w:p>
          <w:p w:rsidR="005B5F40" w:rsidRPr="00BF401E" w:rsidRDefault="005B5F40" w:rsidP="00CE4AEE">
            <w:pPr>
              <w:rPr>
                <w:rFonts w:cs="Calibri"/>
                <w:sz w:val="20"/>
                <w:szCs w:val="20"/>
              </w:rPr>
            </w:pPr>
            <w:r>
              <w:rPr>
                <w:rFonts w:cs="Calibri"/>
                <w:sz w:val="20"/>
                <w:szCs w:val="20"/>
              </w:rPr>
              <w:t>-</w:t>
            </w:r>
          </w:p>
        </w:tc>
        <w:tc>
          <w:tcPr>
            <w:tcW w:w="2268" w:type="dxa"/>
            <w:shd w:val="clear" w:color="auto" w:fill="auto"/>
          </w:tcPr>
          <w:p w:rsidR="005B5F40" w:rsidRDefault="005B5F40" w:rsidP="00CE4AEE">
            <w:pPr>
              <w:rPr>
                <w:rFonts w:cs="Calibri"/>
                <w:sz w:val="20"/>
                <w:szCs w:val="20"/>
              </w:rPr>
            </w:pPr>
          </w:p>
          <w:p w:rsidR="005B5F40" w:rsidRPr="00BF401E" w:rsidRDefault="005B5F40" w:rsidP="00CE4AEE">
            <w:pPr>
              <w:rPr>
                <w:rFonts w:cs="Calibri"/>
                <w:sz w:val="20"/>
                <w:szCs w:val="20"/>
              </w:rPr>
            </w:pPr>
            <w:r>
              <w:rPr>
                <w:rFonts w:cs="Calibri"/>
                <w:sz w:val="20"/>
                <w:szCs w:val="20"/>
              </w:rPr>
              <w:t>-</w:t>
            </w:r>
          </w:p>
        </w:tc>
        <w:tc>
          <w:tcPr>
            <w:tcW w:w="2127" w:type="dxa"/>
          </w:tcPr>
          <w:p w:rsidR="005B5F40" w:rsidRPr="005B5F40" w:rsidRDefault="005B5F40" w:rsidP="00CE4AEE">
            <w:pPr>
              <w:rPr>
                <w:rFonts w:cs="Calibri"/>
                <w:bCs/>
                <w:color w:val="000000"/>
                <w:sz w:val="20"/>
                <w:szCs w:val="20"/>
              </w:rPr>
            </w:pPr>
          </w:p>
          <w:p w:rsidR="005B5F40" w:rsidRPr="005B5F40" w:rsidRDefault="005B5F40" w:rsidP="00CE4AEE">
            <w:pPr>
              <w:rPr>
                <w:rFonts w:cs="Calibri"/>
                <w:bCs/>
                <w:color w:val="000000"/>
                <w:sz w:val="20"/>
                <w:szCs w:val="20"/>
              </w:rPr>
            </w:pPr>
            <w:r w:rsidRPr="005B5F40">
              <w:rPr>
                <w:rFonts w:cs="Calibri"/>
                <w:bCs/>
                <w:color w:val="000000"/>
                <w:sz w:val="20"/>
                <w:szCs w:val="20"/>
              </w:rPr>
              <w:t>18,508,000</w:t>
            </w:r>
          </w:p>
        </w:tc>
      </w:tr>
      <w:tr w:rsidR="00686CE9" w:rsidRPr="008E14FC" w:rsidTr="00CE4AEE">
        <w:tc>
          <w:tcPr>
            <w:tcW w:w="2943" w:type="dxa"/>
            <w:shd w:val="clear" w:color="auto" w:fill="auto"/>
            <w:vAlign w:val="bottom"/>
          </w:tcPr>
          <w:p w:rsidR="00686CE9" w:rsidRDefault="00686CE9" w:rsidP="00CE4AEE">
            <w:pPr>
              <w:rPr>
                <w:rFonts w:cs="Arial"/>
                <w:sz w:val="20"/>
                <w:szCs w:val="20"/>
              </w:rPr>
            </w:pPr>
          </w:p>
          <w:p w:rsidR="00686CE9" w:rsidRPr="003A5ACB" w:rsidRDefault="00686CE9" w:rsidP="00CE4AEE">
            <w:pPr>
              <w:rPr>
                <w:rFonts w:cs="Calibri"/>
                <w:color w:val="000000"/>
                <w:sz w:val="20"/>
                <w:szCs w:val="20"/>
              </w:rPr>
            </w:pPr>
            <w:r>
              <w:rPr>
                <w:rFonts w:cs="Arial"/>
                <w:sz w:val="20"/>
                <w:szCs w:val="20"/>
              </w:rPr>
              <w:t>P</w:t>
            </w:r>
            <w:r w:rsidRPr="003A5ACB">
              <w:rPr>
                <w:rFonts w:cs="Arial"/>
                <w:sz w:val="20"/>
                <w:szCs w:val="20"/>
              </w:rPr>
              <w:t>ollution prevention</w:t>
            </w:r>
          </w:p>
        </w:tc>
        <w:tc>
          <w:tcPr>
            <w:tcW w:w="2268" w:type="dxa"/>
          </w:tcPr>
          <w:p w:rsidR="00686CE9" w:rsidRDefault="00686CE9" w:rsidP="00CE4AEE">
            <w:pPr>
              <w:rPr>
                <w:rFonts w:cs="Calibri"/>
                <w:sz w:val="20"/>
                <w:szCs w:val="20"/>
              </w:rPr>
            </w:pPr>
          </w:p>
          <w:p w:rsidR="00686CE9" w:rsidRPr="00BF401E" w:rsidRDefault="00686CE9" w:rsidP="00CE4AEE">
            <w:pPr>
              <w:rPr>
                <w:rFonts w:cs="Calibri"/>
                <w:sz w:val="20"/>
                <w:szCs w:val="20"/>
              </w:rPr>
            </w:pPr>
            <w:r>
              <w:rPr>
                <w:rFonts w:cs="Calibri"/>
                <w:sz w:val="20"/>
                <w:szCs w:val="20"/>
              </w:rPr>
              <w:t>-</w:t>
            </w:r>
          </w:p>
        </w:tc>
        <w:tc>
          <w:tcPr>
            <w:tcW w:w="2268" w:type="dxa"/>
            <w:shd w:val="clear" w:color="auto" w:fill="auto"/>
          </w:tcPr>
          <w:p w:rsidR="00686CE9" w:rsidRDefault="00686CE9" w:rsidP="00CE4AEE">
            <w:pPr>
              <w:rPr>
                <w:rFonts w:cs="Calibri"/>
                <w:sz w:val="20"/>
                <w:szCs w:val="20"/>
              </w:rPr>
            </w:pPr>
          </w:p>
          <w:p w:rsidR="00686CE9" w:rsidRPr="00BF401E" w:rsidRDefault="00686CE9" w:rsidP="00CE4AEE">
            <w:pPr>
              <w:rPr>
                <w:rFonts w:cs="Calibri"/>
                <w:sz w:val="20"/>
                <w:szCs w:val="20"/>
              </w:rPr>
            </w:pPr>
            <w:r>
              <w:rPr>
                <w:rFonts w:cs="Calibri"/>
                <w:sz w:val="20"/>
                <w:szCs w:val="20"/>
              </w:rPr>
              <w:t>-</w:t>
            </w:r>
          </w:p>
        </w:tc>
        <w:tc>
          <w:tcPr>
            <w:tcW w:w="2127" w:type="dxa"/>
          </w:tcPr>
          <w:p w:rsidR="00686CE9" w:rsidRPr="00686CE9" w:rsidRDefault="00686CE9" w:rsidP="00CE4AEE">
            <w:pPr>
              <w:rPr>
                <w:rFonts w:cs="Calibri"/>
                <w:bCs/>
                <w:color w:val="000000"/>
                <w:sz w:val="20"/>
                <w:szCs w:val="20"/>
              </w:rPr>
            </w:pPr>
          </w:p>
          <w:p w:rsidR="00686CE9" w:rsidRPr="00686CE9" w:rsidRDefault="00686CE9" w:rsidP="00CE4AEE">
            <w:pPr>
              <w:rPr>
                <w:rFonts w:cs="Calibri"/>
                <w:bCs/>
                <w:color w:val="000000"/>
                <w:sz w:val="20"/>
                <w:szCs w:val="20"/>
              </w:rPr>
            </w:pPr>
            <w:r w:rsidRPr="00686CE9">
              <w:rPr>
                <w:rFonts w:cs="Calibri"/>
                <w:bCs/>
                <w:color w:val="000000"/>
                <w:sz w:val="20"/>
                <w:szCs w:val="20"/>
              </w:rPr>
              <w:t>15,835,000</w:t>
            </w:r>
          </w:p>
        </w:tc>
      </w:tr>
      <w:tr w:rsidR="00686CE9" w:rsidRPr="008E14FC" w:rsidTr="00CE4AEE">
        <w:tc>
          <w:tcPr>
            <w:tcW w:w="2943" w:type="dxa"/>
            <w:shd w:val="clear" w:color="auto" w:fill="auto"/>
            <w:vAlign w:val="bottom"/>
          </w:tcPr>
          <w:p w:rsidR="00686CE9" w:rsidRPr="003A5ACB" w:rsidRDefault="00686CE9" w:rsidP="00CE4AEE">
            <w:pPr>
              <w:rPr>
                <w:rFonts w:cs="Calibri"/>
                <w:color w:val="000000"/>
                <w:sz w:val="20"/>
                <w:szCs w:val="20"/>
              </w:rPr>
            </w:pPr>
            <w:r>
              <w:rPr>
                <w:rFonts w:cs="Arial"/>
                <w:sz w:val="20"/>
                <w:szCs w:val="20"/>
              </w:rPr>
              <w:t>A</w:t>
            </w:r>
            <w:r w:rsidRPr="003A5ACB">
              <w:rPr>
                <w:rFonts w:cs="Arial"/>
                <w:sz w:val="20"/>
                <w:szCs w:val="20"/>
              </w:rPr>
              <w:t>ssessing the state of water resources</w:t>
            </w:r>
          </w:p>
        </w:tc>
        <w:tc>
          <w:tcPr>
            <w:tcW w:w="2268" w:type="dxa"/>
          </w:tcPr>
          <w:p w:rsidR="00686CE9" w:rsidRDefault="00686CE9" w:rsidP="00CE4AEE">
            <w:pPr>
              <w:rPr>
                <w:rFonts w:cs="Calibri"/>
                <w:sz w:val="20"/>
                <w:szCs w:val="20"/>
              </w:rPr>
            </w:pPr>
          </w:p>
          <w:p w:rsidR="00686CE9" w:rsidRPr="00BF401E" w:rsidRDefault="00686CE9" w:rsidP="00CE4AEE">
            <w:pPr>
              <w:rPr>
                <w:rFonts w:cs="Calibri"/>
                <w:sz w:val="20"/>
                <w:szCs w:val="20"/>
              </w:rPr>
            </w:pPr>
            <w:r>
              <w:rPr>
                <w:rFonts w:cs="Calibri"/>
                <w:sz w:val="20"/>
                <w:szCs w:val="20"/>
              </w:rPr>
              <w:t>-</w:t>
            </w:r>
          </w:p>
        </w:tc>
        <w:tc>
          <w:tcPr>
            <w:tcW w:w="2268" w:type="dxa"/>
            <w:shd w:val="clear" w:color="auto" w:fill="auto"/>
          </w:tcPr>
          <w:p w:rsidR="00686CE9" w:rsidRDefault="00686CE9" w:rsidP="00CE4AEE">
            <w:pPr>
              <w:rPr>
                <w:rFonts w:cs="Calibri"/>
                <w:sz w:val="20"/>
                <w:szCs w:val="20"/>
              </w:rPr>
            </w:pPr>
          </w:p>
          <w:p w:rsidR="00686CE9" w:rsidRPr="00BF401E" w:rsidRDefault="00686CE9" w:rsidP="00CE4AEE">
            <w:pPr>
              <w:rPr>
                <w:rFonts w:cs="Calibri"/>
                <w:sz w:val="20"/>
                <w:szCs w:val="20"/>
              </w:rPr>
            </w:pPr>
            <w:r>
              <w:rPr>
                <w:rFonts w:cs="Calibri"/>
                <w:sz w:val="20"/>
                <w:szCs w:val="20"/>
              </w:rPr>
              <w:t>-</w:t>
            </w:r>
          </w:p>
        </w:tc>
        <w:tc>
          <w:tcPr>
            <w:tcW w:w="2127" w:type="dxa"/>
          </w:tcPr>
          <w:p w:rsidR="00686CE9" w:rsidRPr="00686CE9" w:rsidRDefault="00686CE9" w:rsidP="00CE4AEE">
            <w:pPr>
              <w:rPr>
                <w:rFonts w:cs="Calibri"/>
                <w:bCs/>
                <w:color w:val="000000"/>
                <w:sz w:val="20"/>
                <w:szCs w:val="20"/>
              </w:rPr>
            </w:pPr>
          </w:p>
          <w:p w:rsidR="00686CE9" w:rsidRPr="00686CE9" w:rsidRDefault="00686CE9" w:rsidP="00CE4AEE">
            <w:pPr>
              <w:rPr>
                <w:rFonts w:cs="Calibri"/>
                <w:bCs/>
                <w:color w:val="000000"/>
                <w:sz w:val="20"/>
                <w:szCs w:val="20"/>
              </w:rPr>
            </w:pPr>
            <w:r w:rsidRPr="00686CE9">
              <w:rPr>
                <w:rFonts w:cs="Calibri"/>
                <w:bCs/>
                <w:color w:val="000000"/>
                <w:sz w:val="20"/>
                <w:szCs w:val="20"/>
              </w:rPr>
              <w:t>83,709,000</w:t>
            </w:r>
          </w:p>
        </w:tc>
      </w:tr>
      <w:tr w:rsidR="00686CE9" w:rsidRPr="008E14FC" w:rsidTr="00CE4AEE">
        <w:tc>
          <w:tcPr>
            <w:tcW w:w="2943" w:type="dxa"/>
            <w:shd w:val="clear" w:color="auto" w:fill="auto"/>
            <w:vAlign w:val="bottom"/>
          </w:tcPr>
          <w:p w:rsidR="00686CE9" w:rsidRPr="003A5ACB" w:rsidRDefault="00686CE9" w:rsidP="003A5ACB">
            <w:pPr>
              <w:rPr>
                <w:rFonts w:cs="Calibri"/>
                <w:color w:val="000000"/>
                <w:sz w:val="20"/>
                <w:szCs w:val="20"/>
              </w:rPr>
            </w:pPr>
            <w:r>
              <w:rPr>
                <w:rFonts w:cs="Arial"/>
                <w:sz w:val="20"/>
                <w:szCs w:val="20"/>
              </w:rPr>
              <w:t>A</w:t>
            </w:r>
            <w:r w:rsidRPr="003A5ACB">
              <w:rPr>
                <w:rFonts w:cs="Arial"/>
                <w:sz w:val="20"/>
                <w:szCs w:val="20"/>
              </w:rPr>
              <w:t xml:space="preserve">ssessing the </w:t>
            </w:r>
            <w:r w:rsidR="0034291B">
              <w:rPr>
                <w:rFonts w:cs="Arial"/>
                <w:sz w:val="20"/>
                <w:szCs w:val="20"/>
              </w:rPr>
              <w:t>need for infrastructure development</w:t>
            </w:r>
          </w:p>
        </w:tc>
        <w:tc>
          <w:tcPr>
            <w:tcW w:w="2268" w:type="dxa"/>
          </w:tcPr>
          <w:p w:rsidR="00686CE9" w:rsidRPr="00686CE9" w:rsidRDefault="00686CE9" w:rsidP="00CE4AEE">
            <w:pPr>
              <w:rPr>
                <w:rFonts w:cs="Calibri"/>
                <w:bCs/>
                <w:color w:val="000000"/>
                <w:sz w:val="20"/>
                <w:szCs w:val="20"/>
              </w:rPr>
            </w:pPr>
          </w:p>
          <w:p w:rsidR="00686CE9" w:rsidRPr="00686CE9" w:rsidRDefault="00686CE9" w:rsidP="00CE4AEE">
            <w:pPr>
              <w:rPr>
                <w:rFonts w:cs="Calibri"/>
                <w:bCs/>
                <w:color w:val="000000"/>
                <w:sz w:val="20"/>
                <w:szCs w:val="20"/>
              </w:rPr>
            </w:pPr>
            <w:r w:rsidRPr="00686CE9">
              <w:rPr>
                <w:rFonts w:cs="Calibri"/>
                <w:bCs/>
                <w:color w:val="000000"/>
                <w:sz w:val="20"/>
                <w:szCs w:val="20"/>
              </w:rPr>
              <w:t>124,000</w:t>
            </w:r>
          </w:p>
        </w:tc>
        <w:tc>
          <w:tcPr>
            <w:tcW w:w="2268" w:type="dxa"/>
            <w:shd w:val="clear" w:color="auto" w:fill="auto"/>
          </w:tcPr>
          <w:p w:rsidR="00686CE9" w:rsidRPr="00686CE9" w:rsidRDefault="00686CE9" w:rsidP="00CE4AEE">
            <w:pPr>
              <w:rPr>
                <w:rFonts w:cs="Calibri"/>
                <w:color w:val="000000"/>
                <w:sz w:val="20"/>
                <w:szCs w:val="20"/>
              </w:rPr>
            </w:pPr>
          </w:p>
          <w:p w:rsidR="00686CE9" w:rsidRPr="00686CE9" w:rsidRDefault="00686CE9" w:rsidP="00CE4AEE">
            <w:pPr>
              <w:rPr>
                <w:rFonts w:cs="Calibri"/>
                <w:sz w:val="20"/>
                <w:szCs w:val="20"/>
              </w:rPr>
            </w:pPr>
            <w:r w:rsidRPr="00686CE9">
              <w:rPr>
                <w:rFonts w:cs="Calibri"/>
                <w:color w:val="000000"/>
                <w:sz w:val="20"/>
                <w:szCs w:val="20"/>
              </w:rPr>
              <w:t>85,000</w:t>
            </w:r>
          </w:p>
        </w:tc>
        <w:tc>
          <w:tcPr>
            <w:tcW w:w="2127" w:type="dxa"/>
          </w:tcPr>
          <w:p w:rsidR="00686CE9" w:rsidRPr="00686CE9" w:rsidRDefault="00686CE9" w:rsidP="00CE4AEE">
            <w:pPr>
              <w:rPr>
                <w:rFonts w:cs="Calibri"/>
                <w:bCs/>
                <w:color w:val="000000"/>
                <w:sz w:val="20"/>
                <w:szCs w:val="20"/>
              </w:rPr>
            </w:pPr>
          </w:p>
          <w:p w:rsidR="00686CE9" w:rsidRPr="00686CE9" w:rsidRDefault="00686CE9" w:rsidP="00CE4AEE">
            <w:pPr>
              <w:rPr>
                <w:rFonts w:cs="Calibri"/>
                <w:bCs/>
                <w:color w:val="000000"/>
                <w:sz w:val="20"/>
                <w:szCs w:val="20"/>
              </w:rPr>
            </w:pPr>
            <w:r w:rsidRPr="00686CE9">
              <w:rPr>
                <w:rFonts w:cs="Calibri"/>
                <w:bCs/>
                <w:color w:val="000000"/>
                <w:sz w:val="20"/>
                <w:szCs w:val="20"/>
              </w:rPr>
              <w:t>2,120,000</w:t>
            </w:r>
          </w:p>
        </w:tc>
      </w:tr>
      <w:tr w:rsidR="0034291B" w:rsidRPr="008E14FC" w:rsidTr="00CE4AEE">
        <w:tc>
          <w:tcPr>
            <w:tcW w:w="2943" w:type="dxa"/>
            <w:shd w:val="clear" w:color="auto" w:fill="auto"/>
            <w:vAlign w:val="bottom"/>
          </w:tcPr>
          <w:p w:rsidR="0034291B" w:rsidRPr="003A5ACB" w:rsidRDefault="0034291B" w:rsidP="00CE4AEE">
            <w:pPr>
              <w:rPr>
                <w:rFonts w:cs="Calibri"/>
                <w:color w:val="000000"/>
                <w:sz w:val="20"/>
                <w:szCs w:val="20"/>
              </w:rPr>
            </w:pPr>
            <w:r>
              <w:rPr>
                <w:sz w:val="20"/>
                <w:szCs w:val="20"/>
              </w:rPr>
              <w:t>I</w:t>
            </w:r>
            <w:r w:rsidRPr="003A5ACB">
              <w:rPr>
                <w:sz w:val="20"/>
                <w:szCs w:val="20"/>
              </w:rPr>
              <w:t>mproving efficiency in management</w:t>
            </w:r>
          </w:p>
        </w:tc>
        <w:tc>
          <w:tcPr>
            <w:tcW w:w="2268" w:type="dxa"/>
          </w:tcPr>
          <w:p w:rsidR="0034291B" w:rsidRPr="0034291B" w:rsidRDefault="0034291B" w:rsidP="00CE4AEE">
            <w:pPr>
              <w:rPr>
                <w:rFonts w:cs="Calibri"/>
                <w:bCs/>
                <w:color w:val="000000"/>
                <w:sz w:val="20"/>
                <w:szCs w:val="20"/>
              </w:rPr>
            </w:pPr>
          </w:p>
          <w:p w:rsidR="0034291B" w:rsidRPr="0034291B" w:rsidRDefault="0034291B" w:rsidP="00CE4AEE">
            <w:pPr>
              <w:rPr>
                <w:rFonts w:cs="Calibri"/>
                <w:bCs/>
                <w:color w:val="000000"/>
                <w:sz w:val="20"/>
                <w:szCs w:val="20"/>
              </w:rPr>
            </w:pPr>
            <w:r w:rsidRPr="0034291B">
              <w:rPr>
                <w:rFonts w:cs="Calibri"/>
                <w:bCs/>
                <w:color w:val="000000"/>
                <w:sz w:val="20"/>
                <w:szCs w:val="20"/>
              </w:rPr>
              <w:t>39,752,000</w:t>
            </w:r>
          </w:p>
        </w:tc>
        <w:tc>
          <w:tcPr>
            <w:tcW w:w="2268" w:type="dxa"/>
            <w:shd w:val="clear" w:color="auto" w:fill="auto"/>
          </w:tcPr>
          <w:p w:rsidR="0034291B" w:rsidRPr="0034291B" w:rsidRDefault="0034291B" w:rsidP="00CE4AEE">
            <w:pPr>
              <w:rPr>
                <w:rFonts w:cs="Calibri"/>
                <w:bCs/>
                <w:color w:val="000000"/>
                <w:sz w:val="20"/>
                <w:szCs w:val="20"/>
              </w:rPr>
            </w:pPr>
          </w:p>
          <w:p w:rsidR="0034291B" w:rsidRPr="0034291B" w:rsidRDefault="0034291B" w:rsidP="00CE4AEE">
            <w:pPr>
              <w:rPr>
                <w:rFonts w:cs="Calibri"/>
                <w:bCs/>
                <w:color w:val="000000"/>
                <w:sz w:val="20"/>
                <w:szCs w:val="20"/>
              </w:rPr>
            </w:pPr>
            <w:r w:rsidRPr="0034291B">
              <w:rPr>
                <w:rFonts w:cs="Calibri"/>
                <w:bCs/>
                <w:color w:val="000000"/>
                <w:sz w:val="20"/>
                <w:szCs w:val="20"/>
              </w:rPr>
              <w:t>12,022,000</w:t>
            </w:r>
          </w:p>
        </w:tc>
        <w:tc>
          <w:tcPr>
            <w:tcW w:w="2127" w:type="dxa"/>
          </w:tcPr>
          <w:p w:rsidR="0034291B" w:rsidRDefault="0034291B" w:rsidP="00CE4AEE">
            <w:pPr>
              <w:rPr>
                <w:rFonts w:cs="Calibri"/>
                <w:sz w:val="20"/>
                <w:szCs w:val="20"/>
              </w:rPr>
            </w:pPr>
          </w:p>
          <w:p w:rsidR="0034291B" w:rsidRPr="00BF401E" w:rsidRDefault="0034291B" w:rsidP="00CE4AEE">
            <w:pPr>
              <w:rPr>
                <w:rFonts w:cs="Calibri"/>
                <w:sz w:val="20"/>
                <w:szCs w:val="20"/>
              </w:rPr>
            </w:pPr>
            <w:r>
              <w:rPr>
                <w:rFonts w:cs="Calibri"/>
                <w:sz w:val="20"/>
                <w:szCs w:val="20"/>
              </w:rPr>
              <w:t>-</w:t>
            </w:r>
          </w:p>
        </w:tc>
      </w:tr>
      <w:tr w:rsidR="0034291B" w:rsidRPr="008E14FC" w:rsidTr="00CE4AEE">
        <w:tc>
          <w:tcPr>
            <w:tcW w:w="2943" w:type="dxa"/>
            <w:shd w:val="clear" w:color="auto" w:fill="auto"/>
            <w:vAlign w:val="bottom"/>
          </w:tcPr>
          <w:p w:rsidR="0034291B" w:rsidRDefault="0034291B" w:rsidP="00CE4AEE">
            <w:pPr>
              <w:rPr>
                <w:sz w:val="20"/>
                <w:szCs w:val="20"/>
              </w:rPr>
            </w:pPr>
          </w:p>
          <w:p w:rsidR="0034291B" w:rsidRPr="003A5ACB" w:rsidRDefault="0034291B" w:rsidP="00CE4AEE">
            <w:pPr>
              <w:rPr>
                <w:rFonts w:cs="Calibri"/>
                <w:color w:val="000000"/>
                <w:sz w:val="20"/>
                <w:szCs w:val="20"/>
              </w:rPr>
            </w:pPr>
            <w:r>
              <w:rPr>
                <w:sz w:val="20"/>
                <w:szCs w:val="20"/>
              </w:rPr>
              <w:t>L</w:t>
            </w:r>
            <w:r w:rsidRPr="003A5ACB">
              <w:rPr>
                <w:sz w:val="20"/>
                <w:szCs w:val="20"/>
              </w:rPr>
              <w:t>abour management tools</w:t>
            </w:r>
          </w:p>
        </w:tc>
        <w:tc>
          <w:tcPr>
            <w:tcW w:w="2268" w:type="dxa"/>
          </w:tcPr>
          <w:p w:rsidR="0034291B" w:rsidRPr="0034291B" w:rsidRDefault="0034291B" w:rsidP="00CE4AEE">
            <w:pPr>
              <w:rPr>
                <w:rFonts w:cs="Calibri"/>
                <w:bCs/>
                <w:color w:val="000000"/>
                <w:sz w:val="20"/>
                <w:szCs w:val="20"/>
              </w:rPr>
            </w:pPr>
          </w:p>
          <w:p w:rsidR="0034291B" w:rsidRPr="0034291B" w:rsidRDefault="0034291B" w:rsidP="00CE4AEE">
            <w:pPr>
              <w:rPr>
                <w:rFonts w:cs="Calibri"/>
                <w:bCs/>
                <w:color w:val="000000"/>
                <w:sz w:val="20"/>
                <w:szCs w:val="20"/>
              </w:rPr>
            </w:pPr>
            <w:r w:rsidRPr="0034291B">
              <w:rPr>
                <w:rFonts w:cs="Calibri"/>
                <w:bCs/>
                <w:color w:val="000000"/>
                <w:sz w:val="20"/>
                <w:szCs w:val="20"/>
              </w:rPr>
              <w:t>3,926,000</w:t>
            </w:r>
          </w:p>
        </w:tc>
        <w:tc>
          <w:tcPr>
            <w:tcW w:w="2268" w:type="dxa"/>
            <w:shd w:val="clear" w:color="auto" w:fill="auto"/>
          </w:tcPr>
          <w:p w:rsidR="00AD2F69" w:rsidRDefault="00AD2F69" w:rsidP="00CE4AEE">
            <w:pPr>
              <w:rPr>
                <w:rFonts w:cs="Calibri"/>
                <w:color w:val="000000"/>
                <w:sz w:val="20"/>
                <w:szCs w:val="20"/>
              </w:rPr>
            </w:pPr>
          </w:p>
          <w:p w:rsidR="0034291B" w:rsidRPr="00BF401E" w:rsidRDefault="00AD2F69" w:rsidP="00CE4AEE">
            <w:pPr>
              <w:rPr>
                <w:rFonts w:cs="Calibri"/>
                <w:sz w:val="20"/>
                <w:szCs w:val="20"/>
              </w:rPr>
            </w:pPr>
            <w:r w:rsidRPr="00C030D8">
              <w:rPr>
                <w:rFonts w:cs="Calibri"/>
                <w:color w:val="000000"/>
                <w:sz w:val="20"/>
                <w:szCs w:val="20"/>
              </w:rPr>
              <w:t>600,000</w:t>
            </w:r>
          </w:p>
        </w:tc>
        <w:tc>
          <w:tcPr>
            <w:tcW w:w="2127" w:type="dxa"/>
          </w:tcPr>
          <w:p w:rsidR="0034291B" w:rsidRDefault="0034291B" w:rsidP="00CE4AEE">
            <w:pPr>
              <w:rPr>
                <w:rFonts w:cs="Calibri"/>
                <w:sz w:val="20"/>
                <w:szCs w:val="20"/>
              </w:rPr>
            </w:pPr>
          </w:p>
          <w:p w:rsidR="0034291B" w:rsidRPr="00BF401E" w:rsidRDefault="0034291B" w:rsidP="00CE4AEE">
            <w:pPr>
              <w:rPr>
                <w:rFonts w:cs="Calibri"/>
                <w:sz w:val="20"/>
                <w:szCs w:val="20"/>
              </w:rPr>
            </w:pPr>
            <w:r>
              <w:rPr>
                <w:rFonts w:cs="Calibri"/>
                <w:sz w:val="20"/>
                <w:szCs w:val="20"/>
              </w:rPr>
              <w:t>-</w:t>
            </w:r>
          </w:p>
        </w:tc>
      </w:tr>
      <w:tr w:rsidR="001D468E" w:rsidRPr="008E14FC" w:rsidTr="00CE4AEE">
        <w:tc>
          <w:tcPr>
            <w:tcW w:w="2943" w:type="dxa"/>
            <w:shd w:val="clear" w:color="auto" w:fill="auto"/>
            <w:vAlign w:val="bottom"/>
          </w:tcPr>
          <w:p w:rsidR="001D468E" w:rsidRDefault="001D468E" w:rsidP="00CE4AEE">
            <w:pPr>
              <w:rPr>
                <w:rFonts w:cs="Arial"/>
                <w:sz w:val="20"/>
                <w:szCs w:val="20"/>
              </w:rPr>
            </w:pPr>
          </w:p>
          <w:p w:rsidR="001D468E" w:rsidRPr="003A5ACB" w:rsidRDefault="001D468E" w:rsidP="00CE4AEE">
            <w:pPr>
              <w:rPr>
                <w:rFonts w:cs="Calibri"/>
                <w:color w:val="000000"/>
                <w:sz w:val="20"/>
                <w:szCs w:val="20"/>
              </w:rPr>
            </w:pPr>
            <w:r>
              <w:rPr>
                <w:rFonts w:cs="Arial"/>
                <w:sz w:val="20"/>
                <w:szCs w:val="20"/>
              </w:rPr>
              <w:t>A</w:t>
            </w:r>
            <w:r w:rsidRPr="003A5ACB">
              <w:rPr>
                <w:rFonts w:cs="Arial"/>
                <w:sz w:val="20"/>
                <w:szCs w:val="20"/>
              </w:rPr>
              <w:t>ccessing investment finance</w:t>
            </w:r>
          </w:p>
        </w:tc>
        <w:tc>
          <w:tcPr>
            <w:tcW w:w="2268" w:type="dxa"/>
          </w:tcPr>
          <w:p w:rsidR="001D468E" w:rsidRPr="001D468E" w:rsidRDefault="001D468E" w:rsidP="00CE4AEE">
            <w:pPr>
              <w:rPr>
                <w:rFonts w:cs="Calibri"/>
                <w:bCs/>
                <w:color w:val="000000"/>
                <w:sz w:val="20"/>
                <w:szCs w:val="20"/>
              </w:rPr>
            </w:pPr>
          </w:p>
          <w:p w:rsidR="001D468E" w:rsidRPr="001D468E" w:rsidRDefault="001D468E" w:rsidP="00CE4AEE">
            <w:pPr>
              <w:rPr>
                <w:rFonts w:cs="Calibri"/>
                <w:bCs/>
                <w:color w:val="000000"/>
                <w:sz w:val="20"/>
                <w:szCs w:val="20"/>
              </w:rPr>
            </w:pPr>
            <w:r w:rsidRPr="001D468E">
              <w:rPr>
                <w:rFonts w:cs="Calibri"/>
                <w:bCs/>
                <w:color w:val="000000"/>
                <w:sz w:val="20"/>
                <w:szCs w:val="20"/>
              </w:rPr>
              <w:t>16,477,000</w:t>
            </w:r>
          </w:p>
        </w:tc>
        <w:tc>
          <w:tcPr>
            <w:tcW w:w="2268" w:type="dxa"/>
            <w:shd w:val="clear" w:color="auto" w:fill="auto"/>
          </w:tcPr>
          <w:p w:rsidR="001D468E" w:rsidRPr="001D468E" w:rsidRDefault="001D468E" w:rsidP="00CE4AEE">
            <w:pPr>
              <w:rPr>
                <w:rFonts w:eastAsia="Times New Roman" w:cs="Calibri"/>
                <w:bCs/>
                <w:color w:val="000000"/>
                <w:sz w:val="20"/>
                <w:szCs w:val="20"/>
                <w:lang w:eastAsia="en-GB"/>
              </w:rPr>
            </w:pPr>
          </w:p>
          <w:p w:rsidR="001D468E" w:rsidRPr="001D468E" w:rsidRDefault="001D468E" w:rsidP="00CE4AEE">
            <w:pPr>
              <w:rPr>
                <w:rFonts w:cs="Calibri"/>
                <w:bCs/>
                <w:color w:val="000000"/>
                <w:sz w:val="20"/>
                <w:szCs w:val="20"/>
              </w:rPr>
            </w:pPr>
            <w:r w:rsidRPr="001D468E">
              <w:rPr>
                <w:rFonts w:eastAsia="Times New Roman" w:cs="Calibri"/>
                <w:bCs/>
                <w:color w:val="000000"/>
                <w:sz w:val="20"/>
                <w:szCs w:val="20"/>
                <w:lang w:eastAsia="en-GB"/>
              </w:rPr>
              <w:t>10,775,000</w:t>
            </w:r>
          </w:p>
        </w:tc>
        <w:tc>
          <w:tcPr>
            <w:tcW w:w="2127" w:type="dxa"/>
          </w:tcPr>
          <w:p w:rsidR="001D468E" w:rsidRDefault="001D468E" w:rsidP="00CE4AEE">
            <w:pPr>
              <w:rPr>
                <w:rFonts w:cs="Calibri"/>
                <w:sz w:val="20"/>
                <w:szCs w:val="20"/>
              </w:rPr>
            </w:pPr>
          </w:p>
          <w:p w:rsidR="001D468E" w:rsidRPr="00BF401E" w:rsidRDefault="001D468E" w:rsidP="00CE4AEE">
            <w:pPr>
              <w:rPr>
                <w:rFonts w:cs="Calibri"/>
                <w:sz w:val="20"/>
                <w:szCs w:val="20"/>
              </w:rPr>
            </w:pPr>
            <w:r>
              <w:rPr>
                <w:rFonts w:cs="Calibri"/>
                <w:sz w:val="20"/>
                <w:szCs w:val="20"/>
              </w:rPr>
              <w:t>-</w:t>
            </w:r>
          </w:p>
        </w:tc>
      </w:tr>
      <w:tr w:rsidR="002668CB" w:rsidRPr="008E14FC" w:rsidTr="00CE4AEE">
        <w:tc>
          <w:tcPr>
            <w:tcW w:w="2943" w:type="dxa"/>
            <w:shd w:val="clear" w:color="auto" w:fill="auto"/>
            <w:vAlign w:val="bottom"/>
          </w:tcPr>
          <w:p w:rsidR="002668CB" w:rsidRDefault="002668CB" w:rsidP="00CE4AEE">
            <w:pPr>
              <w:rPr>
                <w:rFonts w:cs="Arial"/>
                <w:sz w:val="20"/>
                <w:szCs w:val="20"/>
              </w:rPr>
            </w:pPr>
          </w:p>
          <w:p w:rsidR="002668CB" w:rsidRPr="003A5ACB" w:rsidRDefault="002668CB" w:rsidP="00CE4AEE">
            <w:pPr>
              <w:rPr>
                <w:rFonts w:cs="Calibri"/>
                <w:color w:val="000000"/>
                <w:sz w:val="20"/>
                <w:szCs w:val="20"/>
              </w:rPr>
            </w:pPr>
            <w:r>
              <w:rPr>
                <w:rFonts w:cs="Arial"/>
                <w:sz w:val="20"/>
                <w:szCs w:val="20"/>
              </w:rPr>
              <w:t>E</w:t>
            </w:r>
            <w:r w:rsidRPr="003A5ACB">
              <w:rPr>
                <w:rFonts w:cs="Arial"/>
                <w:sz w:val="20"/>
                <w:szCs w:val="20"/>
              </w:rPr>
              <w:t>xpanding access to the poor</w:t>
            </w:r>
          </w:p>
        </w:tc>
        <w:tc>
          <w:tcPr>
            <w:tcW w:w="2268" w:type="dxa"/>
          </w:tcPr>
          <w:p w:rsidR="002668CB" w:rsidRPr="002668CB" w:rsidRDefault="002668CB" w:rsidP="00CE4AEE">
            <w:pPr>
              <w:rPr>
                <w:rFonts w:cs="Calibri"/>
                <w:bCs/>
                <w:color w:val="000000"/>
                <w:sz w:val="20"/>
                <w:szCs w:val="20"/>
              </w:rPr>
            </w:pPr>
          </w:p>
          <w:p w:rsidR="002668CB" w:rsidRPr="002668CB" w:rsidRDefault="002668CB" w:rsidP="00CE4AEE">
            <w:pPr>
              <w:rPr>
                <w:rFonts w:cs="Calibri"/>
                <w:bCs/>
                <w:color w:val="000000"/>
                <w:sz w:val="20"/>
                <w:szCs w:val="20"/>
              </w:rPr>
            </w:pPr>
            <w:r w:rsidRPr="002668CB">
              <w:rPr>
                <w:rFonts w:cs="Calibri"/>
                <w:bCs/>
                <w:color w:val="000000"/>
                <w:sz w:val="20"/>
                <w:szCs w:val="20"/>
              </w:rPr>
              <w:t>20,568,000</w:t>
            </w:r>
          </w:p>
        </w:tc>
        <w:tc>
          <w:tcPr>
            <w:tcW w:w="2268" w:type="dxa"/>
            <w:shd w:val="clear" w:color="auto" w:fill="auto"/>
          </w:tcPr>
          <w:p w:rsidR="002668CB" w:rsidRPr="002668CB" w:rsidRDefault="002668CB" w:rsidP="00CE4AEE">
            <w:pPr>
              <w:rPr>
                <w:rFonts w:cs="Calibri"/>
                <w:bCs/>
                <w:color w:val="000000"/>
                <w:sz w:val="20"/>
                <w:szCs w:val="20"/>
              </w:rPr>
            </w:pPr>
          </w:p>
          <w:p w:rsidR="002668CB" w:rsidRPr="002668CB" w:rsidRDefault="002668CB" w:rsidP="00CE4AEE">
            <w:pPr>
              <w:rPr>
                <w:rFonts w:cs="Calibri"/>
                <w:bCs/>
                <w:color w:val="000000"/>
                <w:sz w:val="20"/>
                <w:szCs w:val="20"/>
              </w:rPr>
            </w:pPr>
            <w:r w:rsidRPr="002668CB">
              <w:rPr>
                <w:rFonts w:cs="Calibri"/>
                <w:bCs/>
                <w:color w:val="000000"/>
                <w:sz w:val="20"/>
                <w:szCs w:val="20"/>
              </w:rPr>
              <w:t>9,371,000</w:t>
            </w:r>
          </w:p>
        </w:tc>
        <w:tc>
          <w:tcPr>
            <w:tcW w:w="2127" w:type="dxa"/>
          </w:tcPr>
          <w:p w:rsidR="002668CB" w:rsidRDefault="002668CB" w:rsidP="00CE4AEE">
            <w:pPr>
              <w:rPr>
                <w:rFonts w:cs="Calibri"/>
                <w:sz w:val="20"/>
                <w:szCs w:val="20"/>
              </w:rPr>
            </w:pPr>
          </w:p>
          <w:p w:rsidR="002668CB" w:rsidRPr="00BF401E" w:rsidRDefault="002668CB" w:rsidP="00CE4AEE">
            <w:pPr>
              <w:rPr>
                <w:rFonts w:cs="Calibri"/>
                <w:sz w:val="20"/>
                <w:szCs w:val="20"/>
              </w:rPr>
            </w:pPr>
            <w:r>
              <w:rPr>
                <w:rFonts w:cs="Calibri"/>
                <w:sz w:val="20"/>
                <w:szCs w:val="20"/>
              </w:rPr>
              <w:t>-</w:t>
            </w:r>
          </w:p>
        </w:tc>
      </w:tr>
      <w:tr w:rsidR="001E259F" w:rsidRPr="008E14FC" w:rsidTr="00CE4AEE">
        <w:tc>
          <w:tcPr>
            <w:tcW w:w="2943" w:type="dxa"/>
            <w:shd w:val="clear" w:color="auto" w:fill="auto"/>
            <w:vAlign w:val="bottom"/>
          </w:tcPr>
          <w:p w:rsidR="001E259F" w:rsidRDefault="001E259F" w:rsidP="00CE4AEE">
            <w:pPr>
              <w:rPr>
                <w:rFonts w:cs="Arial"/>
                <w:sz w:val="20"/>
                <w:szCs w:val="20"/>
              </w:rPr>
            </w:pPr>
          </w:p>
          <w:p w:rsidR="001E259F" w:rsidRPr="003A5ACB" w:rsidRDefault="001E259F" w:rsidP="00CE4AEE">
            <w:pPr>
              <w:rPr>
                <w:rFonts w:cs="Calibri"/>
                <w:color w:val="000000"/>
                <w:sz w:val="20"/>
                <w:szCs w:val="20"/>
              </w:rPr>
            </w:pPr>
            <w:r>
              <w:rPr>
                <w:rFonts w:cs="Arial"/>
                <w:sz w:val="20"/>
                <w:szCs w:val="20"/>
              </w:rPr>
              <w:t>P</w:t>
            </w:r>
            <w:r w:rsidRPr="003A5ACB">
              <w:rPr>
                <w:rFonts w:cs="Arial"/>
                <w:sz w:val="20"/>
                <w:szCs w:val="20"/>
              </w:rPr>
              <w:t>articipatory governance</w:t>
            </w:r>
          </w:p>
        </w:tc>
        <w:tc>
          <w:tcPr>
            <w:tcW w:w="2268" w:type="dxa"/>
          </w:tcPr>
          <w:p w:rsidR="001E259F" w:rsidRPr="001E259F" w:rsidRDefault="001E259F" w:rsidP="00CE4AEE">
            <w:pPr>
              <w:rPr>
                <w:rFonts w:cs="Calibri"/>
                <w:bCs/>
                <w:color w:val="000000"/>
                <w:sz w:val="20"/>
                <w:szCs w:val="20"/>
              </w:rPr>
            </w:pPr>
          </w:p>
          <w:p w:rsidR="001E259F" w:rsidRPr="001E259F" w:rsidRDefault="001E259F" w:rsidP="00CE4AEE">
            <w:pPr>
              <w:rPr>
                <w:rFonts w:cs="Calibri"/>
                <w:bCs/>
                <w:color w:val="000000"/>
                <w:sz w:val="20"/>
                <w:szCs w:val="20"/>
              </w:rPr>
            </w:pPr>
            <w:r w:rsidRPr="001E259F">
              <w:rPr>
                <w:rFonts w:cs="Calibri"/>
                <w:bCs/>
                <w:color w:val="000000"/>
                <w:sz w:val="20"/>
                <w:szCs w:val="20"/>
              </w:rPr>
              <w:t>3,522,000</w:t>
            </w:r>
          </w:p>
        </w:tc>
        <w:tc>
          <w:tcPr>
            <w:tcW w:w="2268" w:type="dxa"/>
            <w:shd w:val="clear" w:color="auto" w:fill="auto"/>
          </w:tcPr>
          <w:p w:rsidR="001E259F" w:rsidRPr="001E259F" w:rsidRDefault="001E259F" w:rsidP="00CE4AEE">
            <w:pPr>
              <w:rPr>
                <w:rFonts w:cs="Calibri"/>
                <w:bCs/>
                <w:color w:val="000000"/>
                <w:sz w:val="20"/>
                <w:szCs w:val="20"/>
              </w:rPr>
            </w:pPr>
          </w:p>
          <w:p w:rsidR="001E259F" w:rsidRPr="001E259F" w:rsidRDefault="001E259F" w:rsidP="00CE4AEE">
            <w:pPr>
              <w:rPr>
                <w:rFonts w:cs="Calibri"/>
                <w:bCs/>
                <w:color w:val="000000"/>
                <w:sz w:val="20"/>
                <w:szCs w:val="20"/>
              </w:rPr>
            </w:pPr>
            <w:r w:rsidRPr="001E259F">
              <w:rPr>
                <w:rFonts w:cs="Calibri"/>
                <w:bCs/>
                <w:color w:val="000000"/>
                <w:sz w:val="20"/>
                <w:szCs w:val="20"/>
              </w:rPr>
              <w:t>3,062,000</w:t>
            </w:r>
          </w:p>
        </w:tc>
        <w:tc>
          <w:tcPr>
            <w:tcW w:w="2127" w:type="dxa"/>
          </w:tcPr>
          <w:p w:rsidR="001E259F" w:rsidRPr="001E259F" w:rsidRDefault="001E259F" w:rsidP="00CE4AEE">
            <w:pPr>
              <w:rPr>
                <w:rFonts w:cs="Calibri"/>
                <w:bCs/>
                <w:color w:val="000000"/>
                <w:sz w:val="20"/>
                <w:szCs w:val="20"/>
              </w:rPr>
            </w:pPr>
          </w:p>
          <w:p w:rsidR="001E259F" w:rsidRPr="001E259F" w:rsidRDefault="001E259F" w:rsidP="00CE4AEE">
            <w:pPr>
              <w:rPr>
                <w:rFonts w:cs="Calibri"/>
                <w:bCs/>
                <w:color w:val="000000"/>
                <w:sz w:val="20"/>
                <w:szCs w:val="20"/>
              </w:rPr>
            </w:pPr>
            <w:r w:rsidRPr="001E259F">
              <w:rPr>
                <w:rFonts w:cs="Calibri"/>
                <w:bCs/>
                <w:color w:val="000000"/>
                <w:sz w:val="20"/>
                <w:szCs w:val="20"/>
              </w:rPr>
              <w:t>81,996,000</w:t>
            </w:r>
          </w:p>
        </w:tc>
      </w:tr>
      <w:tr w:rsidR="00FF2DC4" w:rsidRPr="008E14FC" w:rsidTr="00CE4AEE">
        <w:tc>
          <w:tcPr>
            <w:tcW w:w="2943" w:type="dxa"/>
            <w:shd w:val="clear" w:color="auto" w:fill="auto"/>
            <w:vAlign w:val="bottom"/>
          </w:tcPr>
          <w:p w:rsidR="00FF2DC4" w:rsidRDefault="00FF2DC4" w:rsidP="00CE4AEE">
            <w:pPr>
              <w:rPr>
                <w:rFonts w:cs="Arial"/>
                <w:sz w:val="20"/>
                <w:szCs w:val="20"/>
              </w:rPr>
            </w:pPr>
          </w:p>
          <w:p w:rsidR="00FF2DC4" w:rsidRPr="003A5ACB" w:rsidRDefault="00FF2DC4" w:rsidP="00CE4AEE">
            <w:pPr>
              <w:rPr>
                <w:rFonts w:cs="Calibri"/>
                <w:color w:val="000000"/>
                <w:sz w:val="20"/>
                <w:szCs w:val="20"/>
              </w:rPr>
            </w:pPr>
            <w:r>
              <w:rPr>
                <w:rFonts w:cs="Arial"/>
                <w:sz w:val="20"/>
                <w:szCs w:val="20"/>
              </w:rPr>
              <w:t>A</w:t>
            </w:r>
            <w:r w:rsidRPr="003A5ACB">
              <w:rPr>
                <w:rFonts w:cs="Arial"/>
                <w:sz w:val="20"/>
                <w:szCs w:val="20"/>
              </w:rPr>
              <w:t>wareness raising</w:t>
            </w:r>
          </w:p>
        </w:tc>
        <w:tc>
          <w:tcPr>
            <w:tcW w:w="2268" w:type="dxa"/>
          </w:tcPr>
          <w:p w:rsidR="00FF2DC4" w:rsidRPr="00FF2DC4" w:rsidRDefault="00FF2DC4" w:rsidP="00CE4AEE">
            <w:pPr>
              <w:rPr>
                <w:rFonts w:cs="Calibri"/>
                <w:bCs/>
                <w:color w:val="000000"/>
                <w:sz w:val="20"/>
                <w:szCs w:val="20"/>
              </w:rPr>
            </w:pPr>
          </w:p>
          <w:p w:rsidR="00FF2DC4" w:rsidRPr="00FF2DC4" w:rsidRDefault="00FF2DC4" w:rsidP="00CE4AEE">
            <w:pPr>
              <w:rPr>
                <w:rFonts w:cs="Calibri"/>
                <w:bCs/>
                <w:color w:val="000000"/>
                <w:sz w:val="20"/>
                <w:szCs w:val="20"/>
              </w:rPr>
            </w:pPr>
            <w:r w:rsidRPr="00FF2DC4">
              <w:rPr>
                <w:rFonts w:cs="Calibri"/>
                <w:bCs/>
                <w:color w:val="000000"/>
                <w:sz w:val="20"/>
                <w:szCs w:val="20"/>
              </w:rPr>
              <w:t>30,010,000</w:t>
            </w:r>
          </w:p>
        </w:tc>
        <w:tc>
          <w:tcPr>
            <w:tcW w:w="2268" w:type="dxa"/>
            <w:shd w:val="clear" w:color="auto" w:fill="auto"/>
          </w:tcPr>
          <w:p w:rsidR="00FF2DC4" w:rsidRPr="00FF2DC4" w:rsidRDefault="00FF2DC4" w:rsidP="00CE4AEE">
            <w:pPr>
              <w:rPr>
                <w:rFonts w:cs="Calibri"/>
                <w:bCs/>
                <w:color w:val="000000"/>
                <w:sz w:val="20"/>
                <w:szCs w:val="20"/>
              </w:rPr>
            </w:pPr>
          </w:p>
          <w:p w:rsidR="00FF2DC4" w:rsidRPr="00FF2DC4" w:rsidRDefault="00FF2DC4" w:rsidP="00CE4AEE">
            <w:pPr>
              <w:rPr>
                <w:rFonts w:cs="Calibri"/>
                <w:bCs/>
                <w:color w:val="000000"/>
                <w:sz w:val="20"/>
                <w:szCs w:val="20"/>
              </w:rPr>
            </w:pPr>
            <w:r w:rsidRPr="00FF2DC4">
              <w:rPr>
                <w:rFonts w:cs="Calibri"/>
                <w:bCs/>
                <w:color w:val="000000"/>
                <w:sz w:val="20"/>
                <w:szCs w:val="20"/>
              </w:rPr>
              <w:t>11,273,000</w:t>
            </w:r>
          </w:p>
        </w:tc>
        <w:tc>
          <w:tcPr>
            <w:tcW w:w="2127" w:type="dxa"/>
          </w:tcPr>
          <w:p w:rsidR="00FF2DC4" w:rsidRPr="00FF2DC4" w:rsidRDefault="00FF2DC4" w:rsidP="00CE4AEE">
            <w:pPr>
              <w:rPr>
                <w:rFonts w:cs="Calibri"/>
                <w:bCs/>
                <w:color w:val="000000"/>
                <w:sz w:val="20"/>
                <w:szCs w:val="20"/>
              </w:rPr>
            </w:pPr>
          </w:p>
          <w:p w:rsidR="00FF2DC4" w:rsidRPr="00FF2DC4" w:rsidRDefault="00FF2DC4" w:rsidP="00CE4AEE">
            <w:pPr>
              <w:rPr>
                <w:rFonts w:cs="Calibri"/>
                <w:bCs/>
                <w:color w:val="000000"/>
                <w:sz w:val="20"/>
                <w:szCs w:val="20"/>
              </w:rPr>
            </w:pPr>
            <w:r w:rsidRPr="00FF2DC4">
              <w:rPr>
                <w:rFonts w:cs="Calibri"/>
                <w:bCs/>
                <w:color w:val="000000"/>
                <w:sz w:val="20"/>
                <w:szCs w:val="20"/>
              </w:rPr>
              <w:t>15,803,000</w:t>
            </w:r>
          </w:p>
        </w:tc>
      </w:tr>
      <w:tr w:rsidR="0036387D" w:rsidRPr="008E14FC" w:rsidTr="00CE4AEE">
        <w:tc>
          <w:tcPr>
            <w:tcW w:w="2943" w:type="dxa"/>
            <w:shd w:val="clear" w:color="auto" w:fill="auto"/>
            <w:vAlign w:val="bottom"/>
          </w:tcPr>
          <w:p w:rsidR="0036387D" w:rsidRDefault="0036387D" w:rsidP="00CE4AEE">
            <w:pPr>
              <w:rPr>
                <w:rFonts w:cs="Calibri"/>
                <w:sz w:val="20"/>
                <w:szCs w:val="20"/>
              </w:rPr>
            </w:pPr>
          </w:p>
          <w:p w:rsidR="0036387D" w:rsidRPr="003A5ACB" w:rsidRDefault="0036387D" w:rsidP="00CE4AEE">
            <w:pPr>
              <w:rPr>
                <w:rFonts w:cs="Calibri"/>
                <w:color w:val="000000"/>
                <w:sz w:val="20"/>
                <w:szCs w:val="20"/>
              </w:rPr>
            </w:pPr>
            <w:r>
              <w:rPr>
                <w:rFonts w:cs="Calibri"/>
                <w:sz w:val="20"/>
                <w:szCs w:val="20"/>
              </w:rPr>
              <w:t>I</w:t>
            </w:r>
            <w:r w:rsidRPr="003A5ACB">
              <w:rPr>
                <w:rFonts w:cs="Calibri"/>
                <w:sz w:val="20"/>
                <w:szCs w:val="20"/>
              </w:rPr>
              <w:t>nstitutional support</w:t>
            </w:r>
          </w:p>
        </w:tc>
        <w:tc>
          <w:tcPr>
            <w:tcW w:w="2268" w:type="dxa"/>
          </w:tcPr>
          <w:p w:rsidR="0036387D" w:rsidRPr="0036387D" w:rsidRDefault="0036387D" w:rsidP="00CE4AEE">
            <w:pPr>
              <w:rPr>
                <w:rFonts w:cs="Calibri"/>
                <w:color w:val="000000"/>
                <w:sz w:val="20"/>
                <w:szCs w:val="20"/>
              </w:rPr>
            </w:pPr>
          </w:p>
          <w:p w:rsidR="0036387D" w:rsidRPr="0036387D" w:rsidRDefault="0036387D" w:rsidP="00CE4AEE">
            <w:pPr>
              <w:rPr>
                <w:rFonts w:cs="Calibri"/>
                <w:color w:val="000000"/>
                <w:sz w:val="20"/>
                <w:szCs w:val="20"/>
              </w:rPr>
            </w:pPr>
            <w:r w:rsidRPr="0036387D">
              <w:rPr>
                <w:rFonts w:cs="Calibri"/>
                <w:color w:val="000000"/>
                <w:sz w:val="20"/>
                <w:szCs w:val="20"/>
              </w:rPr>
              <w:t>29,441,000</w:t>
            </w:r>
          </w:p>
        </w:tc>
        <w:tc>
          <w:tcPr>
            <w:tcW w:w="2268" w:type="dxa"/>
            <w:shd w:val="clear" w:color="auto" w:fill="auto"/>
          </w:tcPr>
          <w:p w:rsidR="0036387D" w:rsidRPr="0036387D" w:rsidRDefault="0036387D" w:rsidP="00CE4AEE">
            <w:pPr>
              <w:rPr>
                <w:rFonts w:cs="Calibri"/>
                <w:color w:val="000000"/>
                <w:sz w:val="20"/>
                <w:szCs w:val="20"/>
              </w:rPr>
            </w:pPr>
          </w:p>
          <w:p w:rsidR="0036387D" w:rsidRPr="0036387D" w:rsidRDefault="0036387D" w:rsidP="00CE4AEE">
            <w:pPr>
              <w:rPr>
                <w:rFonts w:cs="Calibri"/>
                <w:color w:val="000000"/>
                <w:sz w:val="20"/>
                <w:szCs w:val="20"/>
              </w:rPr>
            </w:pPr>
            <w:r w:rsidRPr="0036387D">
              <w:rPr>
                <w:rFonts w:cs="Calibri"/>
                <w:color w:val="000000"/>
                <w:sz w:val="20"/>
                <w:szCs w:val="20"/>
              </w:rPr>
              <w:t>11,805,000</w:t>
            </w:r>
          </w:p>
        </w:tc>
        <w:tc>
          <w:tcPr>
            <w:tcW w:w="2127" w:type="dxa"/>
          </w:tcPr>
          <w:p w:rsidR="0036387D" w:rsidRPr="0036387D" w:rsidRDefault="0036387D" w:rsidP="00CE4AEE">
            <w:pPr>
              <w:rPr>
                <w:rFonts w:cs="Calibri"/>
                <w:color w:val="000000"/>
                <w:sz w:val="20"/>
                <w:szCs w:val="20"/>
              </w:rPr>
            </w:pPr>
          </w:p>
          <w:p w:rsidR="0036387D" w:rsidRPr="0036387D" w:rsidRDefault="0036387D" w:rsidP="00CE4AEE">
            <w:pPr>
              <w:rPr>
                <w:rFonts w:cs="Calibri"/>
                <w:color w:val="000000"/>
                <w:sz w:val="20"/>
                <w:szCs w:val="20"/>
              </w:rPr>
            </w:pPr>
            <w:r w:rsidRPr="0036387D">
              <w:rPr>
                <w:rFonts w:cs="Calibri"/>
                <w:color w:val="000000"/>
                <w:sz w:val="20"/>
                <w:szCs w:val="20"/>
              </w:rPr>
              <w:t>100,996,000</w:t>
            </w:r>
          </w:p>
        </w:tc>
      </w:tr>
    </w:tbl>
    <w:p w:rsidR="00EE0B43" w:rsidRPr="002A0C48" w:rsidRDefault="002A0C48" w:rsidP="00EE0B43">
      <w:pPr>
        <w:pStyle w:val="NoSpacing"/>
        <w:ind w:left="11"/>
        <w:jc w:val="both"/>
        <w:rPr>
          <w:rFonts w:ascii="Calibri" w:hAnsi="Calibri"/>
          <w:sz w:val="22"/>
          <w:szCs w:val="22"/>
          <w:lang w:val="fr-FR"/>
        </w:rPr>
      </w:pPr>
      <w:r w:rsidRPr="002A0C48">
        <w:rPr>
          <w:rFonts w:ascii="Calibri" w:hAnsi="Calibri"/>
          <w:sz w:val="22"/>
          <w:szCs w:val="22"/>
          <w:lang w:val="fr-FR"/>
        </w:rPr>
        <w:t>Source: Annex II; Annex III.</w:t>
      </w:r>
    </w:p>
    <w:p w:rsidR="002A0C48" w:rsidRPr="002A0C48" w:rsidRDefault="002A0C48" w:rsidP="00EE0B43">
      <w:pPr>
        <w:pStyle w:val="NoSpacing"/>
        <w:ind w:left="11"/>
        <w:jc w:val="both"/>
        <w:rPr>
          <w:rFonts w:ascii="Calibri" w:hAnsi="Calibri"/>
          <w:sz w:val="22"/>
          <w:szCs w:val="22"/>
          <w:lang w:val="fr-FR"/>
        </w:rPr>
      </w:pPr>
    </w:p>
    <w:p w:rsidR="00EE0B43" w:rsidRPr="00EE2905" w:rsidRDefault="00EE0B43" w:rsidP="00EE0B43">
      <w:pPr>
        <w:pStyle w:val="NoSpacing"/>
        <w:ind w:left="11"/>
        <w:jc w:val="both"/>
        <w:rPr>
          <w:rFonts w:ascii="Calibri" w:hAnsi="Calibri" w:cs="Calibri"/>
          <w:sz w:val="22"/>
          <w:szCs w:val="22"/>
        </w:rPr>
      </w:pPr>
      <w:r>
        <w:rPr>
          <w:rFonts w:ascii="Calibri" w:hAnsi="Calibri"/>
          <w:sz w:val="22"/>
          <w:szCs w:val="22"/>
        </w:rPr>
        <w:t xml:space="preserve">The expected impact of ACP-EU Water Partnerships </w:t>
      </w:r>
      <w:r w:rsidR="001C53EF">
        <w:rPr>
          <w:rFonts w:ascii="Calibri" w:hAnsi="Calibri"/>
          <w:sz w:val="22"/>
          <w:szCs w:val="22"/>
        </w:rPr>
        <w:t>is significant as it consists in</w:t>
      </w:r>
      <w:r>
        <w:rPr>
          <w:rFonts w:ascii="Calibri" w:hAnsi="Calibri"/>
          <w:sz w:val="22"/>
          <w:szCs w:val="22"/>
        </w:rPr>
        <w:t xml:space="preserve"> millions of people benefitting from capacity development </w:t>
      </w:r>
      <w:r w:rsidR="00201114">
        <w:rPr>
          <w:rFonts w:ascii="Calibri" w:hAnsi="Calibri"/>
          <w:sz w:val="22"/>
          <w:szCs w:val="22"/>
        </w:rPr>
        <w:t>and improvements in key areas for</w:t>
      </w:r>
      <w:r>
        <w:rPr>
          <w:rFonts w:ascii="Calibri" w:hAnsi="Calibri"/>
          <w:sz w:val="22"/>
          <w:szCs w:val="22"/>
        </w:rPr>
        <w:t xml:space="preserve"> </w:t>
      </w:r>
      <w:r w:rsidR="00201114">
        <w:rPr>
          <w:rFonts w:ascii="Calibri" w:hAnsi="Calibri"/>
          <w:sz w:val="22"/>
          <w:szCs w:val="22"/>
        </w:rPr>
        <w:t xml:space="preserve">sustainable </w:t>
      </w:r>
      <w:r>
        <w:rPr>
          <w:rFonts w:ascii="Calibri" w:hAnsi="Calibri"/>
          <w:sz w:val="22"/>
          <w:szCs w:val="22"/>
        </w:rPr>
        <w:t xml:space="preserve">water </w:t>
      </w:r>
      <w:r w:rsidR="00201114">
        <w:rPr>
          <w:rFonts w:ascii="Calibri" w:hAnsi="Calibri"/>
          <w:sz w:val="22"/>
          <w:szCs w:val="22"/>
        </w:rPr>
        <w:t>development</w:t>
      </w:r>
      <w:r>
        <w:rPr>
          <w:rFonts w:ascii="Calibri" w:hAnsi="Calibri" w:cs="Calibri"/>
          <w:sz w:val="22"/>
          <w:szCs w:val="22"/>
        </w:rPr>
        <w:t>. H</w:t>
      </w:r>
      <w:r w:rsidR="009760AB">
        <w:rPr>
          <w:rFonts w:ascii="Calibri" w:hAnsi="Calibri" w:cs="Calibri"/>
          <w:sz w:val="22"/>
          <w:szCs w:val="22"/>
        </w:rPr>
        <w:t>ighlights of the</w:t>
      </w:r>
      <w:r>
        <w:rPr>
          <w:rFonts w:ascii="Calibri" w:hAnsi="Calibri" w:cs="Calibri"/>
          <w:sz w:val="22"/>
          <w:szCs w:val="22"/>
        </w:rPr>
        <w:t xml:space="preserve"> expected impact in water supply include </w:t>
      </w:r>
      <w:r w:rsidR="009760AB">
        <w:rPr>
          <w:rFonts w:ascii="Calibri" w:hAnsi="Calibri" w:cs="Calibri"/>
          <w:sz w:val="22"/>
          <w:szCs w:val="22"/>
        </w:rPr>
        <w:t xml:space="preserve">39.7 million people benefitting from improved efficiency in management, 32.6 million people benefitting from improved system maintenance and operation, and 20.5 million people benefitting from expanded access to the poor. Highlights of the expected impact in sanitation include 12 million people benefitting both from improved efficiency in management and </w:t>
      </w:r>
      <w:r w:rsidR="00EE2905">
        <w:rPr>
          <w:rFonts w:ascii="Calibri" w:hAnsi="Calibri" w:cs="Calibri"/>
          <w:sz w:val="22"/>
          <w:szCs w:val="22"/>
        </w:rPr>
        <w:t>system maintenance, 10.7 million people benefitting from improved access to investment finance, and 9.3</w:t>
      </w:r>
      <w:r w:rsidR="00EE2905" w:rsidRPr="00EE2905">
        <w:rPr>
          <w:rFonts w:ascii="Calibri" w:hAnsi="Calibri" w:cs="Calibri"/>
          <w:sz w:val="22"/>
          <w:szCs w:val="22"/>
        </w:rPr>
        <w:t xml:space="preserve"> </w:t>
      </w:r>
      <w:r w:rsidR="00EE2905">
        <w:rPr>
          <w:rFonts w:ascii="Calibri" w:hAnsi="Calibri" w:cs="Calibri"/>
          <w:sz w:val="22"/>
          <w:szCs w:val="22"/>
        </w:rPr>
        <w:t>million people benefitting from expanded access to the poor. Highlights of the expected impact in water resources include 105.4</w:t>
      </w:r>
      <w:r w:rsidR="00EE2905" w:rsidRPr="00EE2905">
        <w:rPr>
          <w:rFonts w:ascii="Calibri" w:hAnsi="Calibri" w:cs="Calibri"/>
          <w:sz w:val="22"/>
          <w:szCs w:val="22"/>
        </w:rPr>
        <w:t xml:space="preserve"> </w:t>
      </w:r>
      <w:r w:rsidR="00EE2905">
        <w:rPr>
          <w:rFonts w:ascii="Calibri" w:hAnsi="Calibri" w:cs="Calibri"/>
          <w:sz w:val="22"/>
          <w:szCs w:val="22"/>
        </w:rPr>
        <w:t xml:space="preserve">million people benefitting from improved </w:t>
      </w:r>
      <w:r w:rsidR="00EE2905" w:rsidRPr="00611B7F">
        <w:rPr>
          <w:rFonts w:ascii="Calibri" w:hAnsi="Calibri" w:cs="Calibri"/>
          <w:color w:val="000000"/>
          <w:sz w:val="22"/>
          <w:szCs w:val="22"/>
        </w:rPr>
        <w:t>integrated water resources management,</w:t>
      </w:r>
      <w:r w:rsidR="00EE2905" w:rsidRPr="00611B7F">
        <w:rPr>
          <w:rFonts w:ascii="Calibri" w:hAnsi="Calibri" w:cs="Calibri"/>
          <w:sz w:val="22"/>
          <w:szCs w:val="22"/>
        </w:rPr>
        <w:t xml:space="preserve"> 100.9 million people benefitting from improved institutional support, </w:t>
      </w:r>
      <w:r w:rsidR="00EE2905">
        <w:rPr>
          <w:rFonts w:ascii="Calibri" w:hAnsi="Calibri" w:cs="Calibri"/>
          <w:sz w:val="22"/>
          <w:szCs w:val="22"/>
        </w:rPr>
        <w:t xml:space="preserve">and 83.7 </w:t>
      </w:r>
      <w:r w:rsidR="00EE2905" w:rsidRPr="00EE2905">
        <w:rPr>
          <w:rFonts w:ascii="Calibri" w:hAnsi="Calibri" w:cs="Calibri"/>
          <w:sz w:val="22"/>
          <w:szCs w:val="22"/>
        </w:rPr>
        <w:t>million people benefitting from improved</w:t>
      </w:r>
      <w:r w:rsidR="00EE2905">
        <w:rPr>
          <w:rFonts w:ascii="Calibri" w:hAnsi="Calibri" w:cs="Calibri"/>
          <w:sz w:val="22"/>
          <w:szCs w:val="22"/>
        </w:rPr>
        <w:t xml:space="preserve"> assessment of the state of water resources.</w:t>
      </w:r>
      <w:r w:rsidR="00EE2905" w:rsidRPr="00EE2905">
        <w:rPr>
          <w:rFonts w:ascii="Calibri" w:hAnsi="Calibri" w:cs="Calibri"/>
          <w:sz w:val="22"/>
          <w:szCs w:val="22"/>
        </w:rPr>
        <w:t xml:space="preserve">  </w:t>
      </w:r>
      <w:r w:rsidR="009760AB" w:rsidRPr="00EE2905">
        <w:rPr>
          <w:rFonts w:ascii="Calibri" w:hAnsi="Calibri" w:cs="Calibri"/>
          <w:sz w:val="22"/>
          <w:szCs w:val="22"/>
        </w:rPr>
        <w:t xml:space="preserve"> </w:t>
      </w:r>
      <w:r w:rsidRPr="00EE2905">
        <w:rPr>
          <w:rFonts w:ascii="Calibri" w:hAnsi="Calibri" w:cs="Calibri"/>
          <w:sz w:val="22"/>
          <w:szCs w:val="22"/>
        </w:rPr>
        <w:t xml:space="preserve">   </w:t>
      </w:r>
    </w:p>
    <w:p w:rsidR="00F26EB0" w:rsidRDefault="00F26EB0" w:rsidP="00661F91">
      <w:pPr>
        <w:pStyle w:val="NoSpacing"/>
        <w:ind w:left="11"/>
        <w:jc w:val="both"/>
        <w:rPr>
          <w:rFonts w:ascii="Calibri" w:hAnsi="Calibri" w:cs="Calibri"/>
          <w:sz w:val="22"/>
          <w:szCs w:val="22"/>
        </w:rPr>
      </w:pPr>
    </w:p>
    <w:p w:rsidR="00F26EB0" w:rsidRDefault="00EE2905" w:rsidP="00EE2905">
      <w:pPr>
        <w:pStyle w:val="Heading1"/>
      </w:pPr>
      <w:bookmarkStart w:id="17" w:name="_Toc331783568"/>
      <w:r>
        <w:t>ACP-EU Water Partnerships: Fostering the impact of action</w:t>
      </w:r>
      <w:bookmarkEnd w:id="17"/>
    </w:p>
    <w:p w:rsidR="00B2231F" w:rsidRDefault="008C0E0A" w:rsidP="00A40766">
      <w:pPr>
        <w:pStyle w:val="NoSpacing"/>
        <w:ind w:left="11"/>
        <w:jc w:val="both"/>
        <w:rPr>
          <w:rFonts w:ascii="Calibri" w:hAnsi="Calibri" w:cs="Calibri"/>
          <w:sz w:val="22"/>
          <w:szCs w:val="22"/>
        </w:rPr>
      </w:pPr>
      <w:r>
        <w:rPr>
          <w:rFonts w:ascii="Calibri" w:hAnsi="Calibri" w:cs="Calibri"/>
          <w:sz w:val="22"/>
          <w:szCs w:val="22"/>
        </w:rPr>
        <w:t xml:space="preserve">The realisation of expected results depends on the alignment of the institutional characteristics of successful applications to the achievement of a critical mass of capacity in the targeted impact areas. </w:t>
      </w:r>
      <w:r w:rsidR="00876C2A">
        <w:rPr>
          <w:rFonts w:ascii="Calibri" w:hAnsi="Calibri" w:cs="Calibri"/>
          <w:sz w:val="22"/>
          <w:szCs w:val="22"/>
        </w:rPr>
        <w:t xml:space="preserve">The actions </w:t>
      </w:r>
      <w:r w:rsidR="009401B4">
        <w:rPr>
          <w:rFonts w:ascii="Calibri" w:hAnsi="Calibri" w:cs="Calibri"/>
          <w:sz w:val="22"/>
          <w:szCs w:val="22"/>
        </w:rPr>
        <w:t xml:space="preserve">proposed by successful applications </w:t>
      </w:r>
      <w:r w:rsidR="00876C2A">
        <w:rPr>
          <w:rFonts w:ascii="Calibri" w:hAnsi="Calibri" w:cs="Calibri"/>
          <w:sz w:val="22"/>
          <w:szCs w:val="22"/>
        </w:rPr>
        <w:t>encompass a combination</w:t>
      </w:r>
      <w:r w:rsidR="00AF103D">
        <w:rPr>
          <w:rFonts w:ascii="Calibri" w:hAnsi="Calibri" w:cs="Calibri"/>
          <w:sz w:val="22"/>
          <w:szCs w:val="22"/>
        </w:rPr>
        <w:t xml:space="preserve"> </w:t>
      </w:r>
      <w:r w:rsidR="00876C2A">
        <w:rPr>
          <w:rFonts w:ascii="Calibri" w:hAnsi="Calibri" w:cs="Calibri"/>
          <w:sz w:val="22"/>
          <w:szCs w:val="22"/>
        </w:rPr>
        <w:t xml:space="preserve">of </w:t>
      </w:r>
      <w:r w:rsidR="008551F0">
        <w:rPr>
          <w:rFonts w:ascii="Calibri" w:hAnsi="Calibri" w:cs="Calibri"/>
          <w:sz w:val="22"/>
          <w:szCs w:val="22"/>
        </w:rPr>
        <w:t xml:space="preserve">classical training activities (e.g. seminars, </w:t>
      </w:r>
      <w:r w:rsidR="008551F0" w:rsidRPr="00CA12F8">
        <w:rPr>
          <w:rFonts w:ascii="Calibri" w:hAnsi="Calibri" w:cs="Calibri"/>
          <w:sz w:val="22"/>
          <w:szCs w:val="22"/>
        </w:rPr>
        <w:t>trainee/internships</w:t>
      </w:r>
      <w:r w:rsidR="008551F0">
        <w:rPr>
          <w:rFonts w:ascii="Calibri" w:hAnsi="Calibri" w:cs="Calibri"/>
          <w:sz w:val="22"/>
          <w:szCs w:val="22"/>
        </w:rPr>
        <w:t xml:space="preserve"> and technical visits) and more intensive and specialised training courses (e.g. workshops). </w:t>
      </w:r>
      <w:r w:rsidR="009401B4">
        <w:rPr>
          <w:rFonts w:ascii="Calibri" w:hAnsi="Calibri" w:cs="Calibri"/>
          <w:sz w:val="22"/>
          <w:szCs w:val="22"/>
        </w:rPr>
        <w:t xml:space="preserve">These actions are designed to </w:t>
      </w:r>
      <w:r w:rsidR="005C3030">
        <w:rPr>
          <w:rFonts w:ascii="Calibri" w:hAnsi="Calibri"/>
          <w:sz w:val="22"/>
          <w:szCs w:val="22"/>
        </w:rPr>
        <w:t>promote sustainable water development</w:t>
      </w:r>
      <w:r w:rsidR="009401B4">
        <w:rPr>
          <w:rFonts w:ascii="Calibri" w:hAnsi="Calibri" w:cs="Calibri"/>
          <w:sz w:val="22"/>
          <w:szCs w:val="22"/>
        </w:rPr>
        <w:t>.</w:t>
      </w:r>
      <w:r w:rsidR="0095268E">
        <w:rPr>
          <w:rFonts w:ascii="Calibri" w:hAnsi="Calibri" w:cs="Calibri"/>
          <w:sz w:val="22"/>
          <w:szCs w:val="22"/>
        </w:rPr>
        <w:t xml:space="preserve"> More precisely, the </w:t>
      </w:r>
      <w:r w:rsidR="0095268E">
        <w:rPr>
          <w:rFonts w:ascii="Calibri" w:hAnsi="Calibri" w:cs="Calibri"/>
          <w:sz w:val="22"/>
          <w:szCs w:val="22"/>
        </w:rPr>
        <w:lastRenderedPageBreak/>
        <w:t>proposed actions aim at producing a</w:t>
      </w:r>
      <w:r w:rsidR="004D0EFE">
        <w:rPr>
          <w:rFonts w:ascii="Calibri" w:hAnsi="Calibri" w:cs="Calibri"/>
          <w:sz w:val="22"/>
          <w:szCs w:val="22"/>
        </w:rPr>
        <w:t xml:space="preserve"> long term</w:t>
      </w:r>
      <w:r w:rsidR="0095268E">
        <w:rPr>
          <w:rFonts w:ascii="Calibri" w:hAnsi="Calibri" w:cs="Calibri"/>
          <w:sz w:val="22"/>
          <w:szCs w:val="22"/>
        </w:rPr>
        <w:t xml:space="preserve"> tangible impact, and at replicating and scaling-up their approach to capacity development.</w:t>
      </w:r>
      <w:r w:rsidR="0095268E" w:rsidRPr="0095268E">
        <w:rPr>
          <w:rFonts w:ascii="Calibri" w:hAnsi="Calibri" w:cs="Calibri"/>
          <w:sz w:val="22"/>
          <w:szCs w:val="22"/>
        </w:rPr>
        <w:t xml:space="preserve"> </w:t>
      </w:r>
      <w:r w:rsidR="0095268E">
        <w:rPr>
          <w:rFonts w:ascii="Calibri" w:hAnsi="Calibri" w:cs="Calibri"/>
          <w:sz w:val="22"/>
          <w:szCs w:val="22"/>
        </w:rPr>
        <w:t xml:space="preserve">In addition, </w:t>
      </w:r>
      <w:r w:rsidR="0095268E">
        <w:rPr>
          <w:rFonts w:ascii="Calibri" w:hAnsi="Calibri"/>
          <w:sz w:val="22"/>
          <w:szCs w:val="22"/>
        </w:rPr>
        <w:t xml:space="preserve">ACP-EU Water Partnerships </w:t>
      </w:r>
      <w:r w:rsidR="0095268E">
        <w:rPr>
          <w:rFonts w:ascii="Calibri" w:hAnsi="Calibri" w:cs="Calibri"/>
          <w:sz w:val="22"/>
          <w:szCs w:val="22"/>
        </w:rPr>
        <w:t xml:space="preserve">are designed to lock-in </w:t>
      </w:r>
      <w:r w:rsidR="00F8160B">
        <w:rPr>
          <w:rFonts w:ascii="Calibri" w:hAnsi="Calibri" w:cs="Calibri"/>
          <w:sz w:val="22"/>
          <w:szCs w:val="22"/>
        </w:rPr>
        <w:t>the expect</w:t>
      </w:r>
      <w:r w:rsidR="00E541EA">
        <w:rPr>
          <w:rFonts w:ascii="Calibri" w:hAnsi="Calibri" w:cs="Calibri"/>
          <w:sz w:val="22"/>
          <w:szCs w:val="22"/>
        </w:rPr>
        <w:t>ed</w:t>
      </w:r>
      <w:r w:rsidR="00F8160B">
        <w:rPr>
          <w:rFonts w:ascii="Calibri" w:hAnsi="Calibri" w:cs="Calibri"/>
          <w:sz w:val="22"/>
          <w:szCs w:val="22"/>
        </w:rPr>
        <w:t xml:space="preserve"> impact of proposed actions by means of robust monitoring and evaluation </w:t>
      </w:r>
      <w:r w:rsidR="00E541EA">
        <w:rPr>
          <w:rFonts w:ascii="Calibri" w:hAnsi="Calibri" w:cs="Calibri"/>
          <w:sz w:val="22"/>
          <w:szCs w:val="22"/>
        </w:rPr>
        <w:t>procedures</w:t>
      </w:r>
      <w:r w:rsidR="00F8160B">
        <w:rPr>
          <w:rFonts w:ascii="Calibri" w:hAnsi="Calibri" w:cs="Calibri"/>
          <w:sz w:val="22"/>
          <w:szCs w:val="22"/>
        </w:rPr>
        <w:t>.</w:t>
      </w:r>
      <w:r>
        <w:rPr>
          <w:rFonts w:ascii="Calibri" w:hAnsi="Calibri" w:cs="Calibri"/>
          <w:sz w:val="22"/>
          <w:szCs w:val="22"/>
        </w:rPr>
        <w:t xml:space="preserve"> This is what emerges from the analysis of the 32 project summaries contained in Annex </w:t>
      </w:r>
      <w:r w:rsidR="00311AC3">
        <w:rPr>
          <w:rFonts w:ascii="Calibri" w:hAnsi="Calibri" w:cs="Calibri"/>
          <w:sz w:val="22"/>
          <w:szCs w:val="22"/>
        </w:rPr>
        <w:t xml:space="preserve">III. In order to assess the prominence of institutional characteristics that are expected to contribute to the developmental impact of ACP-EU Water Partnerships, we aggregate data on the approaches adopted by the 32 partnership projects to: a) produce a tangible impact; b) produce mandatory results; c) ensure that mandatory results are maintained as permanent assets of the beneficiary partners; d) produce a multiplier effect; and, e) </w:t>
      </w:r>
      <w:r w:rsidR="00F96DEA">
        <w:rPr>
          <w:rFonts w:ascii="Calibri" w:hAnsi="Calibri" w:cs="Calibri"/>
          <w:sz w:val="22"/>
          <w:szCs w:val="22"/>
        </w:rPr>
        <w:t xml:space="preserve">internally and externally monitor and evaluate project implementation. The tables aggregating this data are contained in Annex IV. </w:t>
      </w:r>
      <w:r w:rsidR="00311AC3">
        <w:rPr>
          <w:rFonts w:ascii="Calibri" w:hAnsi="Calibri" w:cs="Calibri"/>
          <w:sz w:val="22"/>
          <w:szCs w:val="22"/>
        </w:rPr>
        <w:t xml:space="preserve"> </w:t>
      </w:r>
    </w:p>
    <w:p w:rsidR="00B15061" w:rsidRDefault="00B15061" w:rsidP="00311AC3">
      <w:pPr>
        <w:pStyle w:val="NoSpacing"/>
        <w:jc w:val="both"/>
        <w:rPr>
          <w:rFonts w:ascii="Calibri" w:hAnsi="Calibri" w:cs="Calibri"/>
          <w:sz w:val="22"/>
          <w:szCs w:val="22"/>
        </w:rPr>
      </w:pPr>
    </w:p>
    <w:p w:rsidR="00955C91" w:rsidRPr="00B85CCB" w:rsidRDefault="00B15061" w:rsidP="00955C91">
      <w:pPr>
        <w:pStyle w:val="NoSpacing"/>
        <w:jc w:val="both"/>
        <w:rPr>
          <w:rFonts w:ascii="Calibri" w:hAnsi="Calibri" w:cs="Calibri"/>
          <w:sz w:val="22"/>
          <w:szCs w:val="22"/>
        </w:rPr>
      </w:pPr>
      <w:r>
        <w:rPr>
          <w:rFonts w:ascii="Calibri" w:hAnsi="Calibri" w:cs="Calibri"/>
          <w:sz w:val="22"/>
          <w:szCs w:val="22"/>
        </w:rPr>
        <w:t xml:space="preserve">Table 1, Annex IV lists the approaches adopted by the 32 project </w:t>
      </w:r>
      <w:r w:rsidR="00882B84">
        <w:rPr>
          <w:rFonts w:ascii="Calibri" w:hAnsi="Calibri" w:cs="Calibri"/>
          <w:sz w:val="22"/>
          <w:szCs w:val="22"/>
        </w:rPr>
        <w:t>partnership</w:t>
      </w:r>
      <w:r>
        <w:rPr>
          <w:rFonts w:ascii="Calibri" w:hAnsi="Calibri" w:cs="Calibri"/>
          <w:sz w:val="22"/>
          <w:szCs w:val="22"/>
        </w:rPr>
        <w:t xml:space="preserve">s – beyond the combination of classical training activities and other capacity development methodologies - to strengthen and amplify the produced tangible impact. </w:t>
      </w:r>
      <w:r w:rsidR="00B85CCB">
        <w:rPr>
          <w:rFonts w:ascii="Calibri" w:hAnsi="Calibri" w:cs="Calibri"/>
          <w:sz w:val="22"/>
          <w:szCs w:val="22"/>
        </w:rPr>
        <w:t xml:space="preserve">All the 32 partnership projects </w:t>
      </w:r>
      <w:r w:rsidR="00891608" w:rsidRPr="0045006B">
        <w:rPr>
          <w:rFonts w:ascii="Calibri" w:hAnsi="Calibri" w:cs="Arial"/>
          <w:sz w:val="22"/>
          <w:szCs w:val="22"/>
          <w:lang w:val="en-US"/>
        </w:rPr>
        <w:t>contribute to developing or implementing national water and sanitation strategies and programs</w:t>
      </w:r>
      <w:r w:rsidR="00891608">
        <w:rPr>
          <w:rFonts w:ascii="Calibri" w:hAnsi="Calibri" w:cs="Arial"/>
          <w:sz w:val="22"/>
          <w:szCs w:val="22"/>
          <w:lang w:val="en-US"/>
        </w:rPr>
        <w:t xml:space="preserve"> to ensure relevance to </w:t>
      </w:r>
      <w:r w:rsidR="00891608" w:rsidRPr="00CA12F8">
        <w:rPr>
          <w:rFonts w:ascii="Calibri" w:hAnsi="Calibri" w:cs="Calibri"/>
          <w:sz w:val="22"/>
          <w:szCs w:val="22"/>
        </w:rPr>
        <w:t>the particular needs and constraints of the water and sanitation sector in the country</w:t>
      </w:r>
      <w:r w:rsidR="00891608">
        <w:rPr>
          <w:rFonts w:ascii="Calibri" w:hAnsi="Calibri" w:cs="Calibri"/>
          <w:sz w:val="22"/>
          <w:szCs w:val="22"/>
        </w:rPr>
        <w:t xml:space="preserve"> of the beneficiary partners.</w:t>
      </w:r>
      <w:r w:rsidR="00E928DF">
        <w:rPr>
          <w:rFonts w:ascii="Calibri" w:hAnsi="Calibri" w:cs="Calibri"/>
          <w:sz w:val="22"/>
          <w:szCs w:val="22"/>
        </w:rPr>
        <w:t xml:space="preserve"> 23 out of 32</w:t>
      </w:r>
      <w:r w:rsidR="00AE7FF3">
        <w:rPr>
          <w:rFonts w:ascii="Calibri" w:hAnsi="Calibri" w:cs="Calibri"/>
          <w:sz w:val="22"/>
          <w:szCs w:val="22"/>
        </w:rPr>
        <w:t xml:space="preserve"> </w:t>
      </w:r>
      <w:r w:rsidR="00891608">
        <w:rPr>
          <w:rFonts w:ascii="Calibri" w:hAnsi="Calibri" w:cs="Calibri"/>
          <w:sz w:val="22"/>
          <w:szCs w:val="22"/>
        </w:rPr>
        <w:t>project</w:t>
      </w:r>
      <w:r w:rsidR="00AE7FF3">
        <w:rPr>
          <w:rFonts w:ascii="Calibri" w:hAnsi="Calibri" w:cs="Calibri"/>
          <w:sz w:val="22"/>
          <w:szCs w:val="22"/>
        </w:rPr>
        <w:t xml:space="preserve">s have potential for creating </w:t>
      </w:r>
      <w:r w:rsidR="00AE7FF3" w:rsidRPr="008C4389">
        <w:rPr>
          <w:rFonts w:ascii="Calibri" w:hAnsi="Calibri" w:cs="Calibri"/>
          <w:sz w:val="22"/>
          <w:szCs w:val="22"/>
          <w:lang w:val="en-US"/>
        </w:rPr>
        <w:t>synergies with other capacity development initiatives</w:t>
      </w:r>
      <w:r w:rsidR="00AE7FF3">
        <w:rPr>
          <w:rFonts w:ascii="Calibri" w:hAnsi="Calibri" w:cs="Calibri"/>
          <w:sz w:val="22"/>
          <w:szCs w:val="22"/>
          <w:lang w:val="en-US"/>
        </w:rPr>
        <w:t>, so as to strengthen their tangible impact.</w:t>
      </w:r>
      <w:r w:rsidR="00AE7FF3">
        <w:rPr>
          <w:rFonts w:ascii="Calibri" w:hAnsi="Calibri" w:cs="Calibri"/>
          <w:sz w:val="22"/>
          <w:szCs w:val="22"/>
        </w:rPr>
        <w:t xml:space="preserve"> </w:t>
      </w:r>
      <w:r w:rsidR="00E928DF">
        <w:rPr>
          <w:rFonts w:ascii="Calibri" w:hAnsi="Calibri" w:cs="Calibri"/>
          <w:sz w:val="22"/>
          <w:szCs w:val="22"/>
        </w:rPr>
        <w:t>28 out of 32</w:t>
      </w:r>
      <w:r w:rsidR="00B2231F">
        <w:rPr>
          <w:rFonts w:ascii="Calibri" w:hAnsi="Calibri" w:cs="Calibri"/>
          <w:sz w:val="22"/>
          <w:szCs w:val="22"/>
        </w:rPr>
        <w:t xml:space="preserve"> projects envisage the joint conduction of </w:t>
      </w:r>
      <w:r w:rsidR="00891608">
        <w:rPr>
          <w:rFonts w:ascii="Calibri" w:hAnsi="Calibri" w:cs="Calibri"/>
          <w:sz w:val="22"/>
          <w:szCs w:val="22"/>
        </w:rPr>
        <w:t>concrete activities (such as the</w:t>
      </w:r>
      <w:r w:rsidR="00B2231F">
        <w:rPr>
          <w:rFonts w:ascii="Calibri" w:hAnsi="Calibri" w:cs="Calibri"/>
          <w:sz w:val="22"/>
          <w:szCs w:val="22"/>
        </w:rPr>
        <w:t xml:space="preserve"> development of joint studies, manuals or methodologies) by the implementing and beneficiary partners.</w:t>
      </w:r>
      <w:r w:rsidR="00E93132" w:rsidRPr="00E93132">
        <w:rPr>
          <w:rFonts w:ascii="Calibri" w:hAnsi="Calibri" w:cs="Calibri"/>
          <w:sz w:val="22"/>
          <w:szCs w:val="22"/>
        </w:rPr>
        <w:t xml:space="preserve"> </w:t>
      </w:r>
      <w:r w:rsidR="00E93132">
        <w:rPr>
          <w:rFonts w:ascii="Calibri" w:hAnsi="Calibri" w:cs="Calibri"/>
          <w:sz w:val="22"/>
          <w:szCs w:val="22"/>
        </w:rPr>
        <w:t xml:space="preserve">The joint </w:t>
      </w:r>
      <w:r w:rsidR="00EC71BD">
        <w:rPr>
          <w:rFonts w:ascii="Calibri" w:hAnsi="Calibri" w:cs="Calibri"/>
          <w:sz w:val="22"/>
          <w:szCs w:val="22"/>
        </w:rPr>
        <w:t>production of artefacts or systems</w:t>
      </w:r>
      <w:r w:rsidR="00E93132">
        <w:rPr>
          <w:rFonts w:ascii="Calibri" w:hAnsi="Calibri" w:cs="Calibri"/>
          <w:sz w:val="22"/>
          <w:szCs w:val="22"/>
        </w:rPr>
        <w:t xml:space="preserve"> contribute</w:t>
      </w:r>
      <w:r w:rsidR="004D0EFE">
        <w:rPr>
          <w:rFonts w:ascii="Calibri" w:hAnsi="Calibri" w:cs="Calibri"/>
          <w:sz w:val="22"/>
          <w:szCs w:val="22"/>
        </w:rPr>
        <w:t>s</w:t>
      </w:r>
      <w:r w:rsidR="00E93132">
        <w:rPr>
          <w:rFonts w:ascii="Calibri" w:hAnsi="Calibri" w:cs="Calibri"/>
          <w:sz w:val="22"/>
          <w:szCs w:val="22"/>
        </w:rPr>
        <w:t xml:space="preserve"> to strengthening the relevance of project results to </w:t>
      </w:r>
      <w:r w:rsidR="00E93132" w:rsidRPr="00B94D15">
        <w:rPr>
          <w:rFonts w:ascii="Calibri" w:hAnsi="Calibri" w:cs="Calibri"/>
          <w:sz w:val="22"/>
          <w:szCs w:val="22"/>
        </w:rPr>
        <w:t>the n</w:t>
      </w:r>
      <w:r w:rsidR="004D0EFE">
        <w:rPr>
          <w:rFonts w:ascii="Calibri" w:hAnsi="Calibri" w:cs="Calibri"/>
          <w:sz w:val="22"/>
          <w:szCs w:val="22"/>
        </w:rPr>
        <w:t>eeds of the beneficiary partners</w:t>
      </w:r>
      <w:r w:rsidR="00E93132" w:rsidRPr="00B94D15">
        <w:rPr>
          <w:rFonts w:ascii="Calibri" w:hAnsi="Calibri" w:cs="Calibri"/>
          <w:sz w:val="22"/>
          <w:szCs w:val="22"/>
        </w:rPr>
        <w:t>.</w:t>
      </w:r>
      <w:r w:rsidR="004D0EFE">
        <w:rPr>
          <w:rFonts w:ascii="Calibri" w:hAnsi="Calibri" w:cs="Calibri"/>
          <w:sz w:val="22"/>
          <w:szCs w:val="22"/>
        </w:rPr>
        <w:t xml:space="preserve"> In turn, </w:t>
      </w:r>
      <w:r w:rsidR="007D2E77">
        <w:rPr>
          <w:rFonts w:ascii="Calibri" w:hAnsi="Calibri" w:cs="Calibri"/>
          <w:sz w:val="22"/>
          <w:szCs w:val="22"/>
        </w:rPr>
        <w:t>the relevance of project results</w:t>
      </w:r>
      <w:r w:rsidR="004D0EFE">
        <w:rPr>
          <w:rFonts w:ascii="Calibri" w:hAnsi="Calibri" w:cs="Calibri"/>
          <w:sz w:val="22"/>
          <w:szCs w:val="22"/>
        </w:rPr>
        <w:t xml:space="preserve"> </w:t>
      </w:r>
      <w:r w:rsidR="007D2E77">
        <w:rPr>
          <w:rFonts w:ascii="Calibri" w:hAnsi="Calibri" w:cs="Calibri"/>
          <w:sz w:val="22"/>
          <w:szCs w:val="22"/>
        </w:rPr>
        <w:t>contributes</w:t>
      </w:r>
      <w:r w:rsidR="00E93132" w:rsidRPr="00B94D15">
        <w:rPr>
          <w:rFonts w:ascii="Calibri" w:hAnsi="Calibri" w:cs="Calibri"/>
          <w:sz w:val="22"/>
          <w:szCs w:val="22"/>
        </w:rPr>
        <w:t xml:space="preserve"> </w:t>
      </w:r>
      <w:r w:rsidR="007D2E77">
        <w:rPr>
          <w:rFonts w:ascii="Calibri" w:hAnsi="Calibri" w:cs="Calibri"/>
          <w:sz w:val="22"/>
          <w:szCs w:val="22"/>
        </w:rPr>
        <w:t>to</w:t>
      </w:r>
      <w:r w:rsidR="00E93132">
        <w:rPr>
          <w:rFonts w:ascii="Calibri" w:hAnsi="Calibri" w:cs="Calibri"/>
          <w:sz w:val="22"/>
          <w:szCs w:val="22"/>
        </w:rPr>
        <w:t xml:space="preserve"> the beneficiary partners’ sense of ownership </w:t>
      </w:r>
      <w:r w:rsidR="007D2E77">
        <w:rPr>
          <w:rFonts w:ascii="Calibri" w:hAnsi="Calibri" w:cs="Calibri"/>
          <w:sz w:val="22"/>
          <w:szCs w:val="22"/>
        </w:rPr>
        <w:t xml:space="preserve">of the acquired knowledge and introduced changes. </w:t>
      </w:r>
      <w:r w:rsidR="00955C91">
        <w:rPr>
          <w:rFonts w:ascii="Calibri" w:hAnsi="Calibri" w:cs="Calibri"/>
          <w:sz w:val="22"/>
          <w:szCs w:val="22"/>
        </w:rPr>
        <w:t>Other approaches to strengthening relevance and</w:t>
      </w:r>
      <w:r w:rsidR="00955C91" w:rsidRPr="00955C91">
        <w:rPr>
          <w:rFonts w:ascii="Calibri" w:hAnsi="Calibri" w:cs="Calibri"/>
          <w:sz w:val="22"/>
          <w:szCs w:val="22"/>
        </w:rPr>
        <w:t xml:space="preserve"> </w:t>
      </w:r>
      <w:r w:rsidR="00955C91">
        <w:rPr>
          <w:rFonts w:ascii="Calibri" w:hAnsi="Calibri" w:cs="Calibri"/>
          <w:sz w:val="22"/>
          <w:szCs w:val="22"/>
        </w:rPr>
        <w:t xml:space="preserve">sense of ownership include the transfer </w:t>
      </w:r>
      <w:r w:rsidR="00955C91">
        <w:rPr>
          <w:rFonts w:ascii="Calibri" w:hAnsi="Calibri"/>
          <w:sz w:val="22"/>
          <w:szCs w:val="22"/>
        </w:rPr>
        <w:t>of accessible and user-friendly technology, so as to prevent dependence on international consultants for its application</w:t>
      </w:r>
      <w:r w:rsidR="00E928DF">
        <w:rPr>
          <w:rFonts w:ascii="Calibri" w:hAnsi="Calibri"/>
          <w:sz w:val="22"/>
          <w:szCs w:val="22"/>
        </w:rPr>
        <w:t>. The l</w:t>
      </w:r>
      <w:r w:rsidR="005A15B2">
        <w:rPr>
          <w:rFonts w:ascii="Calibri" w:hAnsi="Calibri"/>
          <w:sz w:val="22"/>
          <w:szCs w:val="22"/>
        </w:rPr>
        <w:t>atter approach is envisaged by six</w:t>
      </w:r>
      <w:r w:rsidR="00E928DF">
        <w:rPr>
          <w:rFonts w:ascii="Calibri" w:hAnsi="Calibri"/>
          <w:sz w:val="22"/>
          <w:szCs w:val="22"/>
        </w:rPr>
        <w:t xml:space="preserve"> out of 32 projects.</w:t>
      </w:r>
      <w:r w:rsidR="00955C91">
        <w:rPr>
          <w:rFonts w:ascii="Calibri" w:hAnsi="Calibri"/>
          <w:sz w:val="22"/>
          <w:szCs w:val="22"/>
        </w:rPr>
        <w:t xml:space="preserve"> </w:t>
      </w:r>
      <w:r w:rsidR="00E87802">
        <w:rPr>
          <w:rFonts w:ascii="Calibri" w:hAnsi="Calibri"/>
          <w:sz w:val="22"/>
          <w:szCs w:val="22"/>
        </w:rPr>
        <w:t>T</w:t>
      </w:r>
      <w:r w:rsidR="00E928DF">
        <w:rPr>
          <w:rFonts w:ascii="Calibri" w:hAnsi="Calibri"/>
          <w:sz w:val="22"/>
          <w:szCs w:val="22"/>
        </w:rPr>
        <w:t xml:space="preserve">o </w:t>
      </w:r>
      <w:r w:rsidR="00E87802">
        <w:rPr>
          <w:rFonts w:ascii="Calibri" w:hAnsi="Calibri"/>
          <w:sz w:val="22"/>
          <w:szCs w:val="22"/>
        </w:rPr>
        <w:t xml:space="preserve">enhance impact, </w:t>
      </w:r>
      <w:r w:rsidR="005A15B2">
        <w:rPr>
          <w:rFonts w:ascii="Calibri" w:hAnsi="Calibri"/>
          <w:sz w:val="22"/>
          <w:szCs w:val="22"/>
        </w:rPr>
        <w:t>ten</w:t>
      </w:r>
      <w:r w:rsidR="00E928DF">
        <w:rPr>
          <w:rFonts w:ascii="Calibri" w:hAnsi="Calibri"/>
          <w:sz w:val="22"/>
          <w:szCs w:val="22"/>
        </w:rPr>
        <w:t xml:space="preserve"> out of 32 projects foresee the establishment of </w:t>
      </w:r>
      <w:r w:rsidR="00E87802">
        <w:rPr>
          <w:rFonts w:ascii="Calibri" w:hAnsi="Calibri"/>
          <w:sz w:val="22"/>
          <w:szCs w:val="22"/>
        </w:rPr>
        <w:t xml:space="preserve">knowledge-sharing and/or stakeholder coordination </w:t>
      </w:r>
      <w:r w:rsidR="00E928DF">
        <w:rPr>
          <w:rFonts w:ascii="Calibri" w:hAnsi="Calibri"/>
          <w:sz w:val="22"/>
          <w:szCs w:val="22"/>
        </w:rPr>
        <w:t>platforms. Finally</w:t>
      </w:r>
      <w:r w:rsidR="00E87802">
        <w:rPr>
          <w:rFonts w:ascii="Calibri" w:hAnsi="Calibri"/>
          <w:sz w:val="22"/>
          <w:szCs w:val="22"/>
        </w:rPr>
        <w:t>, it should be noted that</w:t>
      </w:r>
      <w:r w:rsidR="005A15B2">
        <w:rPr>
          <w:rFonts w:ascii="Calibri" w:hAnsi="Calibri"/>
          <w:sz w:val="22"/>
          <w:szCs w:val="22"/>
        </w:rPr>
        <w:t xml:space="preserve"> </w:t>
      </w:r>
      <w:r w:rsidR="0007530C">
        <w:rPr>
          <w:rFonts w:ascii="Calibri" w:hAnsi="Calibri"/>
          <w:sz w:val="22"/>
          <w:szCs w:val="22"/>
        </w:rPr>
        <w:t>16</w:t>
      </w:r>
      <w:r w:rsidR="005A15B2">
        <w:rPr>
          <w:rFonts w:ascii="Calibri" w:hAnsi="Calibri"/>
          <w:sz w:val="22"/>
          <w:szCs w:val="22"/>
        </w:rPr>
        <w:t xml:space="preserve"> out of 32 projects adopt </w:t>
      </w:r>
      <w:r w:rsidR="0007530C">
        <w:rPr>
          <w:rFonts w:ascii="Calibri" w:hAnsi="Calibri"/>
          <w:sz w:val="22"/>
          <w:szCs w:val="22"/>
        </w:rPr>
        <w:t>no less than four</w:t>
      </w:r>
      <w:r w:rsidR="005A15B2">
        <w:rPr>
          <w:rFonts w:ascii="Calibri" w:hAnsi="Calibri"/>
          <w:sz w:val="22"/>
          <w:szCs w:val="22"/>
        </w:rPr>
        <w:t xml:space="preserve"> diverse approaches ea</w:t>
      </w:r>
      <w:r w:rsidR="0007530C">
        <w:rPr>
          <w:rFonts w:ascii="Calibri" w:hAnsi="Calibri"/>
          <w:sz w:val="22"/>
          <w:szCs w:val="22"/>
        </w:rPr>
        <w:t>ch to fostering tangible impact</w:t>
      </w:r>
      <w:r w:rsidR="005A15B2">
        <w:rPr>
          <w:rFonts w:ascii="Calibri" w:hAnsi="Calibri"/>
          <w:sz w:val="22"/>
          <w:szCs w:val="22"/>
        </w:rPr>
        <w:t>.</w:t>
      </w:r>
      <w:r w:rsidR="00A40766">
        <w:rPr>
          <w:rFonts w:ascii="Calibri" w:hAnsi="Calibri"/>
          <w:sz w:val="22"/>
          <w:szCs w:val="22"/>
        </w:rPr>
        <w:t xml:space="preserve"> </w:t>
      </w:r>
      <w:r w:rsidR="00E87802">
        <w:rPr>
          <w:rFonts w:ascii="Calibri" w:hAnsi="Calibri"/>
          <w:sz w:val="22"/>
          <w:szCs w:val="22"/>
        </w:rPr>
        <w:t xml:space="preserve"> </w:t>
      </w:r>
    </w:p>
    <w:p w:rsidR="00E93132" w:rsidRDefault="00955C91" w:rsidP="00B2231F">
      <w:pPr>
        <w:pStyle w:val="NoSpacing"/>
        <w:ind w:left="11"/>
        <w:jc w:val="both"/>
        <w:rPr>
          <w:rFonts w:ascii="Calibri" w:hAnsi="Calibri" w:cs="Calibri"/>
          <w:sz w:val="22"/>
          <w:szCs w:val="22"/>
        </w:rPr>
      </w:pPr>
      <w:r>
        <w:rPr>
          <w:rFonts w:ascii="Calibri" w:hAnsi="Calibri" w:cs="Calibri"/>
          <w:sz w:val="22"/>
          <w:szCs w:val="22"/>
        </w:rPr>
        <w:t xml:space="preserve"> </w:t>
      </w:r>
      <w:r w:rsidR="007D2E77">
        <w:rPr>
          <w:rFonts w:ascii="Calibri" w:hAnsi="Calibri" w:cs="Calibri"/>
          <w:sz w:val="22"/>
          <w:szCs w:val="22"/>
        </w:rPr>
        <w:t xml:space="preserve"> </w:t>
      </w:r>
      <w:r w:rsidR="00E93132">
        <w:rPr>
          <w:rFonts w:ascii="Calibri" w:hAnsi="Calibri" w:cs="Calibri"/>
          <w:sz w:val="22"/>
          <w:szCs w:val="22"/>
        </w:rPr>
        <w:t xml:space="preserve">  </w:t>
      </w:r>
    </w:p>
    <w:p w:rsidR="005524AE" w:rsidRPr="005524AE" w:rsidRDefault="00791031" w:rsidP="0039265C">
      <w:pPr>
        <w:pStyle w:val="NoSpacing"/>
        <w:ind w:left="11"/>
        <w:jc w:val="both"/>
        <w:rPr>
          <w:rFonts w:ascii="Calibri" w:hAnsi="Calibri"/>
          <w:sz w:val="22"/>
          <w:szCs w:val="22"/>
        </w:rPr>
      </w:pPr>
      <w:r>
        <w:rPr>
          <w:rFonts w:ascii="Calibri" w:hAnsi="Calibri" w:cs="Calibri"/>
          <w:sz w:val="22"/>
          <w:szCs w:val="22"/>
        </w:rPr>
        <w:t xml:space="preserve">Table 2, Annex IV lists the approaches adopted by the 32 project </w:t>
      </w:r>
      <w:r w:rsidR="00882B84">
        <w:rPr>
          <w:rFonts w:ascii="Calibri" w:hAnsi="Calibri" w:cs="Calibri"/>
          <w:sz w:val="22"/>
          <w:szCs w:val="22"/>
        </w:rPr>
        <w:t>partnerships</w:t>
      </w:r>
      <w:r>
        <w:rPr>
          <w:rFonts w:ascii="Calibri" w:hAnsi="Calibri" w:cs="Calibri"/>
          <w:sz w:val="22"/>
          <w:szCs w:val="22"/>
        </w:rPr>
        <w:t xml:space="preserve"> to ensure</w:t>
      </w:r>
      <w:r w:rsidR="0001666A">
        <w:rPr>
          <w:rFonts w:ascii="Calibri" w:hAnsi="Calibri" w:cs="Calibri"/>
          <w:sz w:val="22"/>
          <w:szCs w:val="22"/>
        </w:rPr>
        <w:t xml:space="preserve"> that </w:t>
      </w:r>
      <w:r w:rsidR="00074975" w:rsidRPr="00074975">
        <w:rPr>
          <w:rFonts w:ascii="Calibri" w:hAnsi="Calibri"/>
          <w:sz w:val="22"/>
          <w:szCs w:val="22"/>
        </w:rPr>
        <w:t xml:space="preserve">mandatory </w:t>
      </w:r>
      <w:r w:rsidR="00891608">
        <w:rPr>
          <w:rFonts w:ascii="Calibri" w:hAnsi="Calibri"/>
          <w:sz w:val="22"/>
          <w:szCs w:val="22"/>
        </w:rPr>
        <w:t xml:space="preserve">results </w:t>
      </w:r>
      <w:r w:rsidR="00074975" w:rsidRPr="00074975">
        <w:rPr>
          <w:rFonts w:ascii="Calibri" w:hAnsi="Calibri"/>
          <w:sz w:val="22"/>
          <w:szCs w:val="22"/>
        </w:rPr>
        <w:t>are maintained as perm</w:t>
      </w:r>
      <w:r w:rsidR="005524AE">
        <w:rPr>
          <w:rFonts w:ascii="Calibri" w:hAnsi="Calibri"/>
          <w:sz w:val="22"/>
          <w:szCs w:val="22"/>
        </w:rPr>
        <w:t>anent assets of the beneficiary partner</w:t>
      </w:r>
      <w:r w:rsidR="00074975" w:rsidRPr="00074975">
        <w:rPr>
          <w:rFonts w:ascii="Calibri" w:hAnsi="Calibri"/>
          <w:sz w:val="22"/>
          <w:szCs w:val="22"/>
        </w:rPr>
        <w:t>s</w:t>
      </w:r>
      <w:r>
        <w:rPr>
          <w:rFonts w:ascii="Calibri" w:hAnsi="Calibri"/>
          <w:sz w:val="22"/>
          <w:szCs w:val="22"/>
        </w:rPr>
        <w:t xml:space="preserve">. These </w:t>
      </w:r>
      <w:r>
        <w:rPr>
          <w:rFonts w:ascii="Calibri" w:hAnsi="Calibri" w:cs="Calibri"/>
          <w:sz w:val="22"/>
          <w:szCs w:val="22"/>
        </w:rPr>
        <w:t>approaches</w:t>
      </w:r>
      <w:r w:rsidR="00891608">
        <w:rPr>
          <w:rFonts w:ascii="Calibri" w:hAnsi="Calibri"/>
          <w:sz w:val="22"/>
          <w:szCs w:val="22"/>
        </w:rPr>
        <w:t xml:space="preserve"> </w:t>
      </w:r>
      <w:r w:rsidR="00074975">
        <w:rPr>
          <w:rFonts w:ascii="Calibri" w:hAnsi="Calibri"/>
          <w:sz w:val="22"/>
          <w:szCs w:val="22"/>
        </w:rPr>
        <w:t>focus on both the beneficiary partners</w:t>
      </w:r>
      <w:r w:rsidR="00891608">
        <w:rPr>
          <w:rFonts w:ascii="Calibri" w:hAnsi="Calibri"/>
          <w:sz w:val="22"/>
          <w:szCs w:val="22"/>
        </w:rPr>
        <w:t>’ organisation</w:t>
      </w:r>
      <w:r w:rsidR="00074975">
        <w:rPr>
          <w:rFonts w:ascii="Calibri" w:hAnsi="Calibri"/>
          <w:sz w:val="22"/>
          <w:szCs w:val="22"/>
        </w:rPr>
        <w:t xml:space="preserve"> and the surrounding institutional environment. </w:t>
      </w:r>
      <w:r w:rsidR="005524AE">
        <w:rPr>
          <w:rFonts w:ascii="Calibri" w:hAnsi="Calibri"/>
          <w:sz w:val="22"/>
          <w:szCs w:val="22"/>
        </w:rPr>
        <w:t xml:space="preserve">30 out of 32 projects foresee the production of studies, methodologies or other systems, including the establishment of multi-stakeholder platforms, </w:t>
      </w:r>
      <w:r w:rsidR="0065167D">
        <w:rPr>
          <w:rFonts w:ascii="Calibri" w:hAnsi="Calibri"/>
          <w:sz w:val="22"/>
          <w:szCs w:val="22"/>
        </w:rPr>
        <w:t>as concrete outputs that</w:t>
      </w:r>
      <w:r w:rsidR="005524AE">
        <w:rPr>
          <w:rFonts w:ascii="Calibri" w:hAnsi="Calibri"/>
          <w:sz w:val="22"/>
          <w:szCs w:val="22"/>
        </w:rPr>
        <w:t xml:space="preserve"> will be </w:t>
      </w:r>
      <w:r w:rsidR="005524AE" w:rsidRPr="00074975">
        <w:rPr>
          <w:rFonts w:ascii="Calibri" w:hAnsi="Calibri"/>
          <w:sz w:val="22"/>
          <w:szCs w:val="22"/>
        </w:rPr>
        <w:t>maintained as perm</w:t>
      </w:r>
      <w:r w:rsidR="005524AE">
        <w:rPr>
          <w:rFonts w:ascii="Calibri" w:hAnsi="Calibri"/>
          <w:sz w:val="22"/>
          <w:szCs w:val="22"/>
        </w:rPr>
        <w:t>anent assets of the beneficiary partner</w:t>
      </w:r>
      <w:r w:rsidR="005524AE" w:rsidRPr="00074975">
        <w:rPr>
          <w:rFonts w:ascii="Calibri" w:hAnsi="Calibri"/>
          <w:sz w:val="22"/>
          <w:szCs w:val="22"/>
        </w:rPr>
        <w:t>s</w:t>
      </w:r>
      <w:r w:rsidR="005524AE">
        <w:rPr>
          <w:rFonts w:ascii="Calibri" w:hAnsi="Calibri"/>
          <w:sz w:val="22"/>
          <w:szCs w:val="22"/>
        </w:rPr>
        <w:t xml:space="preserve">. </w:t>
      </w:r>
      <w:r w:rsidR="00727226">
        <w:rPr>
          <w:rFonts w:ascii="Calibri" w:hAnsi="Calibri"/>
          <w:sz w:val="22"/>
          <w:szCs w:val="22"/>
        </w:rPr>
        <w:t>15</w:t>
      </w:r>
      <w:r w:rsidR="00727226" w:rsidRPr="00727226">
        <w:rPr>
          <w:rFonts w:ascii="Calibri" w:hAnsi="Calibri"/>
          <w:sz w:val="22"/>
          <w:szCs w:val="22"/>
        </w:rPr>
        <w:t xml:space="preserve"> </w:t>
      </w:r>
      <w:r w:rsidR="00727226">
        <w:rPr>
          <w:rFonts w:ascii="Calibri" w:hAnsi="Calibri"/>
          <w:sz w:val="22"/>
          <w:szCs w:val="22"/>
        </w:rPr>
        <w:t xml:space="preserve">of 32 projects rely on </w:t>
      </w:r>
      <w:r w:rsidR="0039265C">
        <w:rPr>
          <w:rFonts w:ascii="Calibri" w:hAnsi="Calibri" w:cs="Calibri"/>
          <w:sz w:val="22"/>
          <w:szCs w:val="22"/>
        </w:rPr>
        <w:t xml:space="preserve">the </w:t>
      </w:r>
      <w:r w:rsidR="0039265C">
        <w:rPr>
          <w:rFonts w:ascii="Calibri" w:hAnsi="Calibri"/>
          <w:sz w:val="22"/>
          <w:szCs w:val="22"/>
        </w:rPr>
        <w:t>involvement of beneficiary partners in project design</w:t>
      </w:r>
      <w:r w:rsidR="00727226">
        <w:rPr>
          <w:rFonts w:ascii="Calibri" w:hAnsi="Calibri"/>
          <w:sz w:val="22"/>
          <w:szCs w:val="22"/>
        </w:rPr>
        <w:t xml:space="preserve"> </w:t>
      </w:r>
      <w:r w:rsidR="0039265C">
        <w:rPr>
          <w:rFonts w:ascii="Calibri" w:hAnsi="Calibri" w:cs="Calibri"/>
          <w:sz w:val="22"/>
          <w:szCs w:val="22"/>
        </w:rPr>
        <w:t>to ensure they take ownership of the introduced changes.</w:t>
      </w:r>
      <w:r w:rsidR="0039265C">
        <w:rPr>
          <w:rFonts w:ascii="Calibri" w:hAnsi="Calibri"/>
          <w:sz w:val="22"/>
          <w:szCs w:val="22"/>
        </w:rPr>
        <w:t xml:space="preserve"> </w:t>
      </w:r>
      <w:r w:rsidR="00727226">
        <w:rPr>
          <w:rFonts w:ascii="Calibri" w:hAnsi="Calibri"/>
          <w:sz w:val="22"/>
          <w:szCs w:val="22"/>
        </w:rPr>
        <w:t xml:space="preserve">12 of </w:t>
      </w:r>
      <w:r w:rsidR="005524AE">
        <w:rPr>
          <w:rFonts w:ascii="Calibri" w:hAnsi="Calibri"/>
          <w:sz w:val="22"/>
          <w:szCs w:val="22"/>
        </w:rPr>
        <w:t xml:space="preserve">32 projects will use </w:t>
      </w:r>
      <w:r w:rsidR="00074975">
        <w:rPr>
          <w:rFonts w:ascii="Calibri" w:hAnsi="Calibri" w:cs="Calibri"/>
          <w:sz w:val="22"/>
          <w:szCs w:val="22"/>
        </w:rPr>
        <w:t xml:space="preserve">training of trainers as a way of </w:t>
      </w:r>
      <w:r w:rsidR="005524AE">
        <w:rPr>
          <w:rFonts w:ascii="Calibri" w:hAnsi="Calibri" w:cs="Calibri"/>
          <w:sz w:val="22"/>
          <w:szCs w:val="22"/>
        </w:rPr>
        <w:t>embedd</w:t>
      </w:r>
      <w:r w:rsidR="00074975">
        <w:rPr>
          <w:rFonts w:ascii="Calibri" w:hAnsi="Calibri" w:cs="Calibri"/>
          <w:sz w:val="22"/>
          <w:szCs w:val="22"/>
        </w:rPr>
        <w:t xml:space="preserve">ing capacity </w:t>
      </w:r>
      <w:r w:rsidR="00F21508">
        <w:rPr>
          <w:rFonts w:ascii="Calibri" w:hAnsi="Calibri" w:cs="Calibri"/>
          <w:sz w:val="22"/>
          <w:szCs w:val="22"/>
        </w:rPr>
        <w:t>within</w:t>
      </w:r>
      <w:r w:rsidR="00074975">
        <w:rPr>
          <w:rFonts w:ascii="Calibri" w:hAnsi="Calibri" w:cs="Calibri"/>
          <w:sz w:val="22"/>
          <w:szCs w:val="22"/>
        </w:rPr>
        <w:t xml:space="preserve"> the beneficiary partners’ organisation, </w:t>
      </w:r>
      <w:r w:rsidR="005E3B55">
        <w:rPr>
          <w:rFonts w:ascii="Calibri" w:hAnsi="Calibri" w:cs="Calibri"/>
          <w:sz w:val="22"/>
          <w:szCs w:val="22"/>
        </w:rPr>
        <w:t>while seven</w:t>
      </w:r>
      <w:r w:rsidR="005524AE">
        <w:rPr>
          <w:rFonts w:ascii="Calibri" w:hAnsi="Calibri" w:cs="Calibri"/>
          <w:sz w:val="22"/>
          <w:szCs w:val="22"/>
        </w:rPr>
        <w:t xml:space="preserve"> projects </w:t>
      </w:r>
      <w:r w:rsidR="005E3B55">
        <w:rPr>
          <w:rFonts w:ascii="Calibri" w:hAnsi="Calibri" w:cs="Calibri"/>
          <w:sz w:val="22"/>
          <w:szCs w:val="22"/>
        </w:rPr>
        <w:t xml:space="preserve">will </w:t>
      </w:r>
      <w:r w:rsidR="005524AE">
        <w:rPr>
          <w:rFonts w:ascii="Calibri" w:hAnsi="Calibri" w:cs="Calibri"/>
          <w:sz w:val="22"/>
          <w:szCs w:val="22"/>
        </w:rPr>
        <w:t xml:space="preserve">resort to the involvement of </w:t>
      </w:r>
      <w:r w:rsidR="005E3B55">
        <w:rPr>
          <w:rFonts w:ascii="Calibri" w:hAnsi="Calibri" w:cs="Calibri"/>
          <w:sz w:val="22"/>
          <w:szCs w:val="22"/>
        </w:rPr>
        <w:t xml:space="preserve">a local university or training centre in order to obtain the same effect. </w:t>
      </w:r>
      <w:r w:rsidR="00727226">
        <w:rPr>
          <w:rFonts w:ascii="Calibri" w:hAnsi="Calibri"/>
          <w:sz w:val="22"/>
          <w:szCs w:val="22"/>
        </w:rPr>
        <w:t xml:space="preserve">Ten out of 32 projects </w:t>
      </w:r>
      <w:r w:rsidR="00727226">
        <w:rPr>
          <w:rFonts w:ascii="Calibri" w:hAnsi="Calibri" w:cs="Calibri"/>
          <w:sz w:val="22"/>
          <w:szCs w:val="22"/>
        </w:rPr>
        <w:t xml:space="preserve">will seek the external support of stakeholders - including national governments, utilities associations, regulators and local Non State Actors - to promote the institutionalisation of the introduced changes. </w:t>
      </w:r>
      <w:r w:rsidR="00727226">
        <w:rPr>
          <w:rFonts w:ascii="Calibri" w:hAnsi="Calibri"/>
          <w:sz w:val="22"/>
          <w:szCs w:val="22"/>
        </w:rPr>
        <w:t xml:space="preserve">Seven projects expect the strengthening of financial autonomy and commercial viability of operations to ensure that </w:t>
      </w:r>
      <w:r w:rsidR="00727226" w:rsidRPr="00074975">
        <w:rPr>
          <w:rFonts w:ascii="Calibri" w:hAnsi="Calibri"/>
          <w:sz w:val="22"/>
          <w:szCs w:val="22"/>
        </w:rPr>
        <w:t xml:space="preserve">mandatory </w:t>
      </w:r>
      <w:r w:rsidR="00727226">
        <w:rPr>
          <w:rFonts w:ascii="Calibri" w:hAnsi="Calibri"/>
          <w:sz w:val="22"/>
          <w:szCs w:val="22"/>
        </w:rPr>
        <w:t xml:space="preserve">results </w:t>
      </w:r>
      <w:r w:rsidR="00727226" w:rsidRPr="00074975">
        <w:rPr>
          <w:rFonts w:ascii="Calibri" w:hAnsi="Calibri"/>
          <w:sz w:val="22"/>
          <w:szCs w:val="22"/>
        </w:rPr>
        <w:t>are maintained as perm</w:t>
      </w:r>
      <w:r w:rsidR="00727226">
        <w:rPr>
          <w:rFonts w:ascii="Calibri" w:hAnsi="Calibri"/>
          <w:sz w:val="22"/>
          <w:szCs w:val="22"/>
        </w:rPr>
        <w:t>anent assets of the beneficiary partner</w:t>
      </w:r>
      <w:r w:rsidR="00727226" w:rsidRPr="00074975">
        <w:rPr>
          <w:rFonts w:ascii="Calibri" w:hAnsi="Calibri"/>
          <w:sz w:val="22"/>
          <w:szCs w:val="22"/>
        </w:rPr>
        <w:t>s</w:t>
      </w:r>
      <w:r w:rsidR="00727226">
        <w:rPr>
          <w:rFonts w:ascii="Calibri" w:hAnsi="Calibri"/>
          <w:sz w:val="22"/>
          <w:szCs w:val="22"/>
        </w:rPr>
        <w:t xml:space="preserve">. </w:t>
      </w:r>
      <w:r w:rsidR="005E3B55">
        <w:rPr>
          <w:rFonts w:ascii="Calibri" w:hAnsi="Calibri" w:cs="Calibri"/>
          <w:sz w:val="22"/>
          <w:szCs w:val="22"/>
        </w:rPr>
        <w:t>Five projects will train large numbers of staff within</w:t>
      </w:r>
      <w:r w:rsidR="005E3B55" w:rsidRPr="00F21508">
        <w:rPr>
          <w:rFonts w:ascii="Calibri" w:hAnsi="Calibri" w:cs="Calibri"/>
          <w:sz w:val="22"/>
          <w:szCs w:val="22"/>
        </w:rPr>
        <w:t xml:space="preserve"> </w:t>
      </w:r>
      <w:r w:rsidR="005E3B55">
        <w:rPr>
          <w:rFonts w:ascii="Calibri" w:hAnsi="Calibri" w:cs="Calibri"/>
          <w:sz w:val="22"/>
          <w:szCs w:val="22"/>
        </w:rPr>
        <w:t xml:space="preserve">beneficiary partners </w:t>
      </w:r>
      <w:r w:rsidR="005E3B55">
        <w:rPr>
          <w:rFonts w:ascii="Calibri" w:hAnsi="Calibri"/>
          <w:sz w:val="22"/>
          <w:szCs w:val="22"/>
        </w:rPr>
        <w:t>to prevent loss of organisational capacity as a result of turnover.</w:t>
      </w:r>
      <w:r w:rsidR="0065167D">
        <w:rPr>
          <w:rFonts w:ascii="Calibri" w:hAnsi="Calibri"/>
          <w:sz w:val="22"/>
          <w:szCs w:val="22"/>
        </w:rPr>
        <w:t xml:space="preserve"> </w:t>
      </w:r>
      <w:r w:rsidR="00AE7246">
        <w:rPr>
          <w:rFonts w:ascii="Calibri" w:hAnsi="Calibri" w:cs="Calibri"/>
          <w:sz w:val="22"/>
          <w:szCs w:val="22"/>
        </w:rPr>
        <w:t xml:space="preserve">Five projects emphasise the high relevance of results to the beneficiary partners’ own activities and mission as a way of </w:t>
      </w:r>
      <w:r w:rsidR="00567468">
        <w:rPr>
          <w:rFonts w:ascii="Calibri" w:hAnsi="Calibri" w:cs="Calibri"/>
          <w:sz w:val="22"/>
          <w:szCs w:val="22"/>
        </w:rPr>
        <w:t xml:space="preserve">making results permanent, while two projects rely on the transfer </w:t>
      </w:r>
      <w:r w:rsidR="00567468">
        <w:rPr>
          <w:rFonts w:ascii="Calibri" w:hAnsi="Calibri"/>
          <w:sz w:val="22"/>
          <w:szCs w:val="22"/>
        </w:rPr>
        <w:t>of accessible and user-friendly technology to achieve the same purpose</w:t>
      </w:r>
      <w:r w:rsidR="00567468">
        <w:rPr>
          <w:rFonts w:ascii="Calibri" w:hAnsi="Calibri" w:cs="Calibri"/>
          <w:sz w:val="22"/>
          <w:szCs w:val="22"/>
        </w:rPr>
        <w:t xml:space="preserve">. </w:t>
      </w:r>
      <w:r w:rsidR="00AE4A9F">
        <w:rPr>
          <w:rFonts w:ascii="Calibri" w:hAnsi="Calibri" w:cs="Calibri"/>
          <w:sz w:val="22"/>
          <w:szCs w:val="22"/>
        </w:rPr>
        <w:t>F</w:t>
      </w:r>
      <w:r w:rsidR="00E31DBB">
        <w:rPr>
          <w:rFonts w:ascii="Calibri" w:hAnsi="Calibri" w:cs="Calibri"/>
          <w:sz w:val="22"/>
          <w:szCs w:val="22"/>
        </w:rPr>
        <w:t>inally, f</w:t>
      </w:r>
      <w:r w:rsidR="00AE4A9F">
        <w:rPr>
          <w:rFonts w:ascii="Calibri" w:hAnsi="Calibri" w:cs="Calibri"/>
          <w:sz w:val="22"/>
          <w:szCs w:val="22"/>
        </w:rPr>
        <w:t>our projects will support adequate levels of employment</w:t>
      </w:r>
      <w:r w:rsidR="00A638AF">
        <w:rPr>
          <w:rFonts w:ascii="Calibri" w:hAnsi="Calibri" w:cs="Calibri"/>
          <w:sz w:val="22"/>
          <w:szCs w:val="22"/>
        </w:rPr>
        <w:t xml:space="preserve"> by enabling the beneficiary partner to employ additional staff, or by </w:t>
      </w:r>
      <w:r w:rsidR="00A638AF">
        <w:rPr>
          <w:rFonts w:ascii="Calibri" w:hAnsi="Calibri"/>
          <w:sz w:val="22"/>
          <w:szCs w:val="22"/>
        </w:rPr>
        <w:t>improving employee motivation and job satisfaction to retain a qualified workforce in the long-term.</w:t>
      </w:r>
      <w:r w:rsidR="005C1760">
        <w:rPr>
          <w:rFonts w:ascii="Calibri" w:hAnsi="Calibri"/>
          <w:sz w:val="22"/>
          <w:szCs w:val="22"/>
        </w:rPr>
        <w:t xml:space="preserve"> </w:t>
      </w:r>
      <w:r w:rsidR="00AE7246">
        <w:rPr>
          <w:rFonts w:ascii="Calibri" w:hAnsi="Calibri"/>
          <w:sz w:val="22"/>
          <w:szCs w:val="22"/>
        </w:rPr>
        <w:t xml:space="preserve"> </w:t>
      </w:r>
      <w:r w:rsidR="00456DF8">
        <w:rPr>
          <w:rFonts w:ascii="Calibri" w:hAnsi="Calibri"/>
          <w:sz w:val="22"/>
          <w:szCs w:val="22"/>
        </w:rPr>
        <w:t xml:space="preserve"> </w:t>
      </w:r>
      <w:r w:rsidR="00623C21">
        <w:rPr>
          <w:rFonts w:ascii="Calibri" w:hAnsi="Calibri"/>
          <w:sz w:val="22"/>
          <w:szCs w:val="22"/>
        </w:rPr>
        <w:t xml:space="preserve"> </w:t>
      </w:r>
      <w:r w:rsidR="00A638AF">
        <w:rPr>
          <w:rFonts w:ascii="Calibri" w:hAnsi="Calibri" w:cs="Calibri"/>
          <w:sz w:val="22"/>
          <w:szCs w:val="22"/>
        </w:rPr>
        <w:t xml:space="preserve"> </w:t>
      </w:r>
      <w:r w:rsidR="00AE4A9F">
        <w:rPr>
          <w:rFonts w:ascii="Calibri" w:hAnsi="Calibri" w:cs="Calibri"/>
          <w:sz w:val="22"/>
          <w:szCs w:val="22"/>
        </w:rPr>
        <w:t xml:space="preserve"> </w:t>
      </w:r>
      <w:r w:rsidR="00BC698A">
        <w:rPr>
          <w:rFonts w:ascii="Calibri" w:hAnsi="Calibri"/>
          <w:sz w:val="22"/>
          <w:szCs w:val="22"/>
        </w:rPr>
        <w:t xml:space="preserve"> </w:t>
      </w:r>
      <w:r w:rsidR="005E3B55">
        <w:rPr>
          <w:rFonts w:ascii="Calibri" w:hAnsi="Calibri"/>
          <w:sz w:val="22"/>
          <w:szCs w:val="22"/>
        </w:rPr>
        <w:t xml:space="preserve"> </w:t>
      </w:r>
      <w:r w:rsidR="005E3B55">
        <w:rPr>
          <w:rFonts w:ascii="Calibri" w:hAnsi="Calibri" w:cs="Calibri"/>
          <w:sz w:val="22"/>
          <w:szCs w:val="22"/>
        </w:rPr>
        <w:t xml:space="preserve"> </w:t>
      </w:r>
    </w:p>
    <w:p w:rsidR="005524AE" w:rsidRDefault="005524AE" w:rsidP="005524AE">
      <w:pPr>
        <w:pStyle w:val="NoSpacing"/>
        <w:jc w:val="both"/>
        <w:rPr>
          <w:rFonts w:ascii="Calibri" w:hAnsi="Calibri" w:cs="Calibri"/>
          <w:sz w:val="22"/>
          <w:szCs w:val="22"/>
        </w:rPr>
      </w:pPr>
    </w:p>
    <w:p w:rsidR="00ED4FC1" w:rsidRDefault="00882B84" w:rsidP="00ED4FC1">
      <w:pPr>
        <w:pStyle w:val="NoSpacing"/>
        <w:ind w:left="11"/>
        <w:jc w:val="both"/>
        <w:rPr>
          <w:rFonts w:ascii="Calibri" w:hAnsi="Calibri" w:cs="Calibri"/>
          <w:sz w:val="22"/>
          <w:szCs w:val="22"/>
        </w:rPr>
      </w:pPr>
      <w:r>
        <w:rPr>
          <w:rFonts w:ascii="Calibri" w:hAnsi="Calibri" w:cs="Calibri"/>
          <w:sz w:val="22"/>
          <w:szCs w:val="22"/>
        </w:rPr>
        <w:t xml:space="preserve">Table 3, Annex IV lists the provisions adopted by the 32 project partnerships for replication and scaling up of capacity development processes within the country/region. Eight out of the 32 projects have identified replication as project results, and 15 other projects </w:t>
      </w:r>
      <w:r>
        <w:rPr>
          <w:rFonts w:ascii="Calibri" w:hAnsi="Calibri"/>
          <w:sz w:val="22"/>
          <w:szCs w:val="22"/>
        </w:rPr>
        <w:t>include preparation for replication among their</w:t>
      </w:r>
      <w:r w:rsidRPr="00A70A6C">
        <w:rPr>
          <w:rFonts w:ascii="Calibri" w:hAnsi="Calibri"/>
          <w:sz w:val="22"/>
          <w:szCs w:val="22"/>
        </w:rPr>
        <w:t xml:space="preserve"> </w:t>
      </w:r>
      <w:r>
        <w:rPr>
          <w:rFonts w:ascii="Calibri" w:hAnsi="Calibri"/>
          <w:sz w:val="22"/>
          <w:szCs w:val="22"/>
        </w:rPr>
        <w:t>activities</w:t>
      </w:r>
      <w:r w:rsidR="00ED4FC1">
        <w:rPr>
          <w:rFonts w:ascii="Calibri" w:hAnsi="Calibri" w:cs="Calibri"/>
          <w:sz w:val="22"/>
          <w:szCs w:val="22"/>
        </w:rPr>
        <w:t>.</w:t>
      </w:r>
      <w:r>
        <w:rPr>
          <w:rFonts w:ascii="Calibri" w:hAnsi="Calibri" w:cs="Calibri"/>
          <w:sz w:val="22"/>
          <w:szCs w:val="22"/>
        </w:rPr>
        <w:t xml:space="preserve"> </w:t>
      </w:r>
      <w:r w:rsidR="00A22B80">
        <w:rPr>
          <w:rFonts w:ascii="Calibri" w:hAnsi="Calibri"/>
          <w:sz w:val="22"/>
          <w:szCs w:val="22"/>
        </w:rPr>
        <w:t>15</w:t>
      </w:r>
      <w:r w:rsidR="00A22B80">
        <w:rPr>
          <w:rFonts w:ascii="Calibri" w:hAnsi="Calibri" w:cs="Calibri"/>
          <w:sz w:val="22"/>
          <w:szCs w:val="22"/>
        </w:rPr>
        <w:t xml:space="preserve"> projects will use the dissemination and visibility of results as vehicles to facilitate replication and scaling up. </w:t>
      </w:r>
      <w:r>
        <w:rPr>
          <w:rFonts w:ascii="Calibri" w:hAnsi="Calibri"/>
          <w:sz w:val="22"/>
          <w:szCs w:val="22"/>
        </w:rPr>
        <w:t>Six</w:t>
      </w:r>
      <w:r w:rsidR="00A70A6C">
        <w:rPr>
          <w:rFonts w:ascii="Calibri" w:hAnsi="Calibri" w:cs="Calibri"/>
          <w:sz w:val="22"/>
          <w:szCs w:val="22"/>
        </w:rPr>
        <w:t xml:space="preserve"> projects will use t</w:t>
      </w:r>
      <w:r w:rsidR="00A70A6C" w:rsidRPr="006F56B6">
        <w:rPr>
          <w:rFonts w:ascii="Calibri" w:hAnsi="Calibri" w:cs="Calibri"/>
          <w:sz w:val="22"/>
          <w:szCs w:val="22"/>
        </w:rPr>
        <w:t>raining of trainers</w:t>
      </w:r>
      <w:r w:rsidR="00A70A6C">
        <w:rPr>
          <w:rFonts w:ascii="Calibri" w:hAnsi="Calibri" w:cs="Calibri"/>
          <w:sz w:val="22"/>
          <w:szCs w:val="22"/>
        </w:rPr>
        <w:t xml:space="preserve"> to support replication and scaling up</w:t>
      </w:r>
      <w:r w:rsidR="00BF6745">
        <w:rPr>
          <w:rFonts w:ascii="Calibri" w:hAnsi="Calibri" w:cs="Calibri"/>
          <w:sz w:val="22"/>
          <w:szCs w:val="22"/>
        </w:rPr>
        <w:t xml:space="preserve">, </w:t>
      </w:r>
      <w:r w:rsidR="00ED4FC1">
        <w:rPr>
          <w:rFonts w:ascii="Calibri" w:hAnsi="Calibri" w:cs="Calibri"/>
          <w:sz w:val="22"/>
          <w:szCs w:val="22"/>
        </w:rPr>
        <w:t>and four</w:t>
      </w:r>
      <w:r w:rsidR="00BF6745">
        <w:rPr>
          <w:rFonts w:ascii="Calibri" w:hAnsi="Calibri" w:cs="Calibri"/>
          <w:sz w:val="22"/>
          <w:szCs w:val="22"/>
        </w:rPr>
        <w:t xml:space="preserve"> will </w:t>
      </w:r>
      <w:r w:rsidR="00BF6745">
        <w:rPr>
          <w:rFonts w:ascii="Calibri" w:hAnsi="Calibri" w:cs="Calibri"/>
          <w:sz w:val="22"/>
          <w:szCs w:val="22"/>
        </w:rPr>
        <w:lastRenderedPageBreak/>
        <w:t>train large numbers of staff at natio</w:t>
      </w:r>
      <w:r w:rsidR="00ED4FC1">
        <w:rPr>
          <w:rFonts w:ascii="Calibri" w:hAnsi="Calibri" w:cs="Calibri"/>
          <w:sz w:val="22"/>
          <w:szCs w:val="22"/>
        </w:rPr>
        <w:t>nal scale in order to achieve the same purpose</w:t>
      </w:r>
      <w:r w:rsidR="00BF6745">
        <w:rPr>
          <w:rFonts w:ascii="Calibri" w:hAnsi="Calibri" w:cs="Calibri"/>
          <w:sz w:val="22"/>
          <w:szCs w:val="22"/>
        </w:rPr>
        <w:t xml:space="preserve">. </w:t>
      </w:r>
      <w:r w:rsidR="00A22B80">
        <w:rPr>
          <w:rFonts w:ascii="Calibri" w:hAnsi="Calibri" w:cs="Calibri"/>
          <w:sz w:val="22"/>
          <w:szCs w:val="22"/>
        </w:rPr>
        <w:t>11 projects expect the involvement of national governments to lead to replication and scaling up</w:t>
      </w:r>
      <w:r w:rsidR="00BE17F2">
        <w:rPr>
          <w:rFonts w:ascii="Calibri" w:hAnsi="Calibri" w:cs="Calibri"/>
          <w:sz w:val="22"/>
          <w:szCs w:val="22"/>
        </w:rPr>
        <w:t>. N</w:t>
      </w:r>
      <w:r w:rsidR="00A22B80">
        <w:rPr>
          <w:rFonts w:ascii="Calibri" w:hAnsi="Calibri" w:cs="Calibri"/>
          <w:sz w:val="22"/>
          <w:szCs w:val="22"/>
        </w:rPr>
        <w:t xml:space="preserve">ine projects </w:t>
      </w:r>
      <w:r w:rsidR="00BE17F2">
        <w:rPr>
          <w:rFonts w:ascii="Calibri" w:hAnsi="Calibri" w:cs="Calibri"/>
          <w:sz w:val="22"/>
          <w:szCs w:val="22"/>
        </w:rPr>
        <w:t xml:space="preserve">expect the involvement </w:t>
      </w:r>
      <w:r w:rsidR="00A22B80">
        <w:rPr>
          <w:rFonts w:ascii="Calibri" w:hAnsi="Calibri" w:cs="Calibri"/>
          <w:sz w:val="22"/>
          <w:szCs w:val="22"/>
        </w:rPr>
        <w:t>of umbrella organisations, utilities associations, and water and sanitation utilities other than the beneficiary partners</w:t>
      </w:r>
      <w:r w:rsidR="00BE17F2">
        <w:rPr>
          <w:rFonts w:ascii="Calibri" w:hAnsi="Calibri" w:cs="Calibri"/>
          <w:sz w:val="22"/>
          <w:szCs w:val="22"/>
        </w:rPr>
        <w:t xml:space="preserve"> to result in replication and scaling up, and four projects rely on the involvement of</w:t>
      </w:r>
      <w:r w:rsidR="00BE17F2" w:rsidRPr="00BE17F2">
        <w:rPr>
          <w:rFonts w:ascii="Calibri" w:hAnsi="Calibri" w:cs="Calibri"/>
          <w:sz w:val="22"/>
          <w:szCs w:val="22"/>
        </w:rPr>
        <w:t xml:space="preserve"> </w:t>
      </w:r>
      <w:r w:rsidR="00BE17F2">
        <w:rPr>
          <w:rFonts w:ascii="Calibri" w:hAnsi="Calibri" w:cs="Calibri"/>
          <w:sz w:val="22"/>
          <w:szCs w:val="22"/>
        </w:rPr>
        <w:t>local universities and training centres to produce a similar effect</w:t>
      </w:r>
      <w:r w:rsidR="00A22B80">
        <w:rPr>
          <w:rFonts w:ascii="Calibri" w:hAnsi="Calibri" w:cs="Calibri"/>
          <w:sz w:val="22"/>
          <w:szCs w:val="22"/>
        </w:rPr>
        <w:t>.</w:t>
      </w:r>
      <w:r w:rsidR="00BE17F2">
        <w:rPr>
          <w:rFonts w:ascii="Calibri" w:hAnsi="Calibri" w:cs="Calibri"/>
          <w:sz w:val="22"/>
          <w:szCs w:val="22"/>
        </w:rPr>
        <w:t xml:space="preserve"> </w:t>
      </w:r>
      <w:r w:rsidR="007E241D">
        <w:rPr>
          <w:rFonts w:ascii="Calibri" w:hAnsi="Calibri"/>
          <w:sz w:val="22"/>
          <w:szCs w:val="22"/>
        </w:rPr>
        <w:t>F</w:t>
      </w:r>
      <w:r w:rsidR="0054642A">
        <w:rPr>
          <w:rFonts w:ascii="Calibri" w:hAnsi="Calibri"/>
          <w:sz w:val="22"/>
          <w:szCs w:val="22"/>
        </w:rPr>
        <w:t>ive</w:t>
      </w:r>
      <w:r w:rsidR="007E241D">
        <w:rPr>
          <w:rFonts w:ascii="Calibri" w:hAnsi="Calibri"/>
          <w:sz w:val="22"/>
          <w:szCs w:val="22"/>
        </w:rPr>
        <w:t xml:space="preserve"> out of 32 projects will establish knowledge-sharing and/or stakeholder coordination platforms specifically to obtain </w:t>
      </w:r>
      <w:r w:rsidR="007E241D">
        <w:rPr>
          <w:rFonts w:ascii="Calibri" w:hAnsi="Calibri" w:cs="Calibri"/>
          <w:sz w:val="22"/>
          <w:szCs w:val="22"/>
        </w:rPr>
        <w:t>replication and scaling up</w:t>
      </w:r>
      <w:r w:rsidR="007E241D">
        <w:rPr>
          <w:rFonts w:ascii="Calibri" w:hAnsi="Calibri"/>
          <w:sz w:val="22"/>
          <w:szCs w:val="22"/>
        </w:rPr>
        <w:t xml:space="preserve">. </w:t>
      </w:r>
    </w:p>
    <w:p w:rsidR="00ED4FC1" w:rsidRDefault="00ED4FC1" w:rsidP="00B2231F">
      <w:pPr>
        <w:pStyle w:val="NoSpacing"/>
        <w:ind w:left="11"/>
        <w:jc w:val="both"/>
        <w:rPr>
          <w:rFonts w:ascii="Calibri" w:hAnsi="Calibri" w:cs="Calibri"/>
          <w:sz w:val="22"/>
          <w:szCs w:val="22"/>
        </w:rPr>
      </w:pPr>
    </w:p>
    <w:p w:rsidR="001D6804" w:rsidRDefault="001D6804" w:rsidP="00B2231F">
      <w:pPr>
        <w:pStyle w:val="NoSpacing"/>
        <w:ind w:left="11"/>
        <w:jc w:val="both"/>
        <w:rPr>
          <w:rFonts w:ascii="Calibri" w:hAnsi="Calibri" w:cs="Calibri"/>
          <w:sz w:val="22"/>
          <w:szCs w:val="22"/>
        </w:rPr>
      </w:pPr>
      <w:r>
        <w:rPr>
          <w:rFonts w:ascii="Calibri" w:hAnsi="Calibri" w:cs="Calibri"/>
          <w:sz w:val="22"/>
          <w:szCs w:val="22"/>
        </w:rPr>
        <w:t>Table 4, Annex IV lists the</w:t>
      </w:r>
      <w:r w:rsidRPr="001D6804">
        <w:rPr>
          <w:rFonts w:ascii="Calibri" w:hAnsi="Calibri"/>
          <w:sz w:val="22"/>
          <w:szCs w:val="22"/>
        </w:rPr>
        <w:t xml:space="preserve"> </w:t>
      </w:r>
      <w:r w:rsidRPr="008C4389">
        <w:rPr>
          <w:rFonts w:ascii="Calibri" w:hAnsi="Calibri"/>
          <w:sz w:val="22"/>
          <w:szCs w:val="22"/>
        </w:rPr>
        <w:t xml:space="preserve">procedures </w:t>
      </w:r>
      <w:r>
        <w:rPr>
          <w:rFonts w:ascii="Calibri" w:hAnsi="Calibri"/>
          <w:sz w:val="22"/>
          <w:szCs w:val="22"/>
        </w:rPr>
        <w:t xml:space="preserve">adopted by the 32 projects </w:t>
      </w:r>
      <w:r w:rsidRPr="008C4389">
        <w:rPr>
          <w:rFonts w:ascii="Calibri" w:hAnsi="Calibri"/>
          <w:sz w:val="22"/>
          <w:szCs w:val="22"/>
        </w:rPr>
        <w:t xml:space="preserve">for </w:t>
      </w:r>
      <w:r>
        <w:rPr>
          <w:rFonts w:ascii="Calibri" w:hAnsi="Calibri"/>
          <w:sz w:val="22"/>
          <w:szCs w:val="22"/>
        </w:rPr>
        <w:t xml:space="preserve">both internal and </w:t>
      </w:r>
      <w:r w:rsidRPr="008C4389">
        <w:rPr>
          <w:rFonts w:ascii="Calibri" w:hAnsi="Calibri"/>
          <w:sz w:val="22"/>
          <w:szCs w:val="22"/>
        </w:rPr>
        <w:t xml:space="preserve">external </w:t>
      </w:r>
      <w:r w:rsidR="00D322B2">
        <w:rPr>
          <w:rFonts w:ascii="Calibri" w:hAnsi="Calibri"/>
          <w:sz w:val="22"/>
          <w:szCs w:val="22"/>
        </w:rPr>
        <w:t xml:space="preserve">monitoring and </w:t>
      </w:r>
      <w:r w:rsidRPr="008C4389">
        <w:rPr>
          <w:rFonts w:ascii="Calibri" w:hAnsi="Calibri"/>
          <w:sz w:val="22"/>
          <w:szCs w:val="22"/>
        </w:rPr>
        <w:t>evaluation</w:t>
      </w:r>
      <w:r>
        <w:rPr>
          <w:rFonts w:ascii="Calibri" w:hAnsi="Calibri"/>
          <w:sz w:val="22"/>
          <w:szCs w:val="22"/>
        </w:rPr>
        <w:t xml:space="preserve"> of activities and results. </w:t>
      </w:r>
      <w:r w:rsidR="00D322B2">
        <w:rPr>
          <w:rFonts w:ascii="Calibri" w:hAnsi="Calibri"/>
          <w:sz w:val="22"/>
          <w:szCs w:val="22"/>
        </w:rPr>
        <w:t xml:space="preserve">27 projects envisage the periodic adoption of internal progress reviews, 15 projects will periodically hold internal meetings, seven projects foresee the use of self-evaluation against set milestones, and two projects will engage in participatory monitoring and evaluation. As regards external monitoring and evaluation, </w:t>
      </w:r>
      <w:r w:rsidR="007536B8">
        <w:rPr>
          <w:rFonts w:ascii="Calibri" w:hAnsi="Calibri"/>
          <w:sz w:val="22"/>
          <w:szCs w:val="22"/>
        </w:rPr>
        <w:t>17 projects foresee the production of evaluation reports by external experts, 11 project summaries refer to the submission of period reports to the European Commission, and 7 projects envisage resort to participatory evaluation or the evaluation conducted by independent experts and/or the European Commissio</w:t>
      </w:r>
      <w:r w:rsidR="00CD761D">
        <w:rPr>
          <w:rFonts w:ascii="Calibri" w:hAnsi="Calibri"/>
          <w:sz w:val="22"/>
          <w:szCs w:val="22"/>
        </w:rPr>
        <w:t xml:space="preserve">n with the participation of </w:t>
      </w:r>
      <w:r w:rsidR="007536B8">
        <w:rPr>
          <w:rFonts w:ascii="Calibri" w:hAnsi="Calibri"/>
          <w:sz w:val="22"/>
          <w:szCs w:val="22"/>
        </w:rPr>
        <w:t>project partners.</w:t>
      </w:r>
      <w:r w:rsidR="002F76DB">
        <w:rPr>
          <w:rFonts w:ascii="Calibri" w:hAnsi="Calibri"/>
          <w:sz w:val="22"/>
          <w:szCs w:val="22"/>
        </w:rPr>
        <w:t xml:space="preserve">  </w:t>
      </w:r>
      <w:r w:rsidR="007536B8">
        <w:rPr>
          <w:rFonts w:ascii="Calibri" w:hAnsi="Calibri"/>
          <w:sz w:val="22"/>
          <w:szCs w:val="22"/>
        </w:rPr>
        <w:t xml:space="preserve">   </w:t>
      </w:r>
      <w:r w:rsidR="00D322B2">
        <w:rPr>
          <w:rFonts w:ascii="Calibri" w:hAnsi="Calibri"/>
          <w:sz w:val="22"/>
          <w:szCs w:val="22"/>
        </w:rPr>
        <w:t xml:space="preserve">   </w:t>
      </w:r>
    </w:p>
    <w:p w:rsidR="008C4389" w:rsidRPr="00186660" w:rsidRDefault="008C4389" w:rsidP="008C4389">
      <w:pPr>
        <w:pStyle w:val="NoSpacing"/>
        <w:rPr>
          <w:rFonts w:ascii="Calibri" w:hAnsi="Calibri" w:cs="Calibri"/>
          <w:sz w:val="22"/>
          <w:szCs w:val="22"/>
        </w:rPr>
      </w:pPr>
    </w:p>
    <w:p w:rsidR="00890E74" w:rsidRDefault="002F76DB" w:rsidP="00F67EE2">
      <w:pPr>
        <w:pStyle w:val="NoSpacing"/>
        <w:jc w:val="both"/>
        <w:rPr>
          <w:rFonts w:ascii="Calibri" w:hAnsi="Calibri" w:cs="Calibri"/>
          <w:sz w:val="22"/>
          <w:szCs w:val="22"/>
        </w:rPr>
      </w:pPr>
      <w:r>
        <w:rPr>
          <w:rFonts w:ascii="Calibri" w:hAnsi="Calibri" w:cs="Arial"/>
          <w:sz w:val="22"/>
          <w:szCs w:val="22"/>
          <w:lang w:val="en-US"/>
        </w:rPr>
        <w:t xml:space="preserve">Table 2 below </w:t>
      </w:r>
      <w:r w:rsidR="005F5721">
        <w:rPr>
          <w:rFonts w:ascii="Calibri" w:hAnsi="Calibri" w:cs="Arial"/>
          <w:sz w:val="22"/>
          <w:szCs w:val="22"/>
        </w:rPr>
        <w:t>illustrat</w:t>
      </w:r>
      <w:r w:rsidRPr="000716C4">
        <w:rPr>
          <w:rFonts w:ascii="Calibri" w:hAnsi="Calibri" w:cs="Arial"/>
          <w:sz w:val="22"/>
          <w:szCs w:val="22"/>
        </w:rPr>
        <w:t>es</w:t>
      </w:r>
      <w:r w:rsidR="001054F8">
        <w:rPr>
          <w:rFonts w:ascii="Calibri" w:hAnsi="Calibri" w:cs="Arial"/>
          <w:sz w:val="22"/>
          <w:szCs w:val="22"/>
          <w:lang w:val="en-US"/>
        </w:rPr>
        <w:t xml:space="preserve"> the degree of alignment of the institutional characteristics of the 32 project partnerships </w:t>
      </w:r>
      <w:r w:rsidR="005F5721">
        <w:rPr>
          <w:rFonts w:ascii="Calibri" w:hAnsi="Calibri" w:cs="Calibri"/>
          <w:sz w:val="22"/>
          <w:szCs w:val="22"/>
        </w:rPr>
        <w:t>to the achievement of a critical mass of capacity in the targeted impact areas.</w:t>
      </w:r>
      <w:r w:rsidR="00C97613">
        <w:rPr>
          <w:rFonts w:ascii="Calibri" w:hAnsi="Calibri" w:cs="Calibri"/>
          <w:sz w:val="22"/>
          <w:szCs w:val="22"/>
        </w:rPr>
        <w:t xml:space="preserve"> For each partnership, </w:t>
      </w:r>
      <w:r w:rsidR="002B013F">
        <w:rPr>
          <w:rFonts w:ascii="Calibri" w:hAnsi="Calibri" w:cs="Calibri"/>
          <w:sz w:val="22"/>
          <w:szCs w:val="22"/>
        </w:rPr>
        <w:t>the table indicates the extent to which</w:t>
      </w:r>
      <w:r w:rsidR="00C97613">
        <w:rPr>
          <w:rFonts w:ascii="Calibri" w:hAnsi="Calibri" w:cs="Calibri"/>
          <w:sz w:val="22"/>
          <w:szCs w:val="22"/>
        </w:rPr>
        <w:t xml:space="preserve"> a number of institutional characteristics are</w:t>
      </w:r>
      <w:r w:rsidR="002B013F">
        <w:rPr>
          <w:rFonts w:ascii="Calibri" w:hAnsi="Calibri" w:cs="Calibri"/>
          <w:sz w:val="22"/>
          <w:szCs w:val="22"/>
        </w:rPr>
        <w:t xml:space="preserve"> oriented to the translation of expected results into concrete outcomes. These characteristics are the following: a) the duration of </w:t>
      </w:r>
      <w:r w:rsidR="001B59DF">
        <w:rPr>
          <w:rFonts w:ascii="Calibri" w:hAnsi="Calibri" w:cs="Calibri"/>
          <w:sz w:val="22"/>
          <w:szCs w:val="22"/>
        </w:rPr>
        <w:t>the partnership, as this affects the beneficiary partner’s capacity to absorb the transferred knowledge; b) the total value of the project, as</w:t>
      </w:r>
      <w:r w:rsidR="000F11DE">
        <w:rPr>
          <w:rFonts w:ascii="Calibri" w:hAnsi="Calibri" w:cs="Calibri"/>
          <w:sz w:val="22"/>
          <w:szCs w:val="22"/>
        </w:rPr>
        <w:t xml:space="preserve"> it is</w:t>
      </w:r>
      <w:r w:rsidR="001B59DF">
        <w:rPr>
          <w:rFonts w:ascii="Calibri" w:hAnsi="Calibri" w:cs="Calibri"/>
          <w:sz w:val="22"/>
          <w:szCs w:val="22"/>
        </w:rPr>
        <w:t xml:space="preserve"> </w:t>
      </w:r>
      <w:r w:rsidR="00867ACD">
        <w:rPr>
          <w:rFonts w:ascii="Calibri" w:hAnsi="Calibri" w:cs="Calibri"/>
          <w:sz w:val="22"/>
          <w:szCs w:val="22"/>
        </w:rPr>
        <w:t xml:space="preserve">the total amount of </w:t>
      </w:r>
      <w:r w:rsidR="001B59DF">
        <w:rPr>
          <w:rFonts w:ascii="Calibri" w:hAnsi="Calibri" w:cs="Calibri"/>
          <w:sz w:val="22"/>
          <w:szCs w:val="22"/>
        </w:rPr>
        <w:t>leveraged resources</w:t>
      </w:r>
      <w:r w:rsidR="002B013F">
        <w:rPr>
          <w:rFonts w:ascii="Calibri" w:hAnsi="Calibri" w:cs="Calibri"/>
          <w:sz w:val="22"/>
          <w:szCs w:val="22"/>
        </w:rPr>
        <w:t xml:space="preserve"> </w:t>
      </w:r>
      <w:r w:rsidR="000F11DE">
        <w:rPr>
          <w:rFonts w:ascii="Calibri" w:hAnsi="Calibri" w:cs="Calibri"/>
          <w:sz w:val="22"/>
          <w:szCs w:val="22"/>
        </w:rPr>
        <w:t xml:space="preserve">that </w:t>
      </w:r>
      <w:r w:rsidR="00867ACD">
        <w:rPr>
          <w:rFonts w:ascii="Calibri" w:hAnsi="Calibri" w:cs="Calibri"/>
          <w:sz w:val="22"/>
          <w:szCs w:val="22"/>
        </w:rPr>
        <w:t xml:space="preserve">sustains the </w:t>
      </w:r>
      <w:r w:rsidR="008421FC">
        <w:rPr>
          <w:rFonts w:ascii="Calibri" w:hAnsi="Calibri" w:cs="Calibri"/>
          <w:sz w:val="22"/>
          <w:szCs w:val="22"/>
        </w:rPr>
        <w:t>results of</w:t>
      </w:r>
      <w:r w:rsidR="00867ACD">
        <w:rPr>
          <w:rFonts w:ascii="Calibri" w:hAnsi="Calibri" w:cs="Calibri"/>
          <w:sz w:val="22"/>
          <w:szCs w:val="22"/>
        </w:rPr>
        <w:t xml:space="preserve"> capacity development activities; c) </w:t>
      </w:r>
      <w:r w:rsidR="00CA66DC">
        <w:rPr>
          <w:rFonts w:ascii="Calibri" w:hAnsi="Calibri" w:cs="Calibri"/>
          <w:sz w:val="22"/>
          <w:szCs w:val="22"/>
        </w:rPr>
        <w:t>whe</w:t>
      </w:r>
      <w:r w:rsidR="002D2D7F">
        <w:rPr>
          <w:rFonts w:ascii="Calibri" w:hAnsi="Calibri" w:cs="Calibri"/>
          <w:sz w:val="22"/>
          <w:szCs w:val="22"/>
        </w:rPr>
        <w:t>ther partnerships</w:t>
      </w:r>
      <w:r w:rsidR="00CA66DC">
        <w:rPr>
          <w:rFonts w:ascii="Calibri" w:hAnsi="Calibri" w:cs="Calibri"/>
          <w:sz w:val="22"/>
          <w:szCs w:val="22"/>
        </w:rPr>
        <w:t xml:space="preserve"> both contribute to</w:t>
      </w:r>
      <w:r w:rsidR="002D2D7F">
        <w:rPr>
          <w:rFonts w:ascii="Calibri" w:hAnsi="Calibri" w:cs="Calibri"/>
          <w:sz w:val="22"/>
          <w:szCs w:val="22"/>
        </w:rPr>
        <w:t xml:space="preserve"> the implementation of</w:t>
      </w:r>
      <w:r w:rsidR="00CA66DC">
        <w:rPr>
          <w:rFonts w:ascii="Calibri" w:hAnsi="Calibri" w:cs="Calibri"/>
          <w:sz w:val="22"/>
          <w:szCs w:val="22"/>
        </w:rPr>
        <w:t xml:space="preserve"> national water and sanitation programs and strategies, and pursue synergies with other capacity development initiatives, as an indicator of likely tangible impact due to institutional support and </w:t>
      </w:r>
      <w:r w:rsidR="002D2D7F">
        <w:rPr>
          <w:rFonts w:ascii="Calibri" w:hAnsi="Calibri" w:cs="Calibri"/>
          <w:sz w:val="22"/>
          <w:szCs w:val="22"/>
        </w:rPr>
        <w:t>coordination with the broader development community; d)</w:t>
      </w:r>
      <w:r w:rsidR="00CA66DC">
        <w:rPr>
          <w:rFonts w:ascii="Calibri" w:hAnsi="Calibri" w:cs="Calibri"/>
          <w:sz w:val="22"/>
          <w:szCs w:val="22"/>
        </w:rPr>
        <w:t xml:space="preserve"> </w:t>
      </w:r>
      <w:r w:rsidR="00867ACD">
        <w:rPr>
          <w:rFonts w:ascii="Calibri" w:hAnsi="Calibri" w:cs="Calibri"/>
          <w:sz w:val="22"/>
          <w:szCs w:val="22"/>
        </w:rPr>
        <w:t xml:space="preserve">the number of methodologies adopted by each partnership to ensure that </w:t>
      </w:r>
      <w:r w:rsidR="00867ACD" w:rsidRPr="00074975">
        <w:rPr>
          <w:rFonts w:ascii="Calibri" w:hAnsi="Calibri"/>
          <w:sz w:val="22"/>
          <w:szCs w:val="22"/>
        </w:rPr>
        <w:t xml:space="preserve">mandatory </w:t>
      </w:r>
      <w:r w:rsidR="00867ACD">
        <w:rPr>
          <w:rFonts w:ascii="Calibri" w:hAnsi="Calibri"/>
          <w:sz w:val="22"/>
          <w:szCs w:val="22"/>
        </w:rPr>
        <w:t xml:space="preserve">results </w:t>
      </w:r>
      <w:r w:rsidR="00867ACD" w:rsidRPr="00074975">
        <w:rPr>
          <w:rFonts w:ascii="Calibri" w:hAnsi="Calibri"/>
          <w:sz w:val="22"/>
          <w:szCs w:val="22"/>
        </w:rPr>
        <w:t>are maintained as perm</w:t>
      </w:r>
      <w:r w:rsidR="00867ACD">
        <w:rPr>
          <w:rFonts w:ascii="Calibri" w:hAnsi="Calibri"/>
          <w:sz w:val="22"/>
          <w:szCs w:val="22"/>
        </w:rPr>
        <w:t>anent assets of the beneficiary partner</w:t>
      </w:r>
      <w:r w:rsidR="00867ACD" w:rsidRPr="00074975">
        <w:rPr>
          <w:rFonts w:ascii="Calibri" w:hAnsi="Calibri"/>
          <w:sz w:val="22"/>
          <w:szCs w:val="22"/>
        </w:rPr>
        <w:t>s</w:t>
      </w:r>
      <w:r w:rsidR="00867ACD">
        <w:rPr>
          <w:rFonts w:ascii="Calibri" w:hAnsi="Calibri"/>
          <w:sz w:val="22"/>
          <w:szCs w:val="22"/>
        </w:rPr>
        <w:t>, as an indicator of the concerted efforts</w:t>
      </w:r>
      <w:r w:rsidR="002B013F">
        <w:rPr>
          <w:rFonts w:ascii="Calibri" w:hAnsi="Calibri" w:cs="Calibri"/>
          <w:sz w:val="22"/>
          <w:szCs w:val="22"/>
        </w:rPr>
        <w:t xml:space="preserve"> </w:t>
      </w:r>
      <w:r w:rsidR="002D2D7F">
        <w:rPr>
          <w:rFonts w:ascii="Calibri" w:hAnsi="Calibri" w:cs="Calibri"/>
          <w:sz w:val="22"/>
          <w:szCs w:val="22"/>
        </w:rPr>
        <w:t>to achieve sustained results; e</w:t>
      </w:r>
      <w:r w:rsidR="00867ACD">
        <w:rPr>
          <w:rFonts w:ascii="Calibri" w:hAnsi="Calibri" w:cs="Calibri"/>
          <w:sz w:val="22"/>
          <w:szCs w:val="22"/>
        </w:rPr>
        <w:t xml:space="preserve">) </w:t>
      </w:r>
      <w:r w:rsidR="00311408">
        <w:rPr>
          <w:rFonts w:ascii="Calibri" w:hAnsi="Calibri" w:cs="Calibri"/>
          <w:sz w:val="22"/>
          <w:szCs w:val="22"/>
        </w:rPr>
        <w:t>the number of methodologies adopted by each partnership to</w:t>
      </w:r>
      <w:r w:rsidR="00867ACD">
        <w:rPr>
          <w:rFonts w:ascii="Calibri" w:hAnsi="Calibri" w:cs="Calibri"/>
          <w:sz w:val="22"/>
          <w:szCs w:val="22"/>
        </w:rPr>
        <w:t xml:space="preserve"> </w:t>
      </w:r>
      <w:r w:rsidR="00311408">
        <w:rPr>
          <w:rFonts w:ascii="Calibri" w:hAnsi="Calibri" w:cs="Calibri"/>
          <w:sz w:val="22"/>
          <w:szCs w:val="22"/>
        </w:rPr>
        <w:t xml:space="preserve">obtain replication and scaling up within the country/region, </w:t>
      </w:r>
      <w:r w:rsidR="00311408">
        <w:rPr>
          <w:rFonts w:ascii="Calibri" w:hAnsi="Calibri"/>
          <w:sz w:val="22"/>
          <w:szCs w:val="22"/>
        </w:rPr>
        <w:t>as an indicator of the concerted efforts</w:t>
      </w:r>
      <w:r w:rsidR="00311408">
        <w:rPr>
          <w:rFonts w:ascii="Calibri" w:hAnsi="Calibri" w:cs="Calibri"/>
          <w:sz w:val="22"/>
          <w:szCs w:val="22"/>
        </w:rPr>
        <w:t xml:space="preserve"> t</w:t>
      </w:r>
      <w:r w:rsidR="002D2D7F">
        <w:rPr>
          <w:rFonts w:ascii="Calibri" w:hAnsi="Calibri" w:cs="Calibri"/>
          <w:sz w:val="22"/>
          <w:szCs w:val="22"/>
        </w:rPr>
        <w:t>o produce a multiplier effect; f</w:t>
      </w:r>
      <w:r w:rsidR="00311408">
        <w:rPr>
          <w:rFonts w:ascii="Calibri" w:hAnsi="Calibri" w:cs="Calibri"/>
          <w:sz w:val="22"/>
          <w:szCs w:val="22"/>
        </w:rPr>
        <w:t xml:space="preserve">) </w:t>
      </w:r>
      <w:r w:rsidR="002D2D7F">
        <w:rPr>
          <w:rFonts w:ascii="Calibri" w:hAnsi="Calibri" w:cs="Calibri"/>
          <w:sz w:val="22"/>
          <w:szCs w:val="22"/>
        </w:rPr>
        <w:t>whether partnerships adopt</w:t>
      </w:r>
      <w:r w:rsidR="00462794">
        <w:rPr>
          <w:rFonts w:ascii="Calibri" w:hAnsi="Calibri" w:cs="Calibri"/>
          <w:sz w:val="22"/>
          <w:szCs w:val="22"/>
        </w:rPr>
        <w:t xml:space="preserve"> external monitoring and evaluation procedures, as an indicator of the propensity to lock-in the expected impact of actions. </w:t>
      </w:r>
    </w:p>
    <w:p w:rsidR="00890E74" w:rsidRDefault="00890E74" w:rsidP="00F67EE2">
      <w:pPr>
        <w:pStyle w:val="NoSpacing"/>
        <w:jc w:val="both"/>
        <w:rPr>
          <w:rFonts w:ascii="Calibri" w:hAnsi="Calibri" w:cs="Calibri"/>
          <w:sz w:val="22"/>
          <w:szCs w:val="22"/>
        </w:rPr>
      </w:pPr>
    </w:p>
    <w:p w:rsidR="00866696" w:rsidRDefault="00890E74" w:rsidP="00F67EE2">
      <w:pPr>
        <w:pStyle w:val="NoSpacing"/>
        <w:jc w:val="both"/>
        <w:rPr>
          <w:rFonts w:ascii="Calibri" w:hAnsi="Calibri"/>
          <w:sz w:val="22"/>
          <w:szCs w:val="22"/>
        </w:rPr>
      </w:pPr>
      <w:r>
        <w:rPr>
          <w:rFonts w:ascii="Calibri" w:hAnsi="Calibri" w:cs="Arial"/>
          <w:sz w:val="22"/>
          <w:szCs w:val="22"/>
          <w:lang w:val="en-US"/>
        </w:rPr>
        <w:t xml:space="preserve">Table 2 below </w:t>
      </w:r>
      <w:r>
        <w:rPr>
          <w:rFonts w:ascii="Calibri" w:hAnsi="Calibri" w:cs="Arial"/>
          <w:sz w:val="22"/>
          <w:szCs w:val="22"/>
        </w:rPr>
        <w:t>shows a strong</w:t>
      </w:r>
      <w:r>
        <w:rPr>
          <w:rFonts w:ascii="Calibri" w:hAnsi="Calibri" w:cs="Arial"/>
          <w:sz w:val="22"/>
          <w:szCs w:val="22"/>
          <w:lang w:val="en-US"/>
        </w:rPr>
        <w:t xml:space="preserve"> alignment of the institutional characteristics of ACP-EU Water Partnerships </w:t>
      </w:r>
      <w:r>
        <w:rPr>
          <w:rFonts w:ascii="Calibri" w:hAnsi="Calibri" w:cs="Calibri"/>
          <w:sz w:val="22"/>
          <w:szCs w:val="22"/>
        </w:rPr>
        <w:t xml:space="preserve">to the achievement of a critical mass of capacity. </w:t>
      </w:r>
      <w:r w:rsidR="00813EB9">
        <w:rPr>
          <w:rFonts w:ascii="Calibri" w:hAnsi="Calibri" w:cs="Calibri"/>
          <w:sz w:val="22"/>
          <w:szCs w:val="22"/>
        </w:rPr>
        <w:t xml:space="preserve">Most projects offer ample opportunities for capacity absorption: </w:t>
      </w:r>
      <w:r w:rsidR="00A17389">
        <w:rPr>
          <w:rFonts w:ascii="Calibri" w:hAnsi="Calibri" w:cs="Calibri"/>
          <w:sz w:val="22"/>
          <w:szCs w:val="22"/>
        </w:rPr>
        <w:t xml:space="preserve">28 out of 32 projects have a duration of no less than 36 months, </w:t>
      </w:r>
      <w:r w:rsidR="00813EB9">
        <w:rPr>
          <w:rFonts w:ascii="Calibri" w:hAnsi="Calibri" w:cs="Calibri"/>
          <w:sz w:val="22"/>
          <w:szCs w:val="22"/>
        </w:rPr>
        <w:t xml:space="preserve">9 of which have a duration of 48 months and </w:t>
      </w:r>
      <w:r w:rsidR="00A17389">
        <w:rPr>
          <w:rFonts w:ascii="Calibri" w:hAnsi="Calibri" w:cs="Calibri"/>
          <w:sz w:val="22"/>
          <w:szCs w:val="22"/>
        </w:rPr>
        <w:t>5 of which have a duration of 60 months.</w:t>
      </w:r>
      <w:r w:rsidR="00813EB9">
        <w:rPr>
          <w:rFonts w:ascii="Calibri" w:hAnsi="Calibri" w:cs="Calibri"/>
          <w:sz w:val="22"/>
          <w:szCs w:val="22"/>
        </w:rPr>
        <w:t xml:space="preserve"> </w:t>
      </w:r>
      <w:r w:rsidR="000F11DE">
        <w:rPr>
          <w:rFonts w:ascii="Calibri" w:hAnsi="Calibri" w:cs="Calibri"/>
          <w:sz w:val="22"/>
          <w:szCs w:val="22"/>
        </w:rPr>
        <w:t>Most projects leverage</w:t>
      </w:r>
      <w:r w:rsidR="008421FC">
        <w:rPr>
          <w:rFonts w:ascii="Calibri" w:hAnsi="Calibri" w:cs="Calibri"/>
          <w:sz w:val="22"/>
          <w:szCs w:val="22"/>
        </w:rPr>
        <w:t xml:space="preserve"> significant</w:t>
      </w:r>
      <w:r w:rsidR="000F11DE">
        <w:rPr>
          <w:rFonts w:ascii="Calibri" w:hAnsi="Calibri" w:cs="Calibri"/>
          <w:sz w:val="22"/>
          <w:szCs w:val="22"/>
        </w:rPr>
        <w:t xml:space="preserve"> resources</w:t>
      </w:r>
      <w:r w:rsidR="008421FC">
        <w:rPr>
          <w:rFonts w:ascii="Calibri" w:hAnsi="Calibri" w:cs="Calibri"/>
          <w:sz w:val="22"/>
          <w:szCs w:val="22"/>
        </w:rPr>
        <w:t xml:space="preserve"> to </w:t>
      </w:r>
      <w:r w:rsidR="008421FC" w:rsidRPr="00C16D13">
        <w:rPr>
          <w:rFonts w:ascii="Calibri" w:hAnsi="Calibri" w:cs="Calibri"/>
          <w:sz w:val="22"/>
          <w:szCs w:val="22"/>
        </w:rPr>
        <w:t>sustain their activities: 17 out of 32 projects have a total value of more than €</w:t>
      </w:r>
      <w:r w:rsidR="008421FC" w:rsidRPr="00C16D13">
        <w:rPr>
          <w:rFonts w:ascii="Calibri" w:hAnsi="Calibri"/>
          <w:sz w:val="22"/>
          <w:szCs w:val="22"/>
        </w:rPr>
        <w:t xml:space="preserve">1 million and the project leveraging most resources has a total value of </w:t>
      </w:r>
      <w:r w:rsidR="008421FC" w:rsidRPr="00C16D13">
        <w:rPr>
          <w:rFonts w:ascii="Calibri" w:hAnsi="Calibri" w:cs="Calibri"/>
          <w:sz w:val="22"/>
          <w:szCs w:val="22"/>
        </w:rPr>
        <w:t>€</w:t>
      </w:r>
      <w:r w:rsidR="008421FC" w:rsidRPr="00C16D13">
        <w:rPr>
          <w:rFonts w:ascii="Calibri" w:hAnsi="Calibri" w:cs="TimesNewRomanPSMT"/>
          <w:sz w:val="22"/>
          <w:szCs w:val="22"/>
        </w:rPr>
        <w:t>1,679,000.</w:t>
      </w:r>
      <w:r w:rsidR="008421FC" w:rsidRPr="00C16D13">
        <w:rPr>
          <w:rFonts w:ascii="Calibri" w:hAnsi="Calibri" w:cs="Calibri"/>
          <w:sz w:val="22"/>
          <w:szCs w:val="22"/>
        </w:rPr>
        <w:t xml:space="preserve"> Most projects have a high likelihood of producing a</w:t>
      </w:r>
      <w:r w:rsidR="008421FC">
        <w:rPr>
          <w:rFonts w:ascii="Calibri" w:hAnsi="Calibri" w:cs="Calibri"/>
          <w:sz w:val="22"/>
          <w:szCs w:val="22"/>
        </w:rPr>
        <w:t xml:space="preserve"> tangible impact: 23 out of 32 projects are designed to both contribute to the implementation of national water and sanitation programs and strategies, and pursue synergies with other capacity development initiatives, while all the remaining nine projects </w:t>
      </w:r>
      <w:r w:rsidR="004E5DCB">
        <w:rPr>
          <w:rFonts w:ascii="Calibri" w:hAnsi="Calibri" w:cs="Calibri"/>
          <w:sz w:val="22"/>
          <w:szCs w:val="22"/>
        </w:rPr>
        <w:t>contribute to the implementation of national programs.</w:t>
      </w:r>
      <w:r w:rsidR="00E31DBB">
        <w:rPr>
          <w:rFonts w:ascii="Calibri" w:hAnsi="Calibri" w:cs="Calibri"/>
          <w:sz w:val="22"/>
          <w:szCs w:val="22"/>
        </w:rPr>
        <w:t xml:space="preserve"> Most projects </w:t>
      </w:r>
      <w:r w:rsidR="00112113">
        <w:rPr>
          <w:rFonts w:ascii="Calibri" w:hAnsi="Calibri" w:cs="Calibri"/>
          <w:sz w:val="22"/>
          <w:szCs w:val="22"/>
        </w:rPr>
        <w:t xml:space="preserve">represent a concerted effort to producing sustained effects: </w:t>
      </w:r>
      <w:r w:rsidR="00E31DBB">
        <w:rPr>
          <w:rFonts w:ascii="Calibri" w:hAnsi="Calibri"/>
          <w:sz w:val="22"/>
          <w:szCs w:val="22"/>
        </w:rPr>
        <w:t xml:space="preserve">20 out of 32 projects adopt no less than three diverse approaches each to </w:t>
      </w:r>
      <w:r w:rsidR="00E31DBB">
        <w:rPr>
          <w:rFonts w:ascii="Calibri" w:hAnsi="Calibri" w:cs="Calibri"/>
          <w:sz w:val="22"/>
          <w:szCs w:val="22"/>
        </w:rPr>
        <w:t xml:space="preserve">ensuring that </w:t>
      </w:r>
      <w:r w:rsidR="00E31DBB" w:rsidRPr="00074975">
        <w:rPr>
          <w:rFonts w:ascii="Calibri" w:hAnsi="Calibri"/>
          <w:sz w:val="22"/>
          <w:szCs w:val="22"/>
        </w:rPr>
        <w:t xml:space="preserve">mandatory </w:t>
      </w:r>
      <w:r w:rsidR="00E31DBB">
        <w:rPr>
          <w:rFonts w:ascii="Calibri" w:hAnsi="Calibri"/>
          <w:sz w:val="22"/>
          <w:szCs w:val="22"/>
        </w:rPr>
        <w:t xml:space="preserve">results </w:t>
      </w:r>
      <w:r w:rsidR="00E31DBB" w:rsidRPr="00074975">
        <w:rPr>
          <w:rFonts w:ascii="Calibri" w:hAnsi="Calibri"/>
          <w:sz w:val="22"/>
          <w:szCs w:val="22"/>
        </w:rPr>
        <w:t>are maintained as perm</w:t>
      </w:r>
      <w:r w:rsidR="00E31DBB">
        <w:rPr>
          <w:rFonts w:ascii="Calibri" w:hAnsi="Calibri"/>
          <w:sz w:val="22"/>
          <w:szCs w:val="22"/>
        </w:rPr>
        <w:t>anent assets of the beneficiary partner</w:t>
      </w:r>
      <w:r w:rsidR="00E31DBB" w:rsidRPr="00074975">
        <w:rPr>
          <w:rFonts w:ascii="Calibri" w:hAnsi="Calibri"/>
          <w:sz w:val="22"/>
          <w:szCs w:val="22"/>
        </w:rPr>
        <w:t>s</w:t>
      </w:r>
      <w:r w:rsidR="00E31DBB">
        <w:rPr>
          <w:rFonts w:ascii="Calibri" w:hAnsi="Calibri"/>
          <w:sz w:val="22"/>
          <w:szCs w:val="22"/>
        </w:rPr>
        <w:t>. Of these, 11 projects adopt four or five methodologies each.</w:t>
      </w:r>
      <w:r w:rsidR="004E5DCB">
        <w:rPr>
          <w:rFonts w:ascii="Calibri" w:hAnsi="Calibri" w:cs="Calibri"/>
          <w:sz w:val="22"/>
          <w:szCs w:val="22"/>
        </w:rPr>
        <w:t xml:space="preserve"> </w:t>
      </w:r>
      <w:r w:rsidR="00866696">
        <w:rPr>
          <w:rFonts w:ascii="Calibri" w:hAnsi="Calibri" w:cs="Calibri"/>
          <w:sz w:val="22"/>
          <w:szCs w:val="22"/>
        </w:rPr>
        <w:t xml:space="preserve">Most projects represent a concerted effort to producing a multiplier effect: </w:t>
      </w:r>
      <w:r w:rsidR="00936C23">
        <w:rPr>
          <w:rFonts w:ascii="Calibri" w:hAnsi="Calibri"/>
          <w:sz w:val="22"/>
          <w:szCs w:val="22"/>
        </w:rPr>
        <w:t>28</w:t>
      </w:r>
      <w:r w:rsidR="00866696">
        <w:rPr>
          <w:rFonts w:ascii="Calibri" w:hAnsi="Calibri"/>
          <w:sz w:val="22"/>
          <w:szCs w:val="22"/>
        </w:rPr>
        <w:t xml:space="preserve"> out of 32 </w:t>
      </w:r>
      <w:r w:rsidR="00936C23">
        <w:rPr>
          <w:rFonts w:ascii="Calibri" w:hAnsi="Calibri"/>
          <w:sz w:val="22"/>
          <w:szCs w:val="22"/>
        </w:rPr>
        <w:t xml:space="preserve">projects adopt two or more approaches each to </w:t>
      </w:r>
      <w:r w:rsidR="00936C23">
        <w:rPr>
          <w:rFonts w:ascii="Calibri" w:hAnsi="Calibri" w:cs="Calibri"/>
          <w:sz w:val="22"/>
          <w:szCs w:val="22"/>
        </w:rPr>
        <w:t>obtain replication and scaling-up</w:t>
      </w:r>
      <w:r w:rsidR="00936C23">
        <w:rPr>
          <w:rFonts w:ascii="Calibri" w:hAnsi="Calibri"/>
          <w:sz w:val="22"/>
          <w:szCs w:val="22"/>
        </w:rPr>
        <w:t xml:space="preserve">. Of these, 13 </w:t>
      </w:r>
      <w:r w:rsidR="00866696">
        <w:rPr>
          <w:rFonts w:ascii="Calibri" w:hAnsi="Calibri"/>
          <w:sz w:val="22"/>
          <w:szCs w:val="22"/>
        </w:rPr>
        <w:t xml:space="preserve">projects adopt no less than three </w:t>
      </w:r>
      <w:r w:rsidR="00936C23">
        <w:rPr>
          <w:rFonts w:ascii="Calibri" w:hAnsi="Calibri"/>
          <w:sz w:val="22"/>
          <w:szCs w:val="22"/>
        </w:rPr>
        <w:t>methodologies,</w:t>
      </w:r>
      <w:r w:rsidR="00866696">
        <w:rPr>
          <w:rFonts w:ascii="Calibri" w:hAnsi="Calibri"/>
          <w:sz w:val="22"/>
          <w:szCs w:val="22"/>
        </w:rPr>
        <w:t xml:space="preserve"> five projects adopt four methodologies each and one project adopts six methodologies.</w:t>
      </w:r>
      <w:r w:rsidR="001670F1">
        <w:rPr>
          <w:rFonts w:ascii="Calibri" w:hAnsi="Calibri"/>
          <w:sz w:val="22"/>
          <w:szCs w:val="22"/>
        </w:rPr>
        <w:t xml:space="preserve"> Finally, most projects have strong provisions for monitoring and evaluation of activities and results: 28 out of 32 projects envisage the adoption of external monitoring and evaluation procedures, together with internal procedures. Of these, 7 projects envisage the adoption of two different external procedures each.</w:t>
      </w:r>
    </w:p>
    <w:p w:rsidR="003B5324" w:rsidRDefault="003B5324" w:rsidP="00F67EE2">
      <w:pPr>
        <w:pStyle w:val="NoSpacing"/>
        <w:jc w:val="both"/>
        <w:rPr>
          <w:rFonts w:ascii="Calibri" w:hAnsi="Calibri"/>
          <w:sz w:val="22"/>
          <w:szCs w:val="22"/>
        </w:rPr>
      </w:pPr>
    </w:p>
    <w:p w:rsidR="003B5324" w:rsidRPr="00F26EB0" w:rsidRDefault="003B5324" w:rsidP="003B5324">
      <w:pPr>
        <w:pStyle w:val="Heading7"/>
      </w:pPr>
      <w:bookmarkStart w:id="18" w:name="_Toc331783569"/>
      <w:r>
        <w:lastRenderedPageBreak/>
        <w:t>Alignment of institutional characteristics of ACP-EU Water Partnerships</w:t>
      </w:r>
      <w:bookmarkEnd w:id="18"/>
    </w:p>
    <w:tbl>
      <w:tblPr>
        <w:tblW w:w="7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31"/>
        <w:gridCol w:w="1540"/>
        <w:gridCol w:w="1430"/>
        <w:gridCol w:w="990"/>
        <w:gridCol w:w="880"/>
        <w:gridCol w:w="880"/>
      </w:tblGrid>
      <w:tr w:rsidR="009E02ED" w:rsidRPr="00FA2678" w:rsidTr="009E02ED">
        <w:trPr>
          <w:cantSplit/>
          <w:trHeight w:val="2451"/>
          <w:tblHeader/>
        </w:trPr>
        <w:tc>
          <w:tcPr>
            <w:tcW w:w="817" w:type="dxa"/>
            <w:shd w:val="clear" w:color="auto" w:fill="auto"/>
            <w:textDirection w:val="btLr"/>
          </w:tcPr>
          <w:p w:rsidR="009E02ED" w:rsidRPr="00A460EC" w:rsidRDefault="009E02ED" w:rsidP="00B72CDC">
            <w:pPr>
              <w:ind w:left="113" w:right="113"/>
              <w:rPr>
                <w:rFonts w:cs="Calibri"/>
                <w:b/>
                <w:sz w:val="20"/>
                <w:szCs w:val="20"/>
              </w:rPr>
            </w:pPr>
            <w:r>
              <w:rPr>
                <w:rFonts w:cs="Calibri"/>
                <w:b/>
                <w:sz w:val="20"/>
                <w:szCs w:val="20"/>
              </w:rPr>
              <w:t>Project ID</w:t>
            </w:r>
          </w:p>
        </w:tc>
        <w:tc>
          <w:tcPr>
            <w:tcW w:w="831" w:type="dxa"/>
            <w:textDirection w:val="btLr"/>
          </w:tcPr>
          <w:p w:rsidR="009E02ED" w:rsidRDefault="009E02ED" w:rsidP="00B72CDC">
            <w:pPr>
              <w:pStyle w:val="NoSpacing"/>
              <w:rPr>
                <w:rFonts w:ascii="Calibri" w:hAnsi="Calibri"/>
                <w:b/>
                <w:sz w:val="20"/>
                <w:szCs w:val="20"/>
              </w:rPr>
            </w:pPr>
            <w:r>
              <w:rPr>
                <w:rFonts w:ascii="Calibri" w:hAnsi="Calibri"/>
                <w:b/>
                <w:sz w:val="20"/>
                <w:szCs w:val="20"/>
              </w:rPr>
              <w:t xml:space="preserve">Duration of project </w:t>
            </w:r>
          </w:p>
          <w:p w:rsidR="009E02ED" w:rsidRPr="002E3B90" w:rsidRDefault="009E02ED" w:rsidP="00B72CDC">
            <w:pPr>
              <w:pStyle w:val="NoSpacing"/>
              <w:rPr>
                <w:rFonts w:ascii="Calibri" w:hAnsi="Calibri"/>
                <w:b/>
                <w:sz w:val="20"/>
                <w:szCs w:val="20"/>
              </w:rPr>
            </w:pPr>
            <w:r>
              <w:rPr>
                <w:rFonts w:ascii="Calibri" w:hAnsi="Calibri"/>
                <w:b/>
                <w:sz w:val="20"/>
                <w:szCs w:val="20"/>
              </w:rPr>
              <w:t>(in months)</w:t>
            </w:r>
          </w:p>
        </w:tc>
        <w:tc>
          <w:tcPr>
            <w:tcW w:w="1540" w:type="dxa"/>
            <w:shd w:val="clear" w:color="auto" w:fill="auto"/>
            <w:textDirection w:val="btLr"/>
          </w:tcPr>
          <w:p w:rsidR="009E02ED" w:rsidRDefault="009E02ED" w:rsidP="00B72CDC">
            <w:pPr>
              <w:pStyle w:val="NoSpacing"/>
              <w:rPr>
                <w:rFonts w:ascii="Calibri" w:hAnsi="Calibri"/>
                <w:b/>
                <w:sz w:val="20"/>
                <w:szCs w:val="20"/>
              </w:rPr>
            </w:pPr>
            <w:r>
              <w:rPr>
                <w:rFonts w:ascii="Calibri" w:hAnsi="Calibri"/>
                <w:b/>
                <w:sz w:val="20"/>
                <w:szCs w:val="20"/>
              </w:rPr>
              <w:t xml:space="preserve">Total value of project </w:t>
            </w:r>
          </w:p>
          <w:p w:rsidR="009E02ED" w:rsidRPr="002E3B90" w:rsidRDefault="009E02ED" w:rsidP="00B72CDC">
            <w:pPr>
              <w:pStyle w:val="NoSpacing"/>
              <w:rPr>
                <w:rFonts w:ascii="Calibri" w:hAnsi="Calibri"/>
                <w:b/>
                <w:sz w:val="20"/>
                <w:szCs w:val="20"/>
              </w:rPr>
            </w:pPr>
            <w:r>
              <w:rPr>
                <w:rFonts w:ascii="Calibri" w:hAnsi="Calibri"/>
                <w:b/>
                <w:sz w:val="20"/>
                <w:szCs w:val="20"/>
              </w:rPr>
              <w:t xml:space="preserve">(in €) </w:t>
            </w:r>
          </w:p>
        </w:tc>
        <w:tc>
          <w:tcPr>
            <w:tcW w:w="1430" w:type="dxa"/>
            <w:textDirection w:val="btLr"/>
          </w:tcPr>
          <w:p w:rsidR="009E02ED" w:rsidRPr="002E3B90" w:rsidRDefault="009E02ED" w:rsidP="00B72CDC">
            <w:pPr>
              <w:pStyle w:val="NoSpacing"/>
              <w:rPr>
                <w:rFonts w:ascii="Calibri" w:hAnsi="Calibri"/>
                <w:b/>
                <w:sz w:val="20"/>
                <w:szCs w:val="20"/>
              </w:rPr>
            </w:pPr>
            <w:r>
              <w:rPr>
                <w:rFonts w:ascii="Calibri" w:hAnsi="Calibri"/>
                <w:b/>
                <w:sz w:val="20"/>
                <w:szCs w:val="20"/>
              </w:rPr>
              <w:t>Does the project contribute t</w:t>
            </w:r>
            <w:r w:rsidR="00CA66DC">
              <w:rPr>
                <w:rFonts w:ascii="Calibri" w:hAnsi="Calibri"/>
                <w:b/>
                <w:sz w:val="20"/>
                <w:szCs w:val="20"/>
              </w:rPr>
              <w:t>o national strategies and envisage</w:t>
            </w:r>
            <w:r>
              <w:rPr>
                <w:rFonts w:ascii="Calibri" w:hAnsi="Calibri"/>
                <w:b/>
                <w:sz w:val="20"/>
                <w:szCs w:val="20"/>
              </w:rPr>
              <w:t xml:space="preserve"> synergies with other initiatives?</w:t>
            </w:r>
          </w:p>
        </w:tc>
        <w:tc>
          <w:tcPr>
            <w:tcW w:w="990" w:type="dxa"/>
            <w:textDirection w:val="btLr"/>
          </w:tcPr>
          <w:p w:rsidR="009E02ED" w:rsidRPr="002E3B90" w:rsidRDefault="009E02ED" w:rsidP="00B72CDC">
            <w:pPr>
              <w:pStyle w:val="NoSpacing"/>
              <w:rPr>
                <w:rFonts w:ascii="Calibri" w:hAnsi="Calibri"/>
                <w:b/>
                <w:sz w:val="20"/>
                <w:szCs w:val="20"/>
              </w:rPr>
            </w:pPr>
            <w:r>
              <w:rPr>
                <w:rFonts w:ascii="Calibri" w:hAnsi="Calibri"/>
                <w:b/>
                <w:sz w:val="20"/>
                <w:szCs w:val="20"/>
              </w:rPr>
              <w:t xml:space="preserve">Number of methodologies used to produce permanent assets of beneficiary partners </w:t>
            </w:r>
          </w:p>
        </w:tc>
        <w:tc>
          <w:tcPr>
            <w:tcW w:w="880" w:type="dxa"/>
            <w:textDirection w:val="btLr"/>
          </w:tcPr>
          <w:p w:rsidR="009E02ED" w:rsidRPr="002E3B90" w:rsidRDefault="009E02ED" w:rsidP="00B72CDC">
            <w:pPr>
              <w:pStyle w:val="NoSpacing"/>
              <w:rPr>
                <w:rFonts w:ascii="Calibri" w:hAnsi="Calibri"/>
                <w:b/>
                <w:sz w:val="20"/>
                <w:szCs w:val="20"/>
              </w:rPr>
            </w:pPr>
            <w:r>
              <w:rPr>
                <w:rFonts w:ascii="Calibri" w:hAnsi="Calibri"/>
                <w:b/>
                <w:sz w:val="20"/>
                <w:szCs w:val="20"/>
              </w:rPr>
              <w:t xml:space="preserve">Number of methodologies used to achieve replication and scaling-up </w:t>
            </w:r>
          </w:p>
        </w:tc>
        <w:tc>
          <w:tcPr>
            <w:tcW w:w="880" w:type="dxa"/>
            <w:textDirection w:val="btLr"/>
          </w:tcPr>
          <w:p w:rsidR="009E02ED" w:rsidRPr="00FA2678" w:rsidRDefault="009E02ED" w:rsidP="00B72CDC">
            <w:pPr>
              <w:pStyle w:val="NoSpacing"/>
              <w:ind w:left="113" w:right="113"/>
              <w:rPr>
                <w:rFonts w:ascii="Calibri" w:hAnsi="Calibri"/>
                <w:b/>
                <w:sz w:val="20"/>
                <w:szCs w:val="20"/>
              </w:rPr>
            </w:pPr>
            <w:r>
              <w:rPr>
                <w:rFonts w:ascii="Calibri" w:hAnsi="Calibri"/>
                <w:b/>
                <w:sz w:val="20"/>
                <w:szCs w:val="20"/>
              </w:rPr>
              <w:t xml:space="preserve">Is the project externally monitored and evaluated? </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w:t>
            </w:r>
          </w:p>
        </w:tc>
        <w:tc>
          <w:tcPr>
            <w:tcW w:w="831" w:type="dxa"/>
          </w:tcPr>
          <w:p w:rsidR="006F109B" w:rsidRPr="00373C70" w:rsidRDefault="006F109B" w:rsidP="00CA5E4D">
            <w:pPr>
              <w:jc w:val="center"/>
              <w:rPr>
                <w:sz w:val="20"/>
                <w:szCs w:val="20"/>
              </w:rPr>
            </w:pPr>
            <w:r w:rsidRPr="00373C70">
              <w:rPr>
                <w:sz w:val="20"/>
                <w:szCs w:val="20"/>
              </w:rPr>
              <w:t>60</w:t>
            </w:r>
          </w:p>
        </w:tc>
        <w:tc>
          <w:tcPr>
            <w:tcW w:w="1540" w:type="dxa"/>
            <w:shd w:val="clear" w:color="auto" w:fill="auto"/>
          </w:tcPr>
          <w:p w:rsidR="006F109B" w:rsidRPr="000641C5" w:rsidRDefault="006F109B" w:rsidP="00D14663">
            <w:pPr>
              <w:pStyle w:val="NoSpacing"/>
              <w:jc w:val="center"/>
              <w:rPr>
                <w:rFonts w:ascii="Calibri" w:hAnsi="Calibri" w:cs="Calibri"/>
                <w:bCs/>
                <w:sz w:val="22"/>
                <w:szCs w:val="22"/>
              </w:rPr>
            </w:pPr>
            <w:r w:rsidRPr="00852ED8">
              <w:rPr>
                <w:rFonts w:ascii="Calibri" w:hAnsi="Calibri" w:cs="Calibri"/>
                <w:sz w:val="20"/>
              </w:rPr>
              <w:t>€</w:t>
            </w:r>
            <w:r w:rsidRPr="00852ED8">
              <w:rPr>
                <w:rFonts w:ascii="Calibri" w:hAnsi="Calibri"/>
                <w:sz w:val="20"/>
              </w:rPr>
              <w:t>1,390,000</w:t>
            </w:r>
          </w:p>
        </w:tc>
        <w:tc>
          <w:tcPr>
            <w:tcW w:w="1430" w:type="dxa"/>
          </w:tcPr>
          <w:p w:rsidR="006F109B" w:rsidRPr="00FE3CDB" w:rsidRDefault="004F7C80" w:rsidP="004F7C80">
            <w:pPr>
              <w:pStyle w:val="NoSpacing"/>
              <w:jc w:val="center"/>
              <w:rPr>
                <w:rFonts w:ascii="Calibri" w:hAnsi="Calibri"/>
                <w:bCs/>
                <w:color w:val="000000"/>
                <w:sz w:val="20"/>
                <w:szCs w:val="20"/>
              </w:rPr>
            </w:pPr>
            <w:r>
              <w:rPr>
                <w:rFonts w:ascii="Calibri" w:hAnsi="Calibri"/>
                <w:bCs/>
                <w:color w:val="000000"/>
                <w:sz w:val="20"/>
                <w:szCs w:val="20"/>
              </w:rPr>
              <w:t>N</w:t>
            </w:r>
          </w:p>
        </w:tc>
        <w:tc>
          <w:tcPr>
            <w:tcW w:w="990" w:type="dxa"/>
          </w:tcPr>
          <w:p w:rsidR="006F109B" w:rsidRPr="000641C5" w:rsidRDefault="006F109B" w:rsidP="00CA5E4D">
            <w:pPr>
              <w:pStyle w:val="NoSpacing"/>
              <w:jc w:val="center"/>
              <w:rPr>
                <w:rFonts w:ascii="Calibri" w:hAnsi="Calibri" w:cs="Calibri"/>
                <w:bCs/>
                <w:sz w:val="20"/>
                <w:szCs w:val="20"/>
              </w:rPr>
            </w:pPr>
            <w:r>
              <w:rPr>
                <w:rFonts w:ascii="Calibri" w:hAnsi="Calibri" w:cs="Calibri"/>
                <w:bCs/>
                <w:sz w:val="20"/>
                <w:szCs w:val="20"/>
              </w:rPr>
              <w:t>5</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3</w:t>
            </w:r>
          </w:p>
        </w:tc>
        <w:tc>
          <w:tcPr>
            <w:tcW w:w="880" w:type="dxa"/>
          </w:tcPr>
          <w:p w:rsidR="006F109B" w:rsidRPr="000641C5" w:rsidRDefault="006F109B" w:rsidP="00CA5E4D">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w:t>
            </w:r>
          </w:p>
        </w:tc>
        <w:tc>
          <w:tcPr>
            <w:tcW w:w="831" w:type="dxa"/>
          </w:tcPr>
          <w:p w:rsidR="006F109B" w:rsidRPr="00373C70" w:rsidRDefault="006F109B" w:rsidP="00CA5E4D">
            <w:pPr>
              <w:jc w:val="center"/>
              <w:rPr>
                <w:sz w:val="20"/>
                <w:szCs w:val="20"/>
              </w:rPr>
            </w:pPr>
            <w:r w:rsidRPr="00373C70">
              <w:rPr>
                <w:sz w:val="20"/>
                <w:szCs w:val="20"/>
              </w:rPr>
              <w:t>48</w:t>
            </w:r>
          </w:p>
        </w:tc>
        <w:tc>
          <w:tcPr>
            <w:tcW w:w="1540" w:type="dxa"/>
            <w:shd w:val="clear" w:color="auto" w:fill="auto"/>
          </w:tcPr>
          <w:p w:rsidR="006F109B" w:rsidRPr="000641C5" w:rsidRDefault="00A855F3" w:rsidP="00D14663">
            <w:pPr>
              <w:pStyle w:val="NoSpacing"/>
              <w:jc w:val="center"/>
              <w:rPr>
                <w:rFonts w:ascii="Calibri" w:hAnsi="Calibri" w:cs="Calibri"/>
                <w:bCs/>
                <w:sz w:val="22"/>
                <w:szCs w:val="22"/>
              </w:rPr>
            </w:pPr>
            <w:r w:rsidRPr="00852ED8">
              <w:rPr>
                <w:rFonts w:ascii="Calibri" w:hAnsi="Calibri" w:cs="Calibri"/>
                <w:sz w:val="20"/>
              </w:rPr>
              <w:t>€</w:t>
            </w:r>
            <w:r>
              <w:rPr>
                <w:rFonts w:ascii="Calibri" w:hAnsi="Calibri"/>
                <w:sz w:val="20"/>
              </w:rPr>
              <w:t>814</w:t>
            </w:r>
            <w:r w:rsidRPr="00852ED8">
              <w:rPr>
                <w:rFonts w:ascii="Calibri" w:hAnsi="Calibri"/>
                <w:sz w:val="20"/>
              </w:rPr>
              <w:t>,000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bCs/>
                <w:sz w:val="20"/>
                <w:szCs w:val="20"/>
              </w:rPr>
            </w:pPr>
            <w:r>
              <w:rPr>
                <w:rFonts w:ascii="Calibri" w:hAnsi="Calibri" w:cs="Calibri"/>
                <w:bCs/>
                <w:sz w:val="20"/>
                <w:szCs w:val="20"/>
              </w:rPr>
              <w:t>4</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3</w:t>
            </w:r>
          </w:p>
        </w:tc>
        <w:tc>
          <w:tcPr>
            <w:tcW w:w="831" w:type="dxa"/>
          </w:tcPr>
          <w:p w:rsidR="006F109B" w:rsidRPr="00373C70" w:rsidRDefault="006F109B" w:rsidP="00CA5E4D">
            <w:pPr>
              <w:jc w:val="center"/>
              <w:rPr>
                <w:sz w:val="20"/>
                <w:szCs w:val="20"/>
              </w:rPr>
            </w:pPr>
            <w:r w:rsidRPr="00373C70">
              <w:rPr>
                <w:sz w:val="20"/>
                <w:szCs w:val="20"/>
              </w:rPr>
              <w:t>28</w:t>
            </w:r>
          </w:p>
        </w:tc>
        <w:tc>
          <w:tcPr>
            <w:tcW w:w="1540" w:type="dxa"/>
            <w:shd w:val="clear" w:color="auto" w:fill="auto"/>
          </w:tcPr>
          <w:p w:rsidR="006F109B" w:rsidRPr="000641C5" w:rsidRDefault="001D68F4" w:rsidP="00D14663">
            <w:pPr>
              <w:pStyle w:val="NoSpacing"/>
              <w:jc w:val="center"/>
              <w:rPr>
                <w:rFonts w:ascii="Calibri" w:hAnsi="Calibri" w:cs="Calibri"/>
                <w:bCs/>
                <w:sz w:val="22"/>
                <w:szCs w:val="22"/>
              </w:rPr>
            </w:pPr>
            <w:r w:rsidRPr="00852ED8">
              <w:rPr>
                <w:rFonts w:ascii="Calibri" w:hAnsi="Calibri" w:cs="Calibri"/>
                <w:sz w:val="20"/>
              </w:rPr>
              <w:t>€</w:t>
            </w:r>
            <w:r>
              <w:rPr>
                <w:rFonts w:ascii="Calibri" w:hAnsi="Calibri" w:cs="Calibri"/>
                <w:sz w:val="20"/>
              </w:rPr>
              <w:t>1,191,000</w:t>
            </w:r>
          </w:p>
        </w:tc>
        <w:tc>
          <w:tcPr>
            <w:tcW w:w="1430" w:type="dxa"/>
          </w:tcPr>
          <w:p w:rsidR="006F109B" w:rsidRPr="00FE3CDB" w:rsidRDefault="004F7C80" w:rsidP="004F7C80">
            <w:pPr>
              <w:pStyle w:val="NoSpacing"/>
              <w:jc w:val="center"/>
              <w:rPr>
                <w:rFonts w:ascii="Calibri" w:hAnsi="Calibri"/>
                <w:bCs/>
                <w:color w:val="000000"/>
                <w:sz w:val="20"/>
                <w:szCs w:val="20"/>
              </w:rPr>
            </w:pPr>
            <w:r>
              <w:rPr>
                <w:rFonts w:ascii="Calibri" w:hAnsi="Calibri"/>
                <w:bCs/>
                <w:color w:val="000000"/>
                <w:sz w:val="20"/>
                <w:szCs w:val="20"/>
              </w:rPr>
              <w:t>N</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1</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4</w:t>
            </w:r>
          </w:p>
        </w:tc>
        <w:tc>
          <w:tcPr>
            <w:tcW w:w="831" w:type="dxa"/>
          </w:tcPr>
          <w:p w:rsidR="006F109B" w:rsidRPr="00373C70" w:rsidRDefault="006F109B" w:rsidP="00CA5E4D">
            <w:pPr>
              <w:jc w:val="center"/>
              <w:rPr>
                <w:sz w:val="20"/>
                <w:szCs w:val="20"/>
              </w:rPr>
            </w:pPr>
            <w:r w:rsidRPr="00373C70">
              <w:rPr>
                <w:sz w:val="20"/>
                <w:szCs w:val="20"/>
              </w:rPr>
              <w:t>30</w:t>
            </w:r>
          </w:p>
        </w:tc>
        <w:tc>
          <w:tcPr>
            <w:tcW w:w="1540" w:type="dxa"/>
            <w:shd w:val="clear" w:color="auto" w:fill="auto"/>
          </w:tcPr>
          <w:p w:rsidR="006F109B" w:rsidRPr="000641C5" w:rsidRDefault="001D68F4" w:rsidP="00D14663">
            <w:pPr>
              <w:pStyle w:val="NoSpacing"/>
              <w:jc w:val="center"/>
              <w:rPr>
                <w:rFonts w:ascii="Calibri" w:hAnsi="Calibri" w:cs="Calibri"/>
                <w:sz w:val="22"/>
                <w:szCs w:val="22"/>
              </w:rPr>
            </w:pPr>
            <w:r w:rsidRPr="00852ED8">
              <w:rPr>
                <w:rFonts w:ascii="Calibri" w:hAnsi="Calibri" w:cs="Calibri"/>
                <w:sz w:val="20"/>
              </w:rPr>
              <w:t>€</w:t>
            </w:r>
            <w:r>
              <w:rPr>
                <w:rFonts w:ascii="Calibri" w:hAnsi="Calibri" w:cs="Calibri"/>
                <w:sz w:val="20"/>
              </w:rPr>
              <w:t>1,447,000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5</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5</w:t>
            </w:r>
          </w:p>
        </w:tc>
        <w:tc>
          <w:tcPr>
            <w:tcW w:w="831" w:type="dxa"/>
          </w:tcPr>
          <w:p w:rsidR="006F109B" w:rsidRPr="00373C70" w:rsidRDefault="006F109B" w:rsidP="00CA5E4D">
            <w:pPr>
              <w:jc w:val="center"/>
              <w:rPr>
                <w:sz w:val="20"/>
                <w:szCs w:val="20"/>
              </w:rPr>
            </w:pPr>
            <w:r>
              <w:rPr>
                <w:sz w:val="20"/>
                <w:szCs w:val="20"/>
              </w:rPr>
              <w:t>36</w:t>
            </w:r>
          </w:p>
        </w:tc>
        <w:tc>
          <w:tcPr>
            <w:tcW w:w="1540" w:type="dxa"/>
            <w:shd w:val="clear" w:color="auto" w:fill="auto"/>
          </w:tcPr>
          <w:p w:rsidR="006F109B" w:rsidRPr="000641C5" w:rsidRDefault="001D68F4" w:rsidP="00D14663">
            <w:pPr>
              <w:pStyle w:val="NoSpacing"/>
              <w:jc w:val="center"/>
              <w:rPr>
                <w:rFonts w:ascii="Calibri" w:hAnsi="Calibri" w:cs="Calibri"/>
                <w:sz w:val="22"/>
                <w:szCs w:val="22"/>
              </w:rPr>
            </w:pPr>
            <w:r w:rsidRPr="00852ED8">
              <w:rPr>
                <w:rFonts w:ascii="Calibri" w:hAnsi="Calibri" w:cs="Calibri"/>
                <w:sz w:val="20"/>
              </w:rPr>
              <w:t>€</w:t>
            </w:r>
            <w:r>
              <w:rPr>
                <w:rFonts w:ascii="Calibri" w:hAnsi="Calibri" w:cs="Calibri"/>
                <w:sz w:val="20"/>
              </w:rPr>
              <w:t>867,000</w:t>
            </w:r>
          </w:p>
        </w:tc>
        <w:tc>
          <w:tcPr>
            <w:tcW w:w="1430" w:type="dxa"/>
          </w:tcPr>
          <w:p w:rsidR="006F109B" w:rsidRPr="00FE3CDB" w:rsidRDefault="004F7C80" w:rsidP="004F7C80">
            <w:pPr>
              <w:pStyle w:val="NoSpacing"/>
              <w:jc w:val="center"/>
              <w:rPr>
                <w:rFonts w:ascii="Calibri" w:hAnsi="Calibri"/>
                <w:bCs/>
                <w:color w:val="000000"/>
                <w:sz w:val="20"/>
                <w:szCs w:val="20"/>
              </w:rPr>
            </w:pPr>
            <w:r>
              <w:rPr>
                <w:rFonts w:ascii="Calibri" w:hAnsi="Calibri"/>
                <w:bCs/>
                <w:color w:val="000000"/>
                <w:sz w:val="20"/>
                <w:szCs w:val="20"/>
              </w:rPr>
              <w:t>N</w:t>
            </w:r>
          </w:p>
        </w:tc>
        <w:tc>
          <w:tcPr>
            <w:tcW w:w="990" w:type="dxa"/>
          </w:tcPr>
          <w:p w:rsidR="006F109B" w:rsidRPr="000641C5" w:rsidRDefault="006F109B" w:rsidP="00CA5E4D">
            <w:pPr>
              <w:pStyle w:val="NoSpacing"/>
              <w:jc w:val="center"/>
              <w:rPr>
                <w:rFonts w:ascii="Calibri" w:hAnsi="Calibri" w:cs="Calibri"/>
                <w:bCs/>
                <w:sz w:val="20"/>
                <w:szCs w:val="20"/>
              </w:rPr>
            </w:pPr>
            <w:r>
              <w:rPr>
                <w:rFonts w:ascii="Calibri" w:hAnsi="Calibri" w:cs="Calibri"/>
                <w:bCs/>
                <w:sz w:val="20"/>
                <w:szCs w:val="20"/>
              </w:rPr>
              <w:t>3</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1</w:t>
            </w:r>
          </w:p>
        </w:tc>
        <w:tc>
          <w:tcPr>
            <w:tcW w:w="880" w:type="dxa"/>
          </w:tcPr>
          <w:p w:rsidR="006F109B" w:rsidRPr="000641C5" w:rsidRDefault="006F109B" w:rsidP="00CA5E4D">
            <w:pPr>
              <w:pStyle w:val="NoSpacing"/>
              <w:jc w:val="center"/>
              <w:rPr>
                <w:rFonts w:ascii="Calibri" w:hAnsi="Calibri" w:cs="Calibri"/>
                <w:bCs/>
                <w:sz w:val="22"/>
                <w:szCs w:val="22"/>
              </w:rPr>
            </w:pPr>
            <w:r>
              <w:rPr>
                <w:rFonts w:ascii="Calibri" w:hAnsi="Calibri" w:cs="Calibri"/>
                <w:bCs/>
                <w:sz w:val="22"/>
                <w:szCs w:val="22"/>
              </w:rPr>
              <w:t>N</w:t>
            </w:r>
          </w:p>
        </w:tc>
      </w:tr>
      <w:tr w:rsidR="006F109B" w:rsidRPr="000641C5" w:rsidTr="009E02ED">
        <w:tc>
          <w:tcPr>
            <w:tcW w:w="817" w:type="dxa"/>
            <w:shd w:val="clear" w:color="auto" w:fill="auto"/>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6</w:t>
            </w:r>
          </w:p>
        </w:tc>
        <w:tc>
          <w:tcPr>
            <w:tcW w:w="831" w:type="dxa"/>
          </w:tcPr>
          <w:p w:rsidR="006F109B" w:rsidRPr="00373C70" w:rsidRDefault="006F109B" w:rsidP="00CA5E4D">
            <w:pPr>
              <w:jc w:val="center"/>
              <w:rPr>
                <w:sz w:val="20"/>
                <w:szCs w:val="20"/>
              </w:rPr>
            </w:pPr>
            <w:r w:rsidRPr="00373C70">
              <w:rPr>
                <w:sz w:val="20"/>
                <w:szCs w:val="20"/>
              </w:rPr>
              <w:t>36</w:t>
            </w:r>
          </w:p>
        </w:tc>
        <w:tc>
          <w:tcPr>
            <w:tcW w:w="1540" w:type="dxa"/>
            <w:shd w:val="clear" w:color="auto" w:fill="auto"/>
          </w:tcPr>
          <w:p w:rsidR="006F109B" w:rsidRPr="000641C5" w:rsidRDefault="00E034BA" w:rsidP="00D14663">
            <w:pPr>
              <w:pStyle w:val="NoSpacing"/>
              <w:jc w:val="center"/>
              <w:rPr>
                <w:rFonts w:ascii="Calibri" w:hAnsi="Calibri" w:cs="Calibri"/>
                <w:sz w:val="22"/>
                <w:szCs w:val="22"/>
              </w:rPr>
            </w:pPr>
            <w:r w:rsidRPr="00852ED8">
              <w:rPr>
                <w:rFonts w:ascii="Calibri" w:hAnsi="Calibri" w:cs="Calibri"/>
                <w:sz w:val="20"/>
              </w:rPr>
              <w:t>€</w:t>
            </w:r>
            <w:r>
              <w:rPr>
                <w:rFonts w:ascii="Calibri" w:hAnsi="Calibri" w:cs="Calibri"/>
                <w:sz w:val="20"/>
              </w:rPr>
              <w:t>504,000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1</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7</w:t>
            </w:r>
          </w:p>
        </w:tc>
        <w:tc>
          <w:tcPr>
            <w:tcW w:w="831" w:type="dxa"/>
          </w:tcPr>
          <w:p w:rsidR="006F109B" w:rsidRPr="00373C70" w:rsidRDefault="006F109B" w:rsidP="00CA5E4D">
            <w:pPr>
              <w:jc w:val="center"/>
              <w:rPr>
                <w:sz w:val="20"/>
                <w:szCs w:val="20"/>
              </w:rPr>
            </w:pPr>
            <w:r w:rsidRPr="00373C70">
              <w:rPr>
                <w:sz w:val="20"/>
                <w:szCs w:val="20"/>
              </w:rPr>
              <w:t>60</w:t>
            </w:r>
          </w:p>
        </w:tc>
        <w:tc>
          <w:tcPr>
            <w:tcW w:w="1540" w:type="dxa"/>
            <w:shd w:val="clear" w:color="auto" w:fill="auto"/>
          </w:tcPr>
          <w:p w:rsidR="006F109B" w:rsidRPr="000641C5" w:rsidRDefault="00E034BA" w:rsidP="00D14663">
            <w:pPr>
              <w:pStyle w:val="NoSpacing"/>
              <w:jc w:val="center"/>
              <w:rPr>
                <w:rFonts w:ascii="Calibri" w:hAnsi="Calibri" w:cs="Calibri"/>
                <w:bCs/>
                <w:sz w:val="22"/>
                <w:szCs w:val="22"/>
              </w:rPr>
            </w:pPr>
            <w:r w:rsidRPr="00852ED8">
              <w:rPr>
                <w:rFonts w:ascii="Calibri" w:hAnsi="Calibri" w:cs="Calibri"/>
                <w:sz w:val="20"/>
              </w:rPr>
              <w:t>€</w:t>
            </w:r>
            <w:r>
              <w:rPr>
                <w:rFonts w:ascii="Calibri" w:hAnsi="Calibri" w:cs="Calibri"/>
                <w:sz w:val="20"/>
              </w:rPr>
              <w:t>466,000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1</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8</w:t>
            </w:r>
          </w:p>
        </w:tc>
        <w:tc>
          <w:tcPr>
            <w:tcW w:w="831" w:type="dxa"/>
          </w:tcPr>
          <w:p w:rsidR="006F109B" w:rsidRPr="00373C70" w:rsidRDefault="006F109B" w:rsidP="00CA5E4D">
            <w:pPr>
              <w:jc w:val="center"/>
              <w:rPr>
                <w:sz w:val="20"/>
                <w:szCs w:val="20"/>
              </w:rPr>
            </w:pPr>
            <w:r w:rsidRPr="00373C70">
              <w:rPr>
                <w:sz w:val="20"/>
                <w:szCs w:val="20"/>
              </w:rPr>
              <w:t>36</w:t>
            </w:r>
          </w:p>
        </w:tc>
        <w:tc>
          <w:tcPr>
            <w:tcW w:w="1540" w:type="dxa"/>
            <w:shd w:val="clear" w:color="auto" w:fill="auto"/>
          </w:tcPr>
          <w:p w:rsidR="006F109B" w:rsidRPr="000641C5" w:rsidRDefault="00E034BA" w:rsidP="00D14663">
            <w:pPr>
              <w:pStyle w:val="NoSpacing"/>
              <w:jc w:val="center"/>
              <w:rPr>
                <w:rFonts w:ascii="Calibri" w:hAnsi="Calibri" w:cs="Calibri"/>
                <w:sz w:val="22"/>
                <w:szCs w:val="22"/>
              </w:rPr>
            </w:pPr>
            <w:r w:rsidRPr="00E173FB">
              <w:rPr>
                <w:rFonts w:ascii="Calibri" w:hAnsi="Calibri" w:cs="Arial"/>
                <w:sz w:val="20"/>
              </w:rPr>
              <w:t>€</w:t>
            </w:r>
            <w:r>
              <w:rPr>
                <w:rFonts w:ascii="Calibri" w:hAnsi="Calibri" w:cs="Arial"/>
                <w:sz w:val="20"/>
              </w:rPr>
              <w:t>1,326,000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1</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9</w:t>
            </w:r>
          </w:p>
        </w:tc>
        <w:tc>
          <w:tcPr>
            <w:tcW w:w="831" w:type="dxa"/>
          </w:tcPr>
          <w:p w:rsidR="006F109B" w:rsidRPr="00373C70" w:rsidRDefault="006F109B" w:rsidP="00CA5E4D">
            <w:pPr>
              <w:jc w:val="center"/>
              <w:rPr>
                <w:sz w:val="20"/>
                <w:szCs w:val="20"/>
              </w:rPr>
            </w:pPr>
            <w:r w:rsidRPr="00373C70">
              <w:rPr>
                <w:sz w:val="20"/>
                <w:szCs w:val="20"/>
              </w:rPr>
              <w:t>36</w:t>
            </w:r>
          </w:p>
        </w:tc>
        <w:tc>
          <w:tcPr>
            <w:tcW w:w="1540" w:type="dxa"/>
            <w:shd w:val="clear" w:color="auto" w:fill="auto"/>
          </w:tcPr>
          <w:p w:rsidR="006F109B" w:rsidRPr="000641C5" w:rsidRDefault="00AE19B1" w:rsidP="00D14663">
            <w:pPr>
              <w:pStyle w:val="NoSpacing"/>
              <w:jc w:val="center"/>
              <w:rPr>
                <w:rFonts w:ascii="Calibri" w:hAnsi="Calibri" w:cs="Calibri"/>
                <w:bCs/>
                <w:sz w:val="22"/>
                <w:szCs w:val="22"/>
              </w:rPr>
            </w:pPr>
            <w:r w:rsidRPr="00595A5E">
              <w:rPr>
                <w:rFonts w:ascii="Calibri" w:hAnsi="Calibri"/>
                <w:sz w:val="20"/>
              </w:rPr>
              <w:t>€914,213</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bCs/>
                <w:sz w:val="20"/>
                <w:szCs w:val="20"/>
              </w:rPr>
            </w:pPr>
            <w:r>
              <w:rPr>
                <w:rFonts w:ascii="Calibri" w:hAnsi="Calibri" w:cs="Calibri"/>
                <w:bCs/>
                <w:sz w:val="20"/>
                <w:szCs w:val="20"/>
              </w:rPr>
              <w:t>3</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1</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10</w:t>
            </w:r>
          </w:p>
        </w:tc>
        <w:tc>
          <w:tcPr>
            <w:tcW w:w="831" w:type="dxa"/>
          </w:tcPr>
          <w:p w:rsidR="006F109B" w:rsidRPr="00373C70" w:rsidRDefault="006F109B" w:rsidP="00CA5E4D">
            <w:pPr>
              <w:jc w:val="center"/>
              <w:rPr>
                <w:sz w:val="20"/>
                <w:szCs w:val="20"/>
              </w:rPr>
            </w:pPr>
            <w:r w:rsidRPr="00373C70">
              <w:rPr>
                <w:sz w:val="20"/>
                <w:szCs w:val="20"/>
              </w:rPr>
              <w:t>24</w:t>
            </w:r>
          </w:p>
        </w:tc>
        <w:tc>
          <w:tcPr>
            <w:tcW w:w="1540" w:type="dxa"/>
            <w:shd w:val="clear" w:color="auto" w:fill="auto"/>
          </w:tcPr>
          <w:p w:rsidR="006F109B" w:rsidRPr="000641C5" w:rsidRDefault="00AE19B1" w:rsidP="00D14663">
            <w:pPr>
              <w:pStyle w:val="NoSpacing"/>
              <w:jc w:val="center"/>
              <w:rPr>
                <w:rFonts w:ascii="Calibri" w:hAnsi="Calibri" w:cs="Calibri"/>
                <w:bCs/>
                <w:sz w:val="22"/>
                <w:szCs w:val="22"/>
              </w:rPr>
            </w:pPr>
            <w:r w:rsidRPr="00E173FB">
              <w:rPr>
                <w:rFonts w:ascii="Calibri" w:hAnsi="Calibri" w:cs="Arial"/>
                <w:sz w:val="20"/>
              </w:rPr>
              <w:t>€</w:t>
            </w:r>
            <w:r>
              <w:rPr>
                <w:rFonts w:ascii="Calibri" w:hAnsi="Calibri" w:cs="Arial"/>
                <w:sz w:val="20"/>
              </w:rPr>
              <w:t>711,000</w:t>
            </w:r>
          </w:p>
        </w:tc>
        <w:tc>
          <w:tcPr>
            <w:tcW w:w="1430" w:type="dxa"/>
          </w:tcPr>
          <w:p w:rsidR="006F109B" w:rsidRPr="00FE3CDB" w:rsidRDefault="004F7C80" w:rsidP="004F7C80">
            <w:pPr>
              <w:pStyle w:val="NoSpacing"/>
              <w:jc w:val="center"/>
              <w:rPr>
                <w:rFonts w:ascii="Calibri" w:hAnsi="Calibri"/>
                <w:sz w:val="20"/>
                <w:szCs w:val="20"/>
              </w:rPr>
            </w:pPr>
            <w:r>
              <w:rPr>
                <w:rFonts w:ascii="Calibri" w:hAnsi="Calibri"/>
                <w:sz w:val="20"/>
                <w:szCs w:val="20"/>
              </w:rPr>
              <w:t>N</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11</w:t>
            </w:r>
          </w:p>
        </w:tc>
        <w:tc>
          <w:tcPr>
            <w:tcW w:w="831" w:type="dxa"/>
          </w:tcPr>
          <w:p w:rsidR="006F109B" w:rsidRPr="00373C70" w:rsidRDefault="006F109B" w:rsidP="00CA5E4D">
            <w:pPr>
              <w:jc w:val="center"/>
              <w:rPr>
                <w:sz w:val="20"/>
                <w:szCs w:val="20"/>
              </w:rPr>
            </w:pPr>
            <w:r w:rsidRPr="00373C70">
              <w:rPr>
                <w:sz w:val="20"/>
                <w:szCs w:val="20"/>
              </w:rPr>
              <w:t>36</w:t>
            </w:r>
          </w:p>
        </w:tc>
        <w:tc>
          <w:tcPr>
            <w:tcW w:w="1540" w:type="dxa"/>
            <w:shd w:val="clear" w:color="auto" w:fill="auto"/>
          </w:tcPr>
          <w:p w:rsidR="006F109B" w:rsidRPr="000641C5" w:rsidRDefault="00AE19B1" w:rsidP="00D14663">
            <w:pPr>
              <w:pStyle w:val="NoSpacing"/>
              <w:jc w:val="center"/>
              <w:rPr>
                <w:rFonts w:ascii="Calibri" w:hAnsi="Calibri" w:cs="Calibri"/>
                <w:sz w:val="22"/>
                <w:szCs w:val="22"/>
              </w:rPr>
            </w:pPr>
            <w:r>
              <w:rPr>
                <w:rFonts w:ascii="Calibri" w:hAnsi="Calibri" w:cs="Calibri"/>
                <w:sz w:val="20"/>
              </w:rPr>
              <w:t>€</w:t>
            </w:r>
            <w:r>
              <w:rPr>
                <w:rFonts w:ascii="Calibri" w:hAnsi="Calibri" w:cs="Arial"/>
                <w:sz w:val="20"/>
              </w:rPr>
              <w:t>1,141,000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4</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12</w:t>
            </w:r>
          </w:p>
        </w:tc>
        <w:tc>
          <w:tcPr>
            <w:tcW w:w="831" w:type="dxa"/>
          </w:tcPr>
          <w:p w:rsidR="006F109B" w:rsidRPr="00373C70" w:rsidRDefault="006F109B" w:rsidP="00CA5E4D">
            <w:pPr>
              <w:jc w:val="center"/>
              <w:rPr>
                <w:sz w:val="20"/>
                <w:szCs w:val="20"/>
              </w:rPr>
            </w:pPr>
            <w:r w:rsidRPr="00373C70">
              <w:rPr>
                <w:sz w:val="20"/>
                <w:szCs w:val="20"/>
              </w:rPr>
              <w:t>48</w:t>
            </w:r>
          </w:p>
        </w:tc>
        <w:tc>
          <w:tcPr>
            <w:tcW w:w="1540" w:type="dxa"/>
            <w:shd w:val="clear" w:color="auto" w:fill="auto"/>
          </w:tcPr>
          <w:p w:rsidR="006F109B" w:rsidRPr="000641C5" w:rsidRDefault="001437D4" w:rsidP="00D14663">
            <w:pPr>
              <w:pStyle w:val="NoSpacing"/>
              <w:jc w:val="center"/>
              <w:rPr>
                <w:rFonts w:ascii="Calibri" w:hAnsi="Calibri" w:cs="Calibri"/>
                <w:sz w:val="22"/>
                <w:szCs w:val="22"/>
              </w:rPr>
            </w:pPr>
            <w:r>
              <w:rPr>
                <w:rFonts w:ascii="Calibri" w:hAnsi="Calibri" w:cs="Calibri"/>
                <w:sz w:val="20"/>
              </w:rPr>
              <w:t>€1,543,000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13</w:t>
            </w:r>
          </w:p>
        </w:tc>
        <w:tc>
          <w:tcPr>
            <w:tcW w:w="831" w:type="dxa"/>
          </w:tcPr>
          <w:p w:rsidR="006F109B" w:rsidRPr="00373C70" w:rsidRDefault="006F109B" w:rsidP="00CA5E4D">
            <w:pPr>
              <w:jc w:val="center"/>
              <w:rPr>
                <w:sz w:val="20"/>
                <w:szCs w:val="20"/>
              </w:rPr>
            </w:pPr>
            <w:r w:rsidRPr="00373C70">
              <w:rPr>
                <w:sz w:val="20"/>
                <w:szCs w:val="20"/>
              </w:rPr>
              <w:t>48</w:t>
            </w:r>
          </w:p>
        </w:tc>
        <w:tc>
          <w:tcPr>
            <w:tcW w:w="1540" w:type="dxa"/>
            <w:shd w:val="clear" w:color="auto" w:fill="auto"/>
          </w:tcPr>
          <w:p w:rsidR="006F109B" w:rsidRPr="000641C5" w:rsidRDefault="00873A3E" w:rsidP="00D14663">
            <w:pPr>
              <w:pStyle w:val="NoSpacing"/>
              <w:jc w:val="center"/>
              <w:rPr>
                <w:rFonts w:ascii="Calibri" w:hAnsi="Calibri" w:cs="Calibri"/>
                <w:sz w:val="22"/>
                <w:szCs w:val="22"/>
              </w:rPr>
            </w:pPr>
            <w:r w:rsidRPr="00442824">
              <w:rPr>
                <w:rFonts w:ascii="Calibri" w:hAnsi="Calibri" w:cs="Calibri"/>
                <w:sz w:val="20"/>
              </w:rPr>
              <w:t>€1,243,000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14</w:t>
            </w:r>
          </w:p>
        </w:tc>
        <w:tc>
          <w:tcPr>
            <w:tcW w:w="831" w:type="dxa"/>
          </w:tcPr>
          <w:p w:rsidR="006F109B" w:rsidRPr="00373C70" w:rsidRDefault="006F109B" w:rsidP="00CA5E4D">
            <w:pPr>
              <w:jc w:val="center"/>
              <w:rPr>
                <w:sz w:val="20"/>
                <w:szCs w:val="20"/>
              </w:rPr>
            </w:pPr>
            <w:r w:rsidRPr="00373C70">
              <w:rPr>
                <w:sz w:val="20"/>
                <w:szCs w:val="20"/>
              </w:rPr>
              <w:t>42</w:t>
            </w:r>
          </w:p>
        </w:tc>
        <w:tc>
          <w:tcPr>
            <w:tcW w:w="1540" w:type="dxa"/>
            <w:shd w:val="clear" w:color="auto" w:fill="auto"/>
          </w:tcPr>
          <w:p w:rsidR="006F109B" w:rsidRPr="000641C5" w:rsidRDefault="00873A3E" w:rsidP="00D14663">
            <w:pPr>
              <w:pStyle w:val="NoSpacing"/>
              <w:jc w:val="center"/>
              <w:rPr>
                <w:rFonts w:ascii="Calibri" w:hAnsi="Calibri" w:cs="Calibri"/>
                <w:sz w:val="22"/>
                <w:szCs w:val="22"/>
              </w:rPr>
            </w:pPr>
            <w:r>
              <w:rPr>
                <w:rFonts w:ascii="Calibri" w:hAnsi="Calibri" w:cs="Calibri"/>
                <w:sz w:val="20"/>
              </w:rPr>
              <w:t>€1,319,000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bCs/>
                <w:sz w:val="20"/>
                <w:szCs w:val="20"/>
              </w:rPr>
            </w:pPr>
            <w:r>
              <w:rPr>
                <w:rFonts w:ascii="Calibri" w:hAnsi="Calibri" w:cs="Calibri"/>
                <w:bCs/>
                <w:sz w:val="20"/>
                <w:szCs w:val="20"/>
              </w:rPr>
              <w:t>3</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6</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15</w:t>
            </w:r>
          </w:p>
        </w:tc>
        <w:tc>
          <w:tcPr>
            <w:tcW w:w="831" w:type="dxa"/>
          </w:tcPr>
          <w:p w:rsidR="006F109B" w:rsidRPr="00373C70" w:rsidRDefault="006F109B" w:rsidP="00CA5E4D">
            <w:pPr>
              <w:jc w:val="center"/>
              <w:rPr>
                <w:sz w:val="20"/>
                <w:szCs w:val="20"/>
              </w:rPr>
            </w:pPr>
            <w:r w:rsidRPr="00373C70">
              <w:rPr>
                <w:sz w:val="20"/>
                <w:szCs w:val="20"/>
              </w:rPr>
              <w:t>48</w:t>
            </w:r>
          </w:p>
        </w:tc>
        <w:tc>
          <w:tcPr>
            <w:tcW w:w="1540" w:type="dxa"/>
            <w:shd w:val="clear" w:color="auto" w:fill="auto"/>
          </w:tcPr>
          <w:p w:rsidR="006F109B" w:rsidRPr="000641C5" w:rsidRDefault="00873A3E" w:rsidP="00D14663">
            <w:pPr>
              <w:pStyle w:val="NoSpacing"/>
              <w:jc w:val="center"/>
              <w:rPr>
                <w:rFonts w:ascii="Calibri" w:hAnsi="Calibri" w:cs="Calibri"/>
                <w:sz w:val="22"/>
                <w:szCs w:val="22"/>
              </w:rPr>
            </w:pPr>
            <w:r w:rsidRPr="00A05F54">
              <w:rPr>
                <w:rFonts w:ascii="Calibri" w:hAnsi="Calibri" w:cs="Calibri"/>
                <w:sz w:val="20"/>
              </w:rPr>
              <w:t>€1,216,000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Pr>
          <w:p w:rsidR="006F109B" w:rsidRPr="000641C5" w:rsidRDefault="006F109B" w:rsidP="006F109B">
            <w:pPr>
              <w:pStyle w:val="NoSpacing"/>
              <w:jc w:val="center"/>
              <w:rPr>
                <w:rFonts w:ascii="Calibri" w:hAnsi="Calibri" w:cs="Calibri"/>
                <w:bCs/>
                <w:sz w:val="20"/>
                <w:szCs w:val="20"/>
              </w:rPr>
            </w:pPr>
            <w:r>
              <w:rPr>
                <w:rFonts w:ascii="Calibri" w:hAnsi="Calibri" w:cs="Calibri"/>
                <w:bCs/>
                <w:sz w:val="20"/>
                <w:szCs w:val="20"/>
              </w:rPr>
              <w:t>4</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16</w:t>
            </w:r>
          </w:p>
        </w:tc>
        <w:tc>
          <w:tcPr>
            <w:tcW w:w="831" w:type="dxa"/>
          </w:tcPr>
          <w:p w:rsidR="006F109B" w:rsidRPr="00373C70" w:rsidRDefault="006F109B" w:rsidP="00CA5E4D">
            <w:pPr>
              <w:jc w:val="center"/>
              <w:rPr>
                <w:sz w:val="20"/>
                <w:szCs w:val="20"/>
              </w:rPr>
            </w:pPr>
            <w:r w:rsidRPr="00373C70">
              <w:rPr>
                <w:sz w:val="20"/>
                <w:szCs w:val="20"/>
              </w:rPr>
              <w:t>48</w:t>
            </w:r>
          </w:p>
        </w:tc>
        <w:tc>
          <w:tcPr>
            <w:tcW w:w="1540" w:type="dxa"/>
            <w:shd w:val="clear" w:color="auto" w:fill="auto"/>
          </w:tcPr>
          <w:p w:rsidR="006F109B" w:rsidRPr="000641C5" w:rsidRDefault="00873A3E" w:rsidP="00D14663">
            <w:pPr>
              <w:pStyle w:val="NoSpacing"/>
              <w:jc w:val="center"/>
              <w:rPr>
                <w:rFonts w:ascii="Calibri" w:hAnsi="Calibri" w:cs="Calibri"/>
                <w:sz w:val="22"/>
                <w:szCs w:val="22"/>
              </w:rPr>
            </w:pPr>
            <w:r w:rsidRPr="00A36D96">
              <w:rPr>
                <w:rFonts w:ascii="Calibri" w:hAnsi="Calibri" w:cs="Calibri"/>
                <w:sz w:val="20"/>
              </w:rPr>
              <w:t>€1,194,000</w:t>
            </w:r>
          </w:p>
        </w:tc>
        <w:tc>
          <w:tcPr>
            <w:tcW w:w="1430" w:type="dxa"/>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4</w:t>
            </w:r>
          </w:p>
        </w:tc>
        <w:tc>
          <w:tcPr>
            <w:tcW w:w="880" w:type="dxa"/>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17</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48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873A3E" w:rsidP="00D14663">
            <w:pPr>
              <w:pStyle w:val="NoSpacing"/>
              <w:jc w:val="center"/>
              <w:rPr>
                <w:rFonts w:ascii="Calibri" w:hAnsi="Calibri" w:cs="Calibri"/>
                <w:sz w:val="22"/>
                <w:szCs w:val="22"/>
              </w:rPr>
            </w:pPr>
            <w:r>
              <w:rPr>
                <w:rFonts w:ascii="Calibri" w:hAnsi="Calibri" w:cs="Calibri"/>
                <w:sz w:val="20"/>
              </w:rPr>
              <w:t>€1,338,000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18</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48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873A3E" w:rsidP="00D14663">
            <w:pPr>
              <w:pStyle w:val="NoSpacing"/>
              <w:jc w:val="center"/>
              <w:rPr>
                <w:rFonts w:ascii="Calibri" w:hAnsi="Calibri" w:cs="Calibri"/>
                <w:sz w:val="22"/>
                <w:szCs w:val="22"/>
              </w:rPr>
            </w:pPr>
            <w:r>
              <w:rPr>
                <w:rFonts w:ascii="Calibri" w:hAnsi="Calibri" w:cs="Calibri"/>
                <w:sz w:val="20"/>
              </w:rPr>
              <w:t>€1,248,000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4F7C80" w:rsidP="004F7C80">
            <w:pPr>
              <w:pStyle w:val="NoSpacing"/>
              <w:jc w:val="center"/>
              <w:rPr>
                <w:rFonts w:ascii="Calibri" w:hAnsi="Calibri"/>
                <w:color w:val="000000"/>
                <w:sz w:val="20"/>
                <w:szCs w:val="20"/>
              </w:rPr>
            </w:pPr>
            <w:r>
              <w:rPr>
                <w:rFonts w:ascii="Calibri" w:hAnsi="Calibri"/>
                <w:color w:val="000000"/>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5</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1</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19</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48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873A3E" w:rsidP="00D14663">
            <w:pPr>
              <w:pStyle w:val="NoSpacing"/>
              <w:jc w:val="center"/>
              <w:rPr>
                <w:rFonts w:ascii="Calibri" w:hAnsi="Calibri" w:cs="Calibri"/>
                <w:sz w:val="22"/>
                <w:szCs w:val="22"/>
              </w:rPr>
            </w:pPr>
            <w:r>
              <w:rPr>
                <w:rFonts w:ascii="Calibri" w:hAnsi="Calibri" w:cs="Calibri"/>
                <w:sz w:val="20"/>
              </w:rPr>
              <w:t>€980,000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20</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2871CC" w:rsidP="00D14663">
            <w:pPr>
              <w:pStyle w:val="NoSpacing"/>
              <w:jc w:val="center"/>
              <w:rPr>
                <w:rFonts w:ascii="Calibri" w:hAnsi="Calibri" w:cs="Calibri"/>
                <w:sz w:val="22"/>
                <w:szCs w:val="22"/>
              </w:rPr>
            </w:pPr>
            <w:r>
              <w:rPr>
                <w:rFonts w:ascii="Calibri" w:hAnsi="Calibri" w:cs="Calibri"/>
                <w:sz w:val="20"/>
              </w:rPr>
              <w:t>€335,000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21</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60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2871CC" w:rsidP="00D14663">
            <w:pPr>
              <w:pStyle w:val="NoSpacing"/>
              <w:jc w:val="center"/>
              <w:rPr>
                <w:rFonts w:ascii="Calibri" w:hAnsi="Calibri" w:cs="Calibri"/>
                <w:sz w:val="22"/>
                <w:szCs w:val="22"/>
              </w:rPr>
            </w:pPr>
            <w:r>
              <w:rPr>
                <w:rFonts w:ascii="Calibri" w:hAnsi="Calibri" w:cs="Calibri"/>
                <w:sz w:val="20"/>
              </w:rPr>
              <w:t>€960,000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4F7C80" w:rsidP="004F7C80">
            <w:pPr>
              <w:pStyle w:val="NoSpacing"/>
              <w:jc w:val="center"/>
              <w:rPr>
                <w:rFonts w:ascii="Calibri" w:hAnsi="Calibri"/>
                <w:color w:val="000000"/>
                <w:sz w:val="20"/>
                <w:szCs w:val="20"/>
              </w:rPr>
            </w:pPr>
            <w:r>
              <w:rPr>
                <w:rFonts w:ascii="Calibri" w:hAnsi="Calibri"/>
                <w:color w:val="000000"/>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1</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22</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60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2871CC" w:rsidP="00D14663">
            <w:pPr>
              <w:pStyle w:val="NoSpacing"/>
              <w:jc w:val="center"/>
              <w:rPr>
                <w:rFonts w:ascii="Calibri" w:hAnsi="Calibri" w:cs="Calibri"/>
                <w:sz w:val="22"/>
                <w:szCs w:val="22"/>
              </w:rPr>
            </w:pPr>
            <w:r w:rsidRPr="001905C7">
              <w:rPr>
                <w:rFonts w:ascii="Calibri" w:hAnsi="Calibri" w:cs="Calibri"/>
                <w:sz w:val="20"/>
              </w:rPr>
              <w:t>€</w:t>
            </w:r>
            <w:r w:rsidRPr="001905C7">
              <w:rPr>
                <w:rFonts w:ascii="Calibri" w:hAnsi="Calibri" w:cs="ArialMT"/>
                <w:sz w:val="20"/>
              </w:rPr>
              <w:t>1,377,000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23</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155101">
              <w:rPr>
                <w:rFonts w:ascii="Calibri" w:hAnsi="Calibri" w:cs="Calibri"/>
                <w:sz w:val="20"/>
              </w:rPr>
              <w:t>€</w:t>
            </w:r>
            <w:r w:rsidRPr="00155101">
              <w:rPr>
                <w:rFonts w:ascii="Calibri" w:hAnsi="Calibri" w:cs="Arial"/>
                <w:sz w:val="20"/>
              </w:rPr>
              <w:t>360,162</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color w:val="000000"/>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24</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lang w:val="fr-FR"/>
              </w:rPr>
            </w:pPr>
            <w:r w:rsidRPr="00373C70">
              <w:rPr>
                <w:sz w:val="20"/>
                <w:szCs w:val="20"/>
                <w:lang w:val="fr-FR"/>
              </w:rPr>
              <w:t>42</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7E7932">
              <w:rPr>
                <w:rFonts w:ascii="Calibri" w:hAnsi="Calibri" w:cs="Calibri"/>
                <w:sz w:val="20"/>
              </w:rPr>
              <w:t>€</w:t>
            </w:r>
            <w:r w:rsidRPr="007E7932">
              <w:rPr>
                <w:rFonts w:ascii="Calibri" w:hAnsi="Calibri"/>
                <w:color w:val="000000"/>
                <w:sz w:val="20"/>
              </w:rPr>
              <w:t>1,009,000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25</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7E7932">
              <w:rPr>
                <w:rFonts w:ascii="Calibri" w:hAnsi="Calibri" w:cs="Calibri"/>
                <w:sz w:val="20"/>
              </w:rPr>
              <w:t>€</w:t>
            </w:r>
            <w:r>
              <w:rPr>
                <w:rFonts w:ascii="Calibri" w:hAnsi="Calibri" w:cs="Calibri"/>
                <w:sz w:val="20"/>
              </w:rPr>
              <w:t>380,000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4F7C80" w:rsidP="004F7C80">
            <w:pPr>
              <w:pStyle w:val="NoSpacing"/>
              <w:jc w:val="center"/>
              <w:rPr>
                <w:rFonts w:ascii="Calibri" w:hAnsi="Calibri"/>
                <w:color w:val="000000"/>
                <w:sz w:val="20"/>
                <w:szCs w:val="20"/>
              </w:rPr>
            </w:pPr>
            <w:r>
              <w:rPr>
                <w:rFonts w:ascii="Calibri" w:hAnsi="Calibri"/>
                <w:color w:val="000000"/>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1</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N</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26</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48</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685CA4">
              <w:rPr>
                <w:rFonts w:ascii="Calibri" w:hAnsi="Calibri" w:cs="Calibri"/>
                <w:sz w:val="20"/>
              </w:rPr>
              <w:t>€</w:t>
            </w:r>
            <w:r w:rsidRPr="00685CA4">
              <w:rPr>
                <w:rFonts w:ascii="Calibri" w:hAnsi="Calibri" w:cs="Arial"/>
                <w:sz w:val="20"/>
              </w:rPr>
              <w:t>1,211,000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4F7C80" w:rsidP="004F7C80">
            <w:pPr>
              <w:pStyle w:val="NoSpacing"/>
              <w:jc w:val="center"/>
              <w:rPr>
                <w:rFonts w:ascii="Calibri" w:hAnsi="Calibri"/>
                <w:color w:val="000000"/>
                <w:sz w:val="20"/>
                <w:szCs w:val="20"/>
              </w:rPr>
            </w:pPr>
            <w:r>
              <w:rPr>
                <w:rFonts w:ascii="Calibri" w:hAnsi="Calibri"/>
                <w:color w:val="000000"/>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1</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N</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27</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685CA4">
              <w:rPr>
                <w:rFonts w:ascii="Calibri" w:hAnsi="Calibri" w:cs="Calibri"/>
                <w:sz w:val="20"/>
              </w:rPr>
              <w:t>€</w:t>
            </w:r>
            <w:r>
              <w:rPr>
                <w:rFonts w:ascii="Calibri" w:hAnsi="Calibri" w:cs="Calibri"/>
                <w:sz w:val="20"/>
              </w:rPr>
              <w:t>860,000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28</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685CA4">
              <w:rPr>
                <w:rFonts w:ascii="Calibri" w:hAnsi="Calibri" w:cs="Calibri"/>
                <w:sz w:val="20"/>
              </w:rPr>
              <w:t>€</w:t>
            </w:r>
            <w:r>
              <w:rPr>
                <w:rFonts w:ascii="Calibri" w:hAnsi="Calibri" w:cs="Calibri"/>
                <w:sz w:val="20"/>
              </w:rPr>
              <w:t>517,000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29</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685CA4">
              <w:rPr>
                <w:rFonts w:ascii="Calibri" w:hAnsi="Calibri" w:cs="Calibri"/>
                <w:sz w:val="20"/>
              </w:rPr>
              <w:t>€</w:t>
            </w:r>
            <w:r>
              <w:rPr>
                <w:rFonts w:ascii="Calibri" w:hAnsi="Calibri" w:cs="Calibri"/>
                <w:sz w:val="20"/>
              </w:rPr>
              <w:t>531,000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4F7C80" w:rsidP="004F7C80">
            <w:pPr>
              <w:pStyle w:val="NoSpacing"/>
              <w:jc w:val="center"/>
              <w:rPr>
                <w:rFonts w:ascii="Calibri" w:hAnsi="Calibri"/>
                <w:color w:val="000000"/>
                <w:sz w:val="20"/>
                <w:szCs w:val="20"/>
              </w:rPr>
            </w:pPr>
            <w:r>
              <w:rPr>
                <w:rFonts w:ascii="Calibri" w:hAnsi="Calibri"/>
                <w:color w:val="000000"/>
                <w:sz w:val="20"/>
                <w:szCs w:val="20"/>
              </w:rPr>
              <w:t>N</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30</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797156">
              <w:rPr>
                <w:rFonts w:ascii="Calibri" w:hAnsi="Calibri" w:cs="Calibri"/>
                <w:sz w:val="20"/>
              </w:rPr>
              <w:t>€559,000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4</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31</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36</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D6426D">
              <w:rPr>
                <w:rFonts w:ascii="Calibri" w:hAnsi="Calibri" w:cs="Calibri"/>
                <w:sz w:val="20"/>
              </w:rPr>
              <w:t>€</w:t>
            </w:r>
            <w:r w:rsidRPr="00D6426D">
              <w:rPr>
                <w:rFonts w:ascii="Calibri" w:hAnsi="Calibri" w:cs="Arial"/>
                <w:bCs/>
                <w:sz w:val="20"/>
              </w:rPr>
              <w:t xml:space="preserve"> 1,275,000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5</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2</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Y</w:t>
            </w:r>
          </w:p>
        </w:tc>
      </w:tr>
      <w:tr w:rsidR="006F109B" w:rsidRPr="000641C5" w:rsidTr="009E02ED">
        <w:tc>
          <w:tcPr>
            <w:tcW w:w="817" w:type="dxa"/>
            <w:tcBorders>
              <w:top w:val="single" w:sz="4" w:space="0" w:color="auto"/>
              <w:left w:val="single" w:sz="4" w:space="0" w:color="auto"/>
              <w:bottom w:val="single" w:sz="4" w:space="0" w:color="auto"/>
              <w:right w:val="single" w:sz="4" w:space="0" w:color="auto"/>
            </w:tcBorders>
            <w:shd w:val="clear" w:color="auto" w:fill="auto"/>
            <w:vAlign w:val="bottom"/>
          </w:tcPr>
          <w:p w:rsidR="006F109B" w:rsidRPr="000641C5" w:rsidRDefault="006F109B" w:rsidP="00CA5E4D">
            <w:pPr>
              <w:pStyle w:val="NoSpacing"/>
              <w:rPr>
                <w:rFonts w:ascii="Calibri" w:hAnsi="Calibri" w:cs="Calibri"/>
                <w:b/>
                <w:sz w:val="22"/>
                <w:szCs w:val="22"/>
              </w:rPr>
            </w:pPr>
            <w:r w:rsidRPr="000641C5">
              <w:rPr>
                <w:rFonts w:ascii="Calibri" w:hAnsi="Calibri" w:cs="Calibri"/>
                <w:b/>
                <w:sz w:val="22"/>
                <w:szCs w:val="22"/>
              </w:rPr>
              <w:t>32</w:t>
            </w:r>
          </w:p>
        </w:tc>
        <w:tc>
          <w:tcPr>
            <w:tcW w:w="831" w:type="dxa"/>
            <w:tcBorders>
              <w:top w:val="single" w:sz="4" w:space="0" w:color="auto"/>
              <w:left w:val="single" w:sz="4" w:space="0" w:color="auto"/>
              <w:bottom w:val="single" w:sz="4" w:space="0" w:color="auto"/>
              <w:right w:val="single" w:sz="4" w:space="0" w:color="auto"/>
            </w:tcBorders>
          </w:tcPr>
          <w:p w:rsidR="006F109B" w:rsidRPr="00373C70" w:rsidRDefault="006F109B" w:rsidP="00CA5E4D">
            <w:pPr>
              <w:jc w:val="center"/>
              <w:rPr>
                <w:sz w:val="20"/>
                <w:szCs w:val="20"/>
              </w:rPr>
            </w:pPr>
            <w:r w:rsidRPr="00373C70">
              <w:rPr>
                <w:sz w:val="20"/>
                <w:szCs w:val="20"/>
              </w:rPr>
              <w:t>60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F109B" w:rsidRPr="000641C5" w:rsidRDefault="00D14663" w:rsidP="00D14663">
            <w:pPr>
              <w:pStyle w:val="NoSpacing"/>
              <w:jc w:val="center"/>
              <w:rPr>
                <w:rFonts w:ascii="Calibri" w:hAnsi="Calibri" w:cs="Calibri"/>
                <w:sz w:val="22"/>
                <w:szCs w:val="22"/>
              </w:rPr>
            </w:pPr>
            <w:r w:rsidRPr="00340C21">
              <w:rPr>
                <w:rFonts w:ascii="Calibri" w:hAnsi="Calibri" w:cs="Calibri"/>
                <w:sz w:val="20"/>
              </w:rPr>
              <w:t>€</w:t>
            </w:r>
            <w:r w:rsidRPr="00340C21">
              <w:rPr>
                <w:rFonts w:ascii="Calibri" w:hAnsi="Calibri" w:cs="TimesNewRomanPSMT"/>
                <w:sz w:val="20"/>
              </w:rPr>
              <w:t>1,679,000</w:t>
            </w:r>
          </w:p>
        </w:tc>
        <w:tc>
          <w:tcPr>
            <w:tcW w:w="1430" w:type="dxa"/>
            <w:tcBorders>
              <w:top w:val="single" w:sz="4" w:space="0" w:color="auto"/>
              <w:left w:val="single" w:sz="4" w:space="0" w:color="auto"/>
              <w:bottom w:val="single" w:sz="4" w:space="0" w:color="auto"/>
              <w:right w:val="single" w:sz="4" w:space="0" w:color="auto"/>
            </w:tcBorders>
          </w:tcPr>
          <w:p w:rsidR="006F109B" w:rsidRPr="00FE3CDB" w:rsidRDefault="006F109B" w:rsidP="004F7C80">
            <w:pPr>
              <w:pStyle w:val="NoSpacing"/>
              <w:jc w:val="center"/>
              <w:rPr>
                <w:rFonts w:ascii="Calibri" w:hAnsi="Calibri"/>
                <w:sz w:val="20"/>
                <w:szCs w:val="20"/>
              </w:rPr>
            </w:pPr>
            <w:r>
              <w:rPr>
                <w:rFonts w:ascii="Calibri" w:hAnsi="Calibri"/>
                <w:sz w:val="20"/>
                <w:szCs w:val="20"/>
              </w:rPr>
              <w:t>Y</w:t>
            </w:r>
          </w:p>
        </w:tc>
        <w:tc>
          <w:tcPr>
            <w:tcW w:w="990" w:type="dxa"/>
            <w:tcBorders>
              <w:top w:val="single" w:sz="4" w:space="0" w:color="auto"/>
              <w:left w:val="single" w:sz="4" w:space="0" w:color="auto"/>
              <w:bottom w:val="single" w:sz="4" w:space="0" w:color="auto"/>
              <w:right w:val="single" w:sz="4" w:space="0" w:color="auto"/>
            </w:tcBorders>
          </w:tcPr>
          <w:p w:rsidR="006F109B" w:rsidRPr="000641C5" w:rsidRDefault="006F109B" w:rsidP="00CA5E4D">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sz w:val="20"/>
                <w:szCs w:val="20"/>
              </w:rPr>
            </w:pPr>
            <w:r>
              <w:rPr>
                <w:rFonts w:ascii="Calibri" w:hAnsi="Calibri" w:cs="Calibri"/>
                <w:sz w:val="20"/>
                <w:szCs w:val="20"/>
              </w:rPr>
              <w:t>3</w:t>
            </w:r>
          </w:p>
        </w:tc>
        <w:tc>
          <w:tcPr>
            <w:tcW w:w="880" w:type="dxa"/>
            <w:tcBorders>
              <w:top w:val="single" w:sz="4" w:space="0" w:color="auto"/>
              <w:left w:val="single" w:sz="4" w:space="0" w:color="auto"/>
              <w:bottom w:val="single" w:sz="4" w:space="0" w:color="auto"/>
              <w:right w:val="single" w:sz="4" w:space="0" w:color="auto"/>
            </w:tcBorders>
          </w:tcPr>
          <w:p w:rsidR="006F109B" w:rsidRPr="000641C5" w:rsidRDefault="006F109B" w:rsidP="006F109B">
            <w:pPr>
              <w:pStyle w:val="NoSpacing"/>
              <w:jc w:val="center"/>
              <w:rPr>
                <w:rFonts w:ascii="Calibri" w:hAnsi="Calibri" w:cs="Calibri"/>
                <w:bCs/>
                <w:sz w:val="22"/>
                <w:szCs w:val="22"/>
              </w:rPr>
            </w:pPr>
            <w:r>
              <w:rPr>
                <w:rFonts w:ascii="Calibri" w:hAnsi="Calibri" w:cs="Calibri"/>
                <w:bCs/>
                <w:sz w:val="22"/>
                <w:szCs w:val="22"/>
              </w:rPr>
              <w:t>N</w:t>
            </w:r>
          </w:p>
        </w:tc>
      </w:tr>
    </w:tbl>
    <w:p w:rsidR="004F5F93" w:rsidRDefault="00C16D13" w:rsidP="00661F91">
      <w:pPr>
        <w:pStyle w:val="NoSpacing"/>
        <w:ind w:left="11"/>
        <w:jc w:val="both"/>
        <w:rPr>
          <w:rFonts w:ascii="Calibri" w:hAnsi="Calibri" w:cs="Calibri"/>
          <w:sz w:val="22"/>
          <w:szCs w:val="22"/>
        </w:rPr>
      </w:pPr>
      <w:r>
        <w:rPr>
          <w:rFonts w:ascii="Calibri" w:hAnsi="Calibri" w:cs="Calibri"/>
          <w:sz w:val="22"/>
          <w:szCs w:val="22"/>
        </w:rPr>
        <w:t>Sources: Annex III; Annex IV.</w:t>
      </w:r>
    </w:p>
    <w:p w:rsidR="00F61EB8" w:rsidRDefault="00B60700" w:rsidP="00661F91">
      <w:pPr>
        <w:pStyle w:val="NoSpacing"/>
        <w:ind w:left="11"/>
        <w:jc w:val="both"/>
        <w:rPr>
          <w:rFonts w:ascii="Calibri" w:hAnsi="Calibri"/>
          <w:sz w:val="22"/>
          <w:szCs w:val="22"/>
        </w:rPr>
      </w:pPr>
      <w:r>
        <w:rPr>
          <w:rFonts w:ascii="Calibri" w:hAnsi="Calibri" w:cs="Calibri"/>
          <w:sz w:val="22"/>
          <w:szCs w:val="22"/>
        </w:rPr>
        <w:t xml:space="preserve">  </w:t>
      </w:r>
    </w:p>
    <w:p w:rsidR="007E31B1" w:rsidRDefault="00EB2085" w:rsidP="007E31B1">
      <w:pPr>
        <w:pStyle w:val="Heading1"/>
      </w:pPr>
      <w:bookmarkStart w:id="19" w:name="_Toc331783570"/>
      <w:r>
        <w:rPr>
          <w:lang w:val="en-GB"/>
        </w:rPr>
        <w:t xml:space="preserve">Other </w:t>
      </w:r>
      <w:r w:rsidR="00661F91">
        <w:t>i</w:t>
      </w:r>
      <w:r w:rsidR="007E31B1">
        <w:t>nternational programmes supporting not-for-profit partnerships for capacity development</w:t>
      </w:r>
      <w:r>
        <w:rPr>
          <w:lang w:val="en-GB"/>
        </w:rPr>
        <w:t xml:space="preserve"> in the water and sanitation sector</w:t>
      </w:r>
      <w:bookmarkEnd w:id="19"/>
    </w:p>
    <w:p w:rsidR="00EB2085" w:rsidRDefault="00EB2085" w:rsidP="00EB2085">
      <w:pPr>
        <w:jc w:val="both"/>
      </w:pPr>
      <w:r>
        <w:t>For the purpose of this study, we compare the ACP-EU Water Facility – Partnerships Initiative with other international programmes that consistently support not-for-profit partnerships for capacity development in the water and sanitation sector. These programmes have different region</w:t>
      </w:r>
      <w:r w:rsidR="00D62A22">
        <w:t>al focus and institutional fea</w:t>
      </w:r>
      <w:r>
        <w:t>tures and these differences should be taken into consideration when evaluating the</w:t>
      </w:r>
      <w:r w:rsidR="00AD7F2B">
        <w:t>ir</w:t>
      </w:r>
      <w:r>
        <w:t xml:space="preserve"> respective merits.</w:t>
      </w:r>
      <w:r w:rsidR="007B3DCC">
        <w:t xml:space="preserve"> </w:t>
      </w:r>
      <w:r w:rsidR="00CB6DF6">
        <w:t xml:space="preserve">Most of these programmes </w:t>
      </w:r>
      <w:r w:rsidR="00AD7F2B">
        <w:t>are regional platforms for Water Operators’ Partnerships (WOPs)</w:t>
      </w:r>
      <w:r w:rsidR="00CB6DF6">
        <w:t xml:space="preserve"> initiated under the </w:t>
      </w:r>
      <w:r w:rsidR="00CB6DF6">
        <w:lastRenderedPageBreak/>
        <w:t>auspices of</w:t>
      </w:r>
      <w:r w:rsidR="00AD7F2B">
        <w:t xml:space="preserve"> the Global Water Operators’ Partnerships Alliance (GWOPA), an initiative of UN-HABITAT inspired by the Hashimoto Action Plan.</w:t>
      </w:r>
      <w:r w:rsidR="005C7CD0">
        <w:rPr>
          <w:rStyle w:val="EndnoteReference"/>
        </w:rPr>
        <w:endnoteReference w:id="27"/>
      </w:r>
      <w:r w:rsidR="005C7CD0">
        <w:t xml:space="preserve"> These regional programmes are WOP-Africa, WOP-LAC, </w:t>
      </w:r>
      <w:r w:rsidR="00DE692B">
        <w:t>WaterLinks</w:t>
      </w:r>
      <w:r w:rsidR="005C7CD0">
        <w:t>, and WOP</w:t>
      </w:r>
      <w:r w:rsidR="00DE692B">
        <w:t>-SEE</w:t>
      </w:r>
      <w:r w:rsidR="00F25E35">
        <w:t xml:space="preserve"> and regions they respectively cover are Africa, Latin America and the Caribbean, Asia and Pacific, and </w:t>
      </w:r>
      <w:smartTag w:uri="urn:schemas-microsoft-com:office:smarttags" w:element="place">
        <w:r w:rsidR="00F25E35">
          <w:t>South-East Europe</w:t>
        </w:r>
      </w:smartTag>
      <w:r w:rsidR="00DE692B">
        <w:t xml:space="preserve">. </w:t>
      </w:r>
      <w:r w:rsidR="00D62A22">
        <w:t xml:space="preserve">As regional platforms, they all have a strong South-South component. </w:t>
      </w:r>
      <w:r w:rsidR="00AB572D">
        <w:t>For details of the partnerships funded</w:t>
      </w:r>
      <w:r w:rsidR="00B81049">
        <w:t xml:space="preserve"> or facilitated</w:t>
      </w:r>
      <w:r w:rsidR="00AB572D">
        <w:t xml:space="preserve"> by </w:t>
      </w:r>
      <w:r w:rsidR="00B81049">
        <w:t>these regional platforms</w:t>
      </w:r>
      <w:r w:rsidR="00EA7DE3">
        <w:t xml:space="preserve">, see Annex </w:t>
      </w:r>
      <w:r w:rsidR="00AB572D">
        <w:t xml:space="preserve">V. </w:t>
      </w:r>
      <w:r w:rsidR="00637970">
        <w:t xml:space="preserve">  </w:t>
      </w:r>
    </w:p>
    <w:p w:rsidR="001231D3" w:rsidRDefault="001231D3" w:rsidP="00EB2085">
      <w:pPr>
        <w:jc w:val="both"/>
      </w:pPr>
    </w:p>
    <w:p w:rsidR="00242081" w:rsidRDefault="001231D3" w:rsidP="001231D3">
      <w:pPr>
        <w:pStyle w:val="Heading2"/>
      </w:pPr>
      <w:bookmarkStart w:id="20" w:name="_Toc331783571"/>
      <w:r>
        <w:t>WOP-Africa</w:t>
      </w:r>
      <w:bookmarkEnd w:id="20"/>
    </w:p>
    <w:p w:rsidR="0082127C" w:rsidRPr="0082127C" w:rsidRDefault="003D0A29" w:rsidP="0082127C">
      <w:pPr>
        <w:pStyle w:val="Default"/>
        <w:jc w:val="both"/>
        <w:rPr>
          <w:rFonts w:ascii="Calibri" w:hAnsi="Calibri" w:cs="Calibri"/>
          <w:sz w:val="22"/>
          <w:szCs w:val="22"/>
        </w:rPr>
      </w:pPr>
      <w:r w:rsidRPr="0004363C">
        <w:rPr>
          <w:rFonts w:ascii="Calibri" w:hAnsi="Calibri" w:cs="Calibri"/>
          <w:sz w:val="22"/>
          <w:szCs w:val="22"/>
        </w:rPr>
        <w:t xml:space="preserve">Amid concerns about missing the water and sanitation targets of the MDGs in many African countries, </w:t>
      </w:r>
      <w:r w:rsidR="00C66CF1" w:rsidRPr="0004363C">
        <w:rPr>
          <w:rFonts w:ascii="Calibri" w:hAnsi="Calibri" w:cs="Calibri"/>
          <w:sz w:val="22"/>
          <w:szCs w:val="22"/>
        </w:rPr>
        <w:t>WOP-Africa aims to “support African countries in their efforts to achieve universal coverage for water and sanitation services with the MDGs as a common benchmark”.</w:t>
      </w:r>
      <w:r w:rsidR="00C66CF1" w:rsidRPr="0004363C">
        <w:rPr>
          <w:rStyle w:val="EndnoteReference"/>
          <w:rFonts w:ascii="Calibri" w:hAnsi="Calibri" w:cs="Calibri"/>
          <w:sz w:val="22"/>
          <w:szCs w:val="22"/>
        </w:rPr>
        <w:endnoteReference w:id="28"/>
      </w:r>
      <w:r w:rsidR="0078006A" w:rsidRPr="0004363C">
        <w:rPr>
          <w:rFonts w:ascii="Calibri" w:hAnsi="Calibri" w:cs="Calibri"/>
          <w:sz w:val="22"/>
          <w:szCs w:val="22"/>
        </w:rPr>
        <w:t xml:space="preserve"> </w:t>
      </w:r>
      <w:r w:rsidR="006A5114">
        <w:rPr>
          <w:rFonts w:ascii="Calibri" w:hAnsi="Calibri" w:cs="Calibri"/>
          <w:sz w:val="22"/>
          <w:szCs w:val="22"/>
        </w:rPr>
        <w:t>T</w:t>
      </w:r>
      <w:r w:rsidR="006A5114" w:rsidRPr="0004363C">
        <w:rPr>
          <w:rFonts w:ascii="Calibri" w:hAnsi="Calibri" w:cs="Calibri"/>
          <w:sz w:val="22"/>
          <w:szCs w:val="22"/>
        </w:rPr>
        <w:t>he</w:t>
      </w:r>
      <w:r w:rsidR="006A5114" w:rsidRPr="0004363C">
        <w:rPr>
          <w:rFonts w:ascii="Calibri" w:hAnsi="Calibri" w:cs="Calibri"/>
          <w:sz w:val="22"/>
          <w:szCs w:val="22"/>
          <w:lang w:val="en-US"/>
        </w:rPr>
        <w:t xml:space="preserve"> WOP-Africa programme was launched in February 2008</w:t>
      </w:r>
      <w:r w:rsidR="006A5114">
        <w:rPr>
          <w:rFonts w:ascii="Calibri" w:hAnsi="Calibri" w:cs="Calibri"/>
          <w:sz w:val="22"/>
          <w:szCs w:val="22"/>
          <w:lang w:val="en-US"/>
        </w:rPr>
        <w:t>, with a budget for the first three years of operations of US$ 11,935,000</w:t>
      </w:r>
      <w:r w:rsidR="005B355C">
        <w:rPr>
          <w:rFonts w:ascii="Calibri" w:hAnsi="Calibri" w:cs="Calibri"/>
          <w:sz w:val="22"/>
          <w:szCs w:val="22"/>
          <w:lang w:val="en-US"/>
        </w:rPr>
        <w:t xml:space="preserve"> (around €9 million)</w:t>
      </w:r>
      <w:r w:rsidR="006A5114">
        <w:rPr>
          <w:rFonts w:ascii="Calibri" w:hAnsi="Calibri" w:cs="Calibri"/>
          <w:sz w:val="22"/>
          <w:szCs w:val="22"/>
          <w:lang w:val="en-US"/>
        </w:rPr>
        <w:t>,</w:t>
      </w:r>
      <w:r w:rsidR="005B355C" w:rsidRPr="00BE1072">
        <w:rPr>
          <w:rStyle w:val="EndnoteReference"/>
          <w:rFonts w:ascii="Calibri" w:hAnsi="Calibri" w:cs="Calibri"/>
          <w:sz w:val="22"/>
          <w:szCs w:val="22"/>
        </w:rPr>
        <w:t xml:space="preserve"> </w:t>
      </w:r>
      <w:r w:rsidR="005B355C" w:rsidRPr="005B355C">
        <w:rPr>
          <w:rStyle w:val="EndnoteReference"/>
          <w:rFonts w:ascii="Calibri" w:hAnsi="Calibri" w:cs="Calibri"/>
          <w:sz w:val="22"/>
          <w:szCs w:val="22"/>
        </w:rPr>
        <w:endnoteReference w:id="29"/>
      </w:r>
      <w:r w:rsidR="006A5114" w:rsidRPr="0004363C">
        <w:rPr>
          <w:rFonts w:ascii="Calibri" w:hAnsi="Calibri" w:cs="Calibri"/>
          <w:sz w:val="22"/>
          <w:szCs w:val="22"/>
          <w:lang w:val="en-US"/>
        </w:rPr>
        <w:t xml:space="preserve"> and became operational in October 2009 with the appointment of a programme coordinator.</w:t>
      </w:r>
      <w:r w:rsidR="006A5114">
        <w:rPr>
          <w:rFonts w:ascii="Calibri" w:hAnsi="Calibri" w:cs="Calibri"/>
          <w:sz w:val="22"/>
          <w:szCs w:val="22"/>
          <w:lang w:val="en-US"/>
        </w:rPr>
        <w:t xml:space="preserve"> T</w:t>
      </w:r>
      <w:r w:rsidR="006A5114" w:rsidRPr="0004363C">
        <w:rPr>
          <w:rFonts w:ascii="Calibri" w:hAnsi="Calibri" w:cs="Calibri"/>
          <w:sz w:val="22"/>
          <w:szCs w:val="22"/>
          <w:lang w:val="en-US"/>
        </w:rPr>
        <w:t xml:space="preserve">he South African water utility </w:t>
      </w:r>
      <w:smartTag w:uri="urn:schemas-microsoft-com:office:smarttags" w:element="place">
        <w:r w:rsidR="006A5114" w:rsidRPr="0004363C">
          <w:rPr>
            <w:rFonts w:ascii="Calibri" w:hAnsi="Calibri" w:cs="Calibri"/>
            <w:sz w:val="22"/>
            <w:szCs w:val="22"/>
            <w:lang w:val="en-US"/>
          </w:rPr>
          <w:t>Rand</w:t>
        </w:r>
      </w:smartTag>
      <w:r w:rsidR="006A5114" w:rsidRPr="0004363C">
        <w:rPr>
          <w:rFonts w:ascii="Calibri" w:hAnsi="Calibri" w:cs="Calibri"/>
          <w:sz w:val="22"/>
          <w:szCs w:val="22"/>
          <w:lang w:val="en-US"/>
        </w:rPr>
        <w:t xml:space="preserve"> Water</w:t>
      </w:r>
      <w:r w:rsidR="006A5114">
        <w:rPr>
          <w:rFonts w:ascii="Calibri" w:hAnsi="Calibri" w:cs="Calibri"/>
          <w:sz w:val="22"/>
          <w:szCs w:val="22"/>
          <w:lang w:val="en-US"/>
        </w:rPr>
        <w:t xml:space="preserve"> is hosting the</w:t>
      </w:r>
      <w:r w:rsidR="006A5114" w:rsidRPr="006A5114">
        <w:rPr>
          <w:rFonts w:ascii="Calibri" w:hAnsi="Calibri" w:cs="Calibri"/>
          <w:sz w:val="22"/>
          <w:szCs w:val="22"/>
          <w:lang w:val="en-US"/>
        </w:rPr>
        <w:t xml:space="preserve"> </w:t>
      </w:r>
      <w:r w:rsidR="006A5114" w:rsidRPr="0004363C">
        <w:rPr>
          <w:rFonts w:ascii="Calibri" w:hAnsi="Calibri" w:cs="Calibri"/>
          <w:sz w:val="22"/>
          <w:szCs w:val="22"/>
          <w:lang w:val="en-US"/>
        </w:rPr>
        <w:t>WOP-Africa</w:t>
      </w:r>
      <w:r w:rsidR="006A5114">
        <w:rPr>
          <w:rFonts w:ascii="Calibri" w:hAnsi="Calibri" w:cs="Calibri"/>
          <w:sz w:val="22"/>
          <w:szCs w:val="22"/>
          <w:lang w:val="en-US"/>
        </w:rPr>
        <w:t xml:space="preserve"> Secretariat.</w:t>
      </w:r>
      <w:r w:rsidR="006A5114" w:rsidRPr="006A5114">
        <w:rPr>
          <w:rStyle w:val="EndnoteReference"/>
          <w:rFonts w:ascii="Calibri" w:hAnsi="Calibri" w:cs="Calibri"/>
          <w:sz w:val="22"/>
          <w:szCs w:val="22"/>
          <w:lang w:val="en-US"/>
        </w:rPr>
        <w:t xml:space="preserve"> </w:t>
      </w:r>
      <w:r w:rsidR="006A5114" w:rsidRPr="0004363C">
        <w:rPr>
          <w:rStyle w:val="EndnoteReference"/>
          <w:rFonts w:ascii="Calibri" w:hAnsi="Calibri" w:cs="Calibri"/>
          <w:sz w:val="22"/>
          <w:szCs w:val="22"/>
          <w:lang w:val="en-US"/>
        </w:rPr>
        <w:endnoteReference w:id="30"/>
      </w:r>
      <w:r w:rsidR="006A5114">
        <w:t xml:space="preserve"> </w:t>
      </w:r>
      <w:r w:rsidR="0082127C" w:rsidRPr="00D23F85">
        <w:rPr>
          <w:rFonts w:ascii="Calibri" w:hAnsi="Calibri" w:cs="Calibri"/>
          <w:sz w:val="22"/>
          <w:szCs w:val="22"/>
          <w:lang w:val="en-US"/>
        </w:rPr>
        <w:t>The program has obtaine</w:t>
      </w:r>
      <w:r w:rsidR="004E2213">
        <w:rPr>
          <w:rFonts w:ascii="Calibri" w:hAnsi="Calibri" w:cs="Calibri"/>
          <w:sz w:val="22"/>
          <w:szCs w:val="22"/>
          <w:lang w:val="en-US"/>
        </w:rPr>
        <w:t>d three grants from UN-HABITAT</w:t>
      </w:r>
      <w:r w:rsidR="0082127C" w:rsidRPr="00D23F85">
        <w:rPr>
          <w:rFonts w:ascii="Calibri" w:hAnsi="Calibri" w:cs="Calibri"/>
          <w:sz w:val="22"/>
          <w:szCs w:val="22"/>
          <w:lang w:val="en-US"/>
        </w:rPr>
        <w:t xml:space="preserve">, </w:t>
      </w:r>
      <w:r w:rsidR="004E2213">
        <w:rPr>
          <w:rFonts w:ascii="Calibri" w:hAnsi="Calibri" w:cs="Calibri"/>
          <w:sz w:val="22"/>
          <w:szCs w:val="22"/>
          <w:lang w:val="en-US"/>
        </w:rPr>
        <w:t xml:space="preserve">the </w:t>
      </w:r>
      <w:r w:rsidR="004E2213" w:rsidRPr="004E2213">
        <w:rPr>
          <w:rFonts w:ascii="Calibri" w:hAnsi="Calibri" w:cs="Calibri"/>
          <w:sz w:val="22"/>
          <w:szCs w:val="22"/>
        </w:rPr>
        <w:t>United States Agency for International Development</w:t>
      </w:r>
      <w:r w:rsidR="004E2213" w:rsidRPr="00D23F85">
        <w:rPr>
          <w:rFonts w:ascii="Calibri" w:hAnsi="Calibri" w:cs="Calibri"/>
          <w:sz w:val="22"/>
          <w:szCs w:val="22"/>
          <w:lang w:val="en-US"/>
        </w:rPr>
        <w:t xml:space="preserve"> </w:t>
      </w:r>
      <w:r w:rsidR="004E2213">
        <w:rPr>
          <w:rFonts w:ascii="Calibri" w:hAnsi="Calibri" w:cs="Calibri"/>
          <w:sz w:val="22"/>
          <w:szCs w:val="22"/>
          <w:lang w:val="en-US"/>
        </w:rPr>
        <w:t>(</w:t>
      </w:r>
      <w:r w:rsidR="0082127C" w:rsidRPr="00D23F85">
        <w:rPr>
          <w:rFonts w:ascii="Calibri" w:hAnsi="Calibri" w:cs="Calibri"/>
          <w:sz w:val="22"/>
          <w:szCs w:val="22"/>
          <w:lang w:val="en-US"/>
        </w:rPr>
        <w:t>USAID</w:t>
      </w:r>
      <w:r w:rsidR="004E2213">
        <w:rPr>
          <w:rFonts w:ascii="Calibri" w:hAnsi="Calibri" w:cs="Calibri"/>
          <w:sz w:val="22"/>
          <w:szCs w:val="22"/>
          <w:lang w:val="en-US"/>
        </w:rPr>
        <w:t>),</w:t>
      </w:r>
      <w:r w:rsidR="0082127C" w:rsidRPr="00D23F85">
        <w:rPr>
          <w:rFonts w:ascii="Calibri" w:hAnsi="Calibri" w:cs="Calibri"/>
          <w:sz w:val="22"/>
          <w:szCs w:val="22"/>
          <w:lang w:val="en-US"/>
        </w:rPr>
        <w:t xml:space="preserve"> and the African Water Facility</w:t>
      </w:r>
      <w:r w:rsidR="004E2213">
        <w:rPr>
          <w:rFonts w:ascii="Calibri" w:hAnsi="Calibri" w:cs="Calibri"/>
          <w:sz w:val="22"/>
          <w:szCs w:val="22"/>
          <w:lang w:val="en-US"/>
        </w:rPr>
        <w:t xml:space="preserve"> – respectively of </w:t>
      </w:r>
      <w:r w:rsidR="004E2213" w:rsidRPr="00D23F85">
        <w:rPr>
          <w:rFonts w:ascii="Calibri" w:hAnsi="Calibri" w:cs="Calibri"/>
          <w:sz w:val="22"/>
          <w:szCs w:val="22"/>
          <w:lang w:val="en-US"/>
        </w:rPr>
        <w:t xml:space="preserve">US$ </w:t>
      </w:r>
      <w:r w:rsidR="004E2213">
        <w:rPr>
          <w:rFonts w:ascii="Calibri" w:hAnsi="Calibri" w:cs="Calibri"/>
          <w:sz w:val="22"/>
          <w:szCs w:val="22"/>
          <w:lang w:val="en-US"/>
        </w:rPr>
        <w:t>135,</w:t>
      </w:r>
      <w:r w:rsidR="004E2213" w:rsidRPr="0082127C">
        <w:rPr>
          <w:rFonts w:ascii="Calibri" w:hAnsi="Calibri" w:cs="Calibri"/>
          <w:sz w:val="22"/>
          <w:szCs w:val="22"/>
          <w:lang w:val="en-US"/>
        </w:rPr>
        <w:t>548</w:t>
      </w:r>
      <w:r w:rsidR="004E2213">
        <w:rPr>
          <w:rFonts w:ascii="Calibri" w:hAnsi="Calibri" w:cs="Calibri"/>
          <w:sz w:val="22"/>
          <w:szCs w:val="22"/>
          <w:lang w:val="en-US"/>
        </w:rPr>
        <w:t>,</w:t>
      </w:r>
      <w:r w:rsidR="004E2213" w:rsidRPr="004E2213">
        <w:rPr>
          <w:rFonts w:ascii="Calibri" w:hAnsi="Calibri" w:cs="Calibri"/>
          <w:sz w:val="22"/>
          <w:szCs w:val="22"/>
          <w:lang w:val="en-US"/>
        </w:rPr>
        <w:t xml:space="preserve"> </w:t>
      </w:r>
      <w:r w:rsidR="004E2213" w:rsidRPr="00D23F85">
        <w:rPr>
          <w:rFonts w:ascii="Calibri" w:hAnsi="Calibri" w:cs="Calibri"/>
          <w:sz w:val="22"/>
          <w:szCs w:val="22"/>
          <w:lang w:val="en-US"/>
        </w:rPr>
        <w:t>US$ 3 million</w:t>
      </w:r>
      <w:r w:rsidR="004E2213">
        <w:rPr>
          <w:rFonts w:ascii="Calibri" w:hAnsi="Calibri" w:cs="Calibri"/>
          <w:sz w:val="22"/>
          <w:szCs w:val="22"/>
          <w:lang w:val="en-US"/>
        </w:rPr>
        <w:t xml:space="preserve">, and </w:t>
      </w:r>
      <w:r w:rsidR="004E2213" w:rsidRPr="0004363C">
        <w:rPr>
          <w:rFonts w:ascii="Calibri" w:hAnsi="Calibri" w:cs="Calibri"/>
          <w:sz w:val="22"/>
          <w:szCs w:val="22"/>
        </w:rPr>
        <w:t>€490,000</w:t>
      </w:r>
      <w:r w:rsidR="004E2213">
        <w:rPr>
          <w:rFonts w:ascii="Calibri" w:hAnsi="Calibri" w:cs="Calibri"/>
          <w:sz w:val="22"/>
          <w:szCs w:val="22"/>
        </w:rPr>
        <w:t xml:space="preserve"> -</w:t>
      </w:r>
      <w:r w:rsidR="0082127C" w:rsidRPr="00D23F85">
        <w:rPr>
          <w:rFonts w:ascii="Calibri" w:hAnsi="Calibri" w:cs="Calibri"/>
          <w:sz w:val="22"/>
          <w:szCs w:val="22"/>
          <w:lang w:val="en-US"/>
        </w:rPr>
        <w:t xml:space="preserve"> to </w:t>
      </w:r>
      <w:r w:rsidR="00E64871" w:rsidRPr="00D23F85">
        <w:rPr>
          <w:rFonts w:ascii="Calibri" w:hAnsi="Calibri" w:cs="Calibri"/>
          <w:sz w:val="22"/>
          <w:szCs w:val="22"/>
          <w:lang w:val="en-US"/>
        </w:rPr>
        <w:t>fund</w:t>
      </w:r>
      <w:r w:rsidR="0082127C" w:rsidRPr="00D23F85">
        <w:rPr>
          <w:rFonts w:ascii="Calibri" w:hAnsi="Calibri" w:cs="Calibri"/>
          <w:sz w:val="22"/>
          <w:szCs w:val="22"/>
          <w:lang w:val="en-US"/>
        </w:rPr>
        <w:t xml:space="preserve"> the running costs</w:t>
      </w:r>
      <w:r w:rsidR="00D62A22">
        <w:rPr>
          <w:rFonts w:ascii="Calibri" w:hAnsi="Calibri" w:cs="Calibri"/>
          <w:sz w:val="22"/>
          <w:szCs w:val="22"/>
          <w:lang w:val="en-US"/>
        </w:rPr>
        <w:t xml:space="preserve"> of the secretariat (USAID), the implementation of</w:t>
      </w:r>
      <w:r w:rsidR="0082127C" w:rsidRPr="00D23F85">
        <w:rPr>
          <w:rFonts w:ascii="Calibri" w:hAnsi="Calibri" w:cs="Calibri"/>
          <w:sz w:val="22"/>
          <w:szCs w:val="22"/>
          <w:lang w:val="en-US"/>
        </w:rPr>
        <w:t xml:space="preserve"> 20 water operators’ partnerships and the </w:t>
      </w:r>
      <w:r w:rsidR="0082127C" w:rsidRPr="00D23F85">
        <w:rPr>
          <w:rFonts w:ascii="Calibri" w:hAnsi="Calibri" w:cs="Calibri"/>
          <w:sz w:val="22"/>
          <w:szCs w:val="22"/>
        </w:rPr>
        <w:t>development of a benchmarking database.</w:t>
      </w:r>
      <w:r w:rsidR="00F016A6" w:rsidRPr="00D23F85">
        <w:rPr>
          <w:rFonts w:ascii="Calibri" w:hAnsi="Calibri" w:cs="Calibri"/>
          <w:sz w:val="22"/>
          <w:szCs w:val="22"/>
        </w:rPr>
        <w:t xml:space="preserve"> The t</w:t>
      </w:r>
      <w:r w:rsidR="005B355C">
        <w:rPr>
          <w:rFonts w:ascii="Calibri" w:hAnsi="Calibri" w:cs="Calibri"/>
          <w:sz w:val="22"/>
          <w:szCs w:val="22"/>
        </w:rPr>
        <w:t>h</w:t>
      </w:r>
      <w:r w:rsidR="00F016A6" w:rsidRPr="00D23F85">
        <w:rPr>
          <w:rFonts w:ascii="Calibri" w:hAnsi="Calibri" w:cs="Calibri"/>
          <w:sz w:val="22"/>
          <w:szCs w:val="22"/>
        </w:rPr>
        <w:t>ree grants amount to US</w:t>
      </w:r>
      <w:r w:rsidR="005B355C">
        <w:rPr>
          <w:rFonts w:ascii="Calibri" w:hAnsi="Calibri" w:cs="Calibri"/>
          <w:sz w:val="22"/>
          <w:szCs w:val="22"/>
        </w:rPr>
        <w:t>$ 3,877,548 and 33% of this (</w:t>
      </w:r>
      <w:r w:rsidR="00F016A6" w:rsidRPr="00D23F85">
        <w:rPr>
          <w:rFonts w:ascii="Calibri" w:hAnsi="Calibri" w:cs="Calibri"/>
          <w:sz w:val="22"/>
          <w:szCs w:val="22"/>
        </w:rPr>
        <w:t>US$1,279,590</w:t>
      </w:r>
      <w:r w:rsidR="005B355C">
        <w:rPr>
          <w:rFonts w:ascii="Calibri" w:hAnsi="Calibri" w:cs="Calibri"/>
          <w:sz w:val="22"/>
          <w:szCs w:val="22"/>
        </w:rPr>
        <w:t>,</w:t>
      </w:r>
      <w:r w:rsidR="00F016A6" w:rsidRPr="00D23F85">
        <w:rPr>
          <w:rFonts w:ascii="Calibri" w:hAnsi="Calibri" w:cs="Calibri"/>
          <w:sz w:val="22"/>
          <w:szCs w:val="22"/>
        </w:rPr>
        <w:t xml:space="preserve"> equivalent to € </w:t>
      </w:r>
      <w:r w:rsidR="00831B0F" w:rsidRPr="00BE1072">
        <w:rPr>
          <w:rFonts w:ascii="Calibri" w:hAnsi="Calibri" w:cs="Calibri"/>
          <w:sz w:val="22"/>
          <w:szCs w:val="22"/>
        </w:rPr>
        <w:t>973,676</w:t>
      </w:r>
      <w:r w:rsidR="005B355C" w:rsidRPr="00BE1072">
        <w:rPr>
          <w:rFonts w:ascii="Calibri" w:hAnsi="Calibri" w:cs="Calibri"/>
          <w:sz w:val="22"/>
          <w:szCs w:val="22"/>
        </w:rPr>
        <w:t>)</w:t>
      </w:r>
      <w:r w:rsidR="005B355C" w:rsidRPr="00BE1072">
        <w:rPr>
          <w:rStyle w:val="EndnoteReference"/>
          <w:rFonts w:ascii="Calibri" w:hAnsi="Calibri" w:cs="Calibri"/>
          <w:sz w:val="22"/>
          <w:szCs w:val="22"/>
        </w:rPr>
        <w:endnoteReference w:id="31"/>
      </w:r>
      <w:r w:rsidR="00F016A6" w:rsidRPr="00D23F85">
        <w:rPr>
          <w:rFonts w:ascii="Calibri" w:hAnsi="Calibri" w:cs="Calibri"/>
          <w:sz w:val="22"/>
          <w:szCs w:val="22"/>
        </w:rPr>
        <w:t xml:space="preserve"> is devoted to funding the 20 water operators</w:t>
      </w:r>
      <w:r w:rsidR="00BB4DBF">
        <w:rPr>
          <w:rFonts w:ascii="Calibri" w:hAnsi="Calibri" w:cs="Calibri"/>
          <w:sz w:val="22"/>
          <w:szCs w:val="22"/>
        </w:rPr>
        <w:t>’</w:t>
      </w:r>
      <w:r w:rsidR="00F016A6" w:rsidRPr="00D23F85">
        <w:rPr>
          <w:rFonts w:ascii="Calibri" w:hAnsi="Calibri" w:cs="Calibri"/>
          <w:sz w:val="22"/>
          <w:szCs w:val="22"/>
        </w:rPr>
        <w:t xml:space="preserve"> partnerships.</w:t>
      </w:r>
      <w:r w:rsidR="00E64871" w:rsidRPr="00D23F85">
        <w:rPr>
          <w:rStyle w:val="EndnoteReference"/>
          <w:rFonts w:ascii="Calibri" w:hAnsi="Calibri" w:cs="Calibri"/>
          <w:sz w:val="22"/>
          <w:szCs w:val="22"/>
        </w:rPr>
        <w:endnoteReference w:id="32"/>
      </w:r>
      <w:r w:rsidR="0071035D">
        <w:rPr>
          <w:rFonts w:ascii="Calibri" w:hAnsi="Calibri" w:cs="Calibri"/>
          <w:sz w:val="22"/>
          <w:szCs w:val="22"/>
        </w:rPr>
        <w:t xml:space="preserve"> The implementation of the three year action plan is being extended beyond the initial deadline owing to the delays caused by political unrest in </w:t>
      </w:r>
      <w:smartTag w:uri="urn:schemas-microsoft-com:office:smarttags" w:element="place">
        <w:smartTag w:uri="urn:schemas-microsoft-com:office:smarttags" w:element="country-region">
          <w:r w:rsidR="0071035D">
            <w:rPr>
              <w:rFonts w:ascii="Calibri" w:hAnsi="Calibri" w:cs="Calibri"/>
              <w:sz w:val="22"/>
              <w:szCs w:val="22"/>
            </w:rPr>
            <w:t>Ivory Coast</w:t>
          </w:r>
        </w:smartTag>
      </w:smartTag>
      <w:r w:rsidR="0071035D">
        <w:rPr>
          <w:rFonts w:ascii="Calibri" w:hAnsi="Calibri" w:cs="Calibri"/>
          <w:sz w:val="22"/>
          <w:szCs w:val="22"/>
        </w:rPr>
        <w:t>, where AfWA’s headquarters are located.</w:t>
      </w:r>
      <w:r w:rsidR="0071035D" w:rsidRPr="0071035D">
        <w:rPr>
          <w:rStyle w:val="EndnoteReference"/>
          <w:rFonts w:ascii="Calibri" w:hAnsi="Calibri" w:cs="Calibri"/>
          <w:sz w:val="22"/>
          <w:szCs w:val="22"/>
        </w:rPr>
        <w:t xml:space="preserve"> </w:t>
      </w:r>
      <w:r w:rsidR="0071035D" w:rsidRPr="005B355C">
        <w:rPr>
          <w:rStyle w:val="EndnoteReference"/>
          <w:rFonts w:ascii="Calibri" w:hAnsi="Calibri" w:cs="Calibri"/>
          <w:sz w:val="22"/>
          <w:szCs w:val="22"/>
        </w:rPr>
        <w:endnoteReference w:id="33"/>
      </w:r>
      <w:r w:rsidR="0071035D">
        <w:rPr>
          <w:rFonts w:ascii="Calibri" w:hAnsi="Calibri" w:cs="Calibri"/>
          <w:sz w:val="22"/>
          <w:szCs w:val="22"/>
        </w:rPr>
        <w:t xml:space="preserve">  </w:t>
      </w:r>
    </w:p>
    <w:p w:rsidR="0082127C" w:rsidRPr="00D23F85" w:rsidRDefault="0082127C" w:rsidP="0082127C">
      <w:pPr>
        <w:pStyle w:val="NoSpacing"/>
        <w:rPr>
          <w:rFonts w:ascii="Calibri" w:hAnsi="Calibri" w:cs="Calibri"/>
          <w:sz w:val="22"/>
          <w:szCs w:val="22"/>
        </w:rPr>
      </w:pPr>
    </w:p>
    <w:p w:rsidR="00001C29" w:rsidRPr="0004363C" w:rsidRDefault="00E64871" w:rsidP="00C12B24">
      <w:pPr>
        <w:pStyle w:val="Default"/>
        <w:jc w:val="both"/>
        <w:rPr>
          <w:rFonts w:ascii="Calibri" w:hAnsi="Calibri" w:cs="Calibri"/>
          <w:sz w:val="22"/>
          <w:szCs w:val="22"/>
        </w:rPr>
      </w:pPr>
      <w:r>
        <w:rPr>
          <w:rFonts w:ascii="Calibri" w:hAnsi="Calibri" w:cs="Calibri"/>
          <w:sz w:val="22"/>
          <w:szCs w:val="22"/>
          <w:lang w:val="en-US"/>
        </w:rPr>
        <w:t xml:space="preserve">The </w:t>
      </w:r>
      <w:r w:rsidRPr="0004363C">
        <w:rPr>
          <w:rFonts w:ascii="Calibri" w:hAnsi="Calibri" w:cs="Calibri"/>
          <w:sz w:val="22"/>
          <w:szCs w:val="22"/>
        </w:rPr>
        <w:t>€490,000</w:t>
      </w:r>
      <w:r>
        <w:rPr>
          <w:rFonts w:ascii="Calibri" w:hAnsi="Calibri" w:cs="Calibri"/>
          <w:sz w:val="22"/>
          <w:szCs w:val="22"/>
        </w:rPr>
        <w:t xml:space="preserve"> grant is in effect a grant awarded by the</w:t>
      </w:r>
      <w:r w:rsidR="003B0C59">
        <w:rPr>
          <w:rFonts w:ascii="Calibri" w:hAnsi="Calibri" w:cs="Calibri"/>
          <w:sz w:val="22"/>
          <w:szCs w:val="22"/>
        </w:rPr>
        <w:t xml:space="preserve"> </w:t>
      </w:r>
      <w:r w:rsidR="003B0C59" w:rsidRPr="0004363C">
        <w:rPr>
          <w:rFonts w:ascii="Calibri" w:hAnsi="Calibri" w:cs="Calibri"/>
          <w:sz w:val="22"/>
          <w:szCs w:val="22"/>
        </w:rPr>
        <w:t>African Development Bank (AfDB)</w:t>
      </w:r>
      <w:r w:rsidR="003B0C59">
        <w:rPr>
          <w:rFonts w:ascii="Calibri" w:hAnsi="Calibri" w:cs="Calibri"/>
          <w:sz w:val="22"/>
          <w:szCs w:val="22"/>
        </w:rPr>
        <w:t xml:space="preserve"> to the African Water Association (AfWA)</w:t>
      </w:r>
      <w:r w:rsidR="003B0C59" w:rsidRPr="0004363C">
        <w:rPr>
          <w:rFonts w:ascii="Calibri" w:hAnsi="Calibri" w:cs="Calibri"/>
          <w:sz w:val="22"/>
          <w:szCs w:val="22"/>
        </w:rPr>
        <w:t xml:space="preserve"> in the framework of the special fund of the African Water Facility</w:t>
      </w:r>
      <w:r w:rsidR="003B0C59">
        <w:rPr>
          <w:rFonts w:ascii="Calibri" w:hAnsi="Calibri" w:cs="Calibri"/>
          <w:sz w:val="22"/>
          <w:szCs w:val="22"/>
        </w:rPr>
        <w:t xml:space="preserve">, and devoted to </w:t>
      </w:r>
      <w:r w:rsidR="003B0C59" w:rsidRPr="0004363C">
        <w:rPr>
          <w:rFonts w:ascii="Calibri" w:hAnsi="Calibri" w:cs="Calibri"/>
          <w:sz w:val="22"/>
          <w:szCs w:val="22"/>
          <w:lang w:val="en-US"/>
        </w:rPr>
        <w:t>WOP-Africa</w:t>
      </w:r>
      <w:r w:rsidR="003B0C59" w:rsidRPr="0004363C">
        <w:rPr>
          <w:rFonts w:ascii="Calibri" w:hAnsi="Calibri" w:cs="Calibri"/>
          <w:sz w:val="22"/>
          <w:szCs w:val="22"/>
        </w:rPr>
        <w:t>.</w:t>
      </w:r>
      <w:r w:rsidR="003B0C59" w:rsidRPr="0004363C">
        <w:rPr>
          <w:rStyle w:val="EndnoteReference"/>
          <w:rFonts w:ascii="Calibri" w:hAnsi="Calibri" w:cs="Calibri"/>
          <w:sz w:val="22"/>
          <w:szCs w:val="22"/>
        </w:rPr>
        <w:endnoteReference w:id="34"/>
      </w:r>
      <w:r w:rsidR="003B0C59" w:rsidRPr="0004363C">
        <w:rPr>
          <w:rFonts w:ascii="Calibri" w:hAnsi="Calibri" w:cs="Calibri"/>
          <w:sz w:val="22"/>
          <w:szCs w:val="22"/>
        </w:rPr>
        <w:t xml:space="preserve"> </w:t>
      </w:r>
      <w:r w:rsidR="003B0C59">
        <w:rPr>
          <w:rFonts w:ascii="Calibri" w:hAnsi="Calibri" w:cs="Calibri"/>
          <w:sz w:val="22"/>
          <w:szCs w:val="22"/>
        </w:rPr>
        <w:t>T</w:t>
      </w:r>
      <w:r w:rsidR="003B0C59" w:rsidRPr="0004363C">
        <w:rPr>
          <w:rFonts w:ascii="Calibri" w:hAnsi="Calibri" w:cs="Calibri"/>
          <w:sz w:val="22"/>
          <w:szCs w:val="22"/>
        </w:rPr>
        <w:t>he AfDB/African Water Facility grant</w:t>
      </w:r>
      <w:r w:rsidR="00EB4103" w:rsidRPr="0004363C">
        <w:rPr>
          <w:rFonts w:ascii="Calibri" w:hAnsi="Calibri" w:cs="Calibri"/>
          <w:sz w:val="22"/>
          <w:szCs w:val="22"/>
          <w:lang w:val="en-US"/>
        </w:rPr>
        <w:t xml:space="preserve"> is sponsoring </w:t>
      </w:r>
      <w:r w:rsidR="00EB4103" w:rsidRPr="0004363C">
        <w:rPr>
          <w:rFonts w:ascii="Calibri" w:hAnsi="Calibri" w:cs="Calibri"/>
          <w:sz w:val="22"/>
          <w:szCs w:val="22"/>
        </w:rPr>
        <w:t>ten peer-to-peer learning partnerships</w:t>
      </w:r>
      <w:r w:rsidR="00724DD7" w:rsidRPr="0004363C">
        <w:rPr>
          <w:rFonts w:ascii="Calibri" w:hAnsi="Calibri" w:cs="Calibri"/>
          <w:sz w:val="22"/>
          <w:szCs w:val="22"/>
        </w:rPr>
        <w:t xml:space="preserve"> and</w:t>
      </w:r>
      <w:r w:rsidR="00EB4103" w:rsidRPr="0004363C">
        <w:rPr>
          <w:rFonts w:ascii="Calibri" w:hAnsi="Calibri" w:cs="Calibri"/>
          <w:sz w:val="22"/>
          <w:szCs w:val="22"/>
        </w:rPr>
        <w:t xml:space="preserve"> </w:t>
      </w:r>
      <w:r w:rsidR="00975B1D" w:rsidRPr="0004363C">
        <w:rPr>
          <w:rFonts w:ascii="Calibri" w:hAnsi="Calibri" w:cs="Calibri"/>
          <w:sz w:val="22"/>
          <w:szCs w:val="22"/>
        </w:rPr>
        <w:t>th</w:t>
      </w:r>
      <w:r w:rsidR="00182432" w:rsidRPr="0004363C">
        <w:rPr>
          <w:rFonts w:ascii="Calibri" w:hAnsi="Calibri" w:cs="Calibri"/>
          <w:sz w:val="22"/>
          <w:szCs w:val="22"/>
        </w:rPr>
        <w:t xml:space="preserve">e development of </w:t>
      </w:r>
      <w:r w:rsidR="00EB4103" w:rsidRPr="0004363C">
        <w:rPr>
          <w:rFonts w:ascii="Calibri" w:hAnsi="Calibri" w:cs="Calibri"/>
          <w:sz w:val="22"/>
          <w:szCs w:val="22"/>
        </w:rPr>
        <w:t xml:space="preserve">a benchmarking database, </w:t>
      </w:r>
      <w:r w:rsidR="003B0C59">
        <w:rPr>
          <w:rFonts w:ascii="Calibri" w:hAnsi="Calibri" w:cs="Calibri"/>
          <w:sz w:val="22"/>
          <w:szCs w:val="22"/>
        </w:rPr>
        <w:t xml:space="preserve">building on the </w:t>
      </w:r>
      <w:r w:rsidR="003B0C59" w:rsidRPr="0004363C">
        <w:rPr>
          <w:rFonts w:ascii="Calibri" w:hAnsi="Calibri" w:cs="Calibri"/>
          <w:sz w:val="22"/>
          <w:szCs w:val="22"/>
        </w:rPr>
        <w:t>experience gained by the Water Utility Partnership since 1996</w:t>
      </w:r>
      <w:r w:rsidR="003B0C59">
        <w:rPr>
          <w:rFonts w:ascii="Calibri" w:hAnsi="Calibri" w:cs="Calibri"/>
          <w:sz w:val="22"/>
          <w:szCs w:val="22"/>
        </w:rPr>
        <w:t xml:space="preserve"> and aiming </w:t>
      </w:r>
      <w:r w:rsidR="0078006A" w:rsidRPr="0004363C">
        <w:rPr>
          <w:rFonts w:ascii="Calibri" w:hAnsi="Calibri" w:cs="Calibri"/>
          <w:sz w:val="22"/>
          <w:szCs w:val="22"/>
        </w:rPr>
        <w:t xml:space="preserve">to </w:t>
      </w:r>
      <w:r w:rsidR="00CA7EC2" w:rsidRPr="0004363C">
        <w:rPr>
          <w:rFonts w:ascii="Calibri" w:hAnsi="Calibri" w:cs="Calibri"/>
          <w:sz w:val="22"/>
          <w:szCs w:val="22"/>
        </w:rPr>
        <w:t>lay the grounds for scaling up the WOP-Africa programme.</w:t>
      </w:r>
      <w:r w:rsidR="00CA7EC2" w:rsidRPr="0004363C">
        <w:rPr>
          <w:rStyle w:val="EndnoteReference"/>
          <w:rFonts w:ascii="Calibri" w:hAnsi="Calibri" w:cs="Calibri"/>
          <w:sz w:val="22"/>
          <w:szCs w:val="22"/>
        </w:rPr>
        <w:endnoteReference w:id="35"/>
      </w:r>
      <w:r w:rsidR="00AB471A" w:rsidRPr="0004363C">
        <w:rPr>
          <w:rFonts w:ascii="Calibri" w:hAnsi="Calibri" w:cs="Calibri"/>
          <w:sz w:val="22"/>
          <w:szCs w:val="22"/>
        </w:rPr>
        <w:t xml:space="preserve"> T</w:t>
      </w:r>
      <w:r w:rsidR="007872A4" w:rsidRPr="0004363C">
        <w:rPr>
          <w:rFonts w:ascii="Calibri" w:hAnsi="Calibri" w:cs="Calibri"/>
          <w:sz w:val="22"/>
          <w:szCs w:val="22"/>
        </w:rPr>
        <w:t xml:space="preserve">he design of the </w:t>
      </w:r>
      <w:r w:rsidR="007872A4" w:rsidRPr="007872A4">
        <w:rPr>
          <w:rFonts w:ascii="Calibri" w:hAnsi="Calibri" w:cs="Calibri"/>
          <w:sz w:val="22"/>
          <w:szCs w:val="22"/>
        </w:rPr>
        <w:t>AfDB/African Water Facility</w:t>
      </w:r>
      <w:r w:rsidR="007872A4">
        <w:rPr>
          <w:rFonts w:ascii="Calibri" w:hAnsi="Calibri" w:cs="Calibri"/>
          <w:sz w:val="22"/>
          <w:szCs w:val="22"/>
        </w:rPr>
        <w:t>-funded</w:t>
      </w:r>
      <w:r w:rsidR="00AB471A" w:rsidRPr="0004363C">
        <w:rPr>
          <w:rFonts w:ascii="Calibri" w:hAnsi="Calibri" w:cs="Calibri"/>
          <w:sz w:val="22"/>
          <w:szCs w:val="22"/>
        </w:rPr>
        <w:t xml:space="preserve"> initiative was informed by the Africa Utility Performance Assessment, a study conducted by the Water and Sanitation Program-Africa</w:t>
      </w:r>
      <w:r w:rsidR="00C12B24" w:rsidRPr="0004363C">
        <w:rPr>
          <w:rFonts w:ascii="Calibri" w:hAnsi="Calibri" w:cs="Calibri"/>
          <w:sz w:val="22"/>
          <w:szCs w:val="22"/>
        </w:rPr>
        <w:t xml:space="preserve"> “to ascertain the strengths and needs (of African utilities) and identify the most promising areas for learning and peer-support under the evolving (WOP-Africa) platform”</w:t>
      </w:r>
      <w:r w:rsidR="00AB471A" w:rsidRPr="0004363C">
        <w:rPr>
          <w:rFonts w:ascii="Calibri" w:hAnsi="Calibri" w:cs="Calibri"/>
          <w:sz w:val="22"/>
          <w:szCs w:val="22"/>
        </w:rPr>
        <w:t>.</w:t>
      </w:r>
      <w:r w:rsidR="00AB471A" w:rsidRPr="0004363C">
        <w:rPr>
          <w:rStyle w:val="EndnoteReference"/>
          <w:rFonts w:ascii="Calibri" w:hAnsi="Calibri" w:cs="Calibri"/>
          <w:sz w:val="22"/>
          <w:szCs w:val="22"/>
        </w:rPr>
        <w:endnoteReference w:id="36"/>
      </w:r>
    </w:p>
    <w:p w:rsidR="00001C29" w:rsidRDefault="00001C29" w:rsidP="005C4F60">
      <w:pPr>
        <w:autoSpaceDE w:val="0"/>
        <w:autoSpaceDN w:val="0"/>
        <w:adjustRightInd w:val="0"/>
        <w:jc w:val="both"/>
        <w:rPr>
          <w:rFonts w:cs="Calibri"/>
        </w:rPr>
      </w:pPr>
    </w:p>
    <w:p w:rsidR="00313177" w:rsidRDefault="00197150" w:rsidP="005C4F60">
      <w:pPr>
        <w:autoSpaceDE w:val="0"/>
        <w:autoSpaceDN w:val="0"/>
        <w:adjustRightInd w:val="0"/>
        <w:jc w:val="both"/>
        <w:rPr>
          <w:rFonts w:cs="Calibri"/>
        </w:rPr>
      </w:pPr>
      <w:r w:rsidRPr="00F15712">
        <w:rPr>
          <w:rFonts w:cs="Calibri"/>
          <w:lang w:val="en-US"/>
        </w:rPr>
        <w:t>WOP-Africa</w:t>
      </w:r>
      <w:r>
        <w:rPr>
          <w:rFonts w:cs="Calibri"/>
          <w:lang w:val="en-US"/>
        </w:rPr>
        <w:t xml:space="preserve"> selected t</w:t>
      </w:r>
      <w:r w:rsidR="00724DD7" w:rsidRPr="00F15712">
        <w:rPr>
          <w:rFonts w:cs="Calibri"/>
        </w:rPr>
        <w:t>he ten utility-to-utility learning partnerships</w:t>
      </w:r>
      <w:r w:rsidR="00BE08AC" w:rsidRPr="00F15712">
        <w:rPr>
          <w:rFonts w:cs="Calibri"/>
        </w:rPr>
        <w:t xml:space="preserve"> among</w:t>
      </w:r>
      <w:r w:rsidR="00E442B4">
        <w:rPr>
          <w:rFonts w:cs="Calibri"/>
        </w:rPr>
        <w:t xml:space="preserve"> 35</w:t>
      </w:r>
      <w:r w:rsidR="00BE08AC" w:rsidRPr="00F15712">
        <w:rPr>
          <w:rFonts w:cs="Calibri"/>
        </w:rPr>
        <w:t xml:space="preserve"> proposals received from utilities interest</w:t>
      </w:r>
      <w:r>
        <w:rPr>
          <w:rFonts w:cs="Calibri"/>
        </w:rPr>
        <w:t>ed</w:t>
      </w:r>
      <w:r w:rsidR="00BE08AC" w:rsidRPr="00F15712">
        <w:rPr>
          <w:rFonts w:cs="Calibri"/>
        </w:rPr>
        <w:t xml:space="preserve"> in participating in the scheme</w:t>
      </w:r>
      <w:r w:rsidR="00E442B4">
        <w:rPr>
          <w:rFonts w:cs="Calibri"/>
        </w:rPr>
        <w:t>, most of which focussed on Non-Revenue-</w:t>
      </w:r>
      <w:r w:rsidR="00E442B4" w:rsidRPr="00E442B4">
        <w:rPr>
          <w:rFonts w:cs="Calibri"/>
        </w:rPr>
        <w:t>Water</w:t>
      </w:r>
      <w:r w:rsidR="00E442B4">
        <w:rPr>
          <w:rFonts w:cs="Calibri"/>
        </w:rPr>
        <w:t xml:space="preserve"> and</w:t>
      </w:r>
      <w:r w:rsidR="00AB572D">
        <w:rPr>
          <w:rFonts w:cs="Calibri"/>
        </w:rPr>
        <w:t xml:space="preserve"> Best Management Practices, and none of which address</w:t>
      </w:r>
      <w:r w:rsidR="00E442B4">
        <w:rPr>
          <w:rFonts w:cs="Calibri"/>
        </w:rPr>
        <w:t>ed sanitation</w:t>
      </w:r>
      <w:r w:rsidR="00BE08AC" w:rsidRPr="00F15712">
        <w:rPr>
          <w:rFonts w:cs="Calibri"/>
        </w:rPr>
        <w:t>.</w:t>
      </w:r>
      <w:r w:rsidR="006D6206" w:rsidRPr="006D6206">
        <w:rPr>
          <w:rStyle w:val="EndnoteReference"/>
          <w:rFonts w:eastAsia="Times New Roman" w:cs="Calibri"/>
          <w:lang w:eastAsia="en-GB"/>
        </w:rPr>
        <w:t xml:space="preserve"> </w:t>
      </w:r>
      <w:r w:rsidR="006D6206">
        <w:rPr>
          <w:rStyle w:val="EndnoteReference"/>
          <w:rFonts w:eastAsia="Times New Roman" w:cs="Calibri"/>
          <w:lang w:eastAsia="en-GB"/>
        </w:rPr>
        <w:endnoteReference w:id="37"/>
      </w:r>
      <w:r w:rsidR="00BE08AC" w:rsidRPr="00F15712">
        <w:rPr>
          <w:rFonts w:cs="Calibri"/>
        </w:rPr>
        <w:t xml:space="preserve"> </w:t>
      </w:r>
      <w:r w:rsidR="00BE08AC" w:rsidRPr="00F15712">
        <w:rPr>
          <w:rFonts w:cs="Calibri"/>
          <w:lang w:val="en-US"/>
        </w:rPr>
        <w:t>WOP-Africa</w:t>
      </w:r>
      <w:r w:rsidR="00182432">
        <w:rPr>
          <w:rFonts w:cs="Calibri"/>
          <w:lang w:val="en-US"/>
        </w:rPr>
        <w:t xml:space="preserve"> assisted the interested utilities in identifying potential mentors in light of their demands for capacity development.</w:t>
      </w:r>
      <w:r w:rsidR="00BE08AC" w:rsidRPr="00F15712">
        <w:rPr>
          <w:rFonts w:cs="Calibri"/>
        </w:rPr>
        <w:t xml:space="preserve"> </w:t>
      </w:r>
      <w:r>
        <w:rPr>
          <w:rFonts w:cs="Calibri"/>
          <w:lang w:val="en-US"/>
        </w:rPr>
        <w:t>The selection took place</w:t>
      </w:r>
      <w:r w:rsidR="00BE08AC" w:rsidRPr="00F15712">
        <w:rPr>
          <w:rFonts w:cs="Calibri"/>
        </w:rPr>
        <w:t xml:space="preserve"> in light of the </w:t>
      </w:r>
      <w:r w:rsidR="0045338D">
        <w:rPr>
          <w:rFonts w:cs="Calibri"/>
        </w:rPr>
        <w:t>performance</w:t>
      </w:r>
      <w:r w:rsidR="00BE08AC" w:rsidRPr="00F15712">
        <w:rPr>
          <w:rFonts w:cs="Calibri"/>
        </w:rPr>
        <w:t xml:space="preserve"> parameters of mentors and mentees, </w:t>
      </w:r>
      <w:r w:rsidR="00EF02C5" w:rsidRPr="00F15712">
        <w:rPr>
          <w:rFonts w:eastAsia="Times New Roman" w:cs="Calibri"/>
          <w:lang w:eastAsia="en-GB"/>
        </w:rPr>
        <w:t>the improvement potential of the mentee and the capacity “gap” between the mentee and the mentor.</w:t>
      </w:r>
      <w:r w:rsidR="00DC6748" w:rsidRPr="00F15712">
        <w:rPr>
          <w:rFonts w:eastAsia="Times New Roman" w:cs="Calibri"/>
          <w:lang w:eastAsia="en-GB"/>
        </w:rPr>
        <w:t xml:space="preserve"> </w:t>
      </w:r>
      <w:r w:rsidR="003951B0">
        <w:rPr>
          <w:rFonts w:eastAsia="Times New Roman" w:cs="Calibri"/>
          <w:lang w:eastAsia="en-GB"/>
        </w:rPr>
        <w:t xml:space="preserve">The total amount available for the ten water operators’ partnerships is €414,000. </w:t>
      </w:r>
      <w:r w:rsidR="00DC6748" w:rsidRPr="00F15712">
        <w:rPr>
          <w:rFonts w:eastAsia="Times New Roman" w:cs="Calibri"/>
          <w:lang w:eastAsia="en-GB"/>
        </w:rPr>
        <w:t xml:space="preserve">All partnerships </w:t>
      </w:r>
      <w:r w:rsidR="00DC5919" w:rsidRPr="00F15712">
        <w:rPr>
          <w:rFonts w:eastAsia="Times New Roman" w:cs="Calibri"/>
          <w:lang w:eastAsia="en-GB"/>
        </w:rPr>
        <w:t>must</w:t>
      </w:r>
      <w:r w:rsidR="00DC6748" w:rsidRPr="00F15712">
        <w:rPr>
          <w:rFonts w:eastAsia="Times New Roman" w:cs="Calibri"/>
          <w:lang w:eastAsia="en-GB"/>
        </w:rPr>
        <w:t xml:space="preserve"> produce a Performance Improvement Plan</w:t>
      </w:r>
      <w:r w:rsidR="00DC5919" w:rsidRPr="00F15712">
        <w:rPr>
          <w:rFonts w:eastAsia="Times New Roman" w:cs="Calibri"/>
          <w:lang w:eastAsia="en-GB"/>
        </w:rPr>
        <w:t xml:space="preserve"> with implementation duration of 12 months</w:t>
      </w:r>
      <w:r w:rsidR="005C4F60" w:rsidRPr="00F15712">
        <w:rPr>
          <w:rFonts w:eastAsia="Times New Roman" w:cs="Calibri"/>
          <w:lang w:eastAsia="en-GB"/>
        </w:rPr>
        <w:t>, envisage at least two visits by mentor and mentee to the other partner,</w:t>
      </w:r>
      <w:r w:rsidR="00DC6748" w:rsidRPr="00F15712">
        <w:rPr>
          <w:rFonts w:eastAsia="Times New Roman" w:cs="Calibri"/>
          <w:lang w:eastAsia="en-GB"/>
        </w:rPr>
        <w:t xml:space="preserve"> </w:t>
      </w:r>
      <w:r w:rsidR="00DC5919" w:rsidRPr="00F15712">
        <w:rPr>
          <w:rFonts w:eastAsia="Times New Roman" w:cs="Calibri"/>
          <w:lang w:eastAsia="en-GB"/>
        </w:rPr>
        <w:t xml:space="preserve">and </w:t>
      </w:r>
      <w:r w:rsidR="005C4F60" w:rsidRPr="00F15712">
        <w:rPr>
          <w:rFonts w:eastAsia="Times New Roman" w:cs="Calibri"/>
          <w:lang w:eastAsia="en-GB"/>
        </w:rPr>
        <w:t>attend</w:t>
      </w:r>
      <w:r w:rsidR="00DC5919" w:rsidRPr="00F15712">
        <w:rPr>
          <w:rFonts w:eastAsia="Times New Roman" w:cs="Calibri"/>
          <w:lang w:eastAsia="en-GB"/>
        </w:rPr>
        <w:t xml:space="preserve"> workshops </w:t>
      </w:r>
      <w:r w:rsidR="005C4F60" w:rsidRPr="00F15712">
        <w:rPr>
          <w:rFonts w:eastAsia="Times New Roman" w:cs="Calibri"/>
          <w:lang w:eastAsia="en-GB"/>
        </w:rPr>
        <w:t>aimed at sharing experience</w:t>
      </w:r>
      <w:r w:rsidR="00DC5919" w:rsidRPr="00F15712">
        <w:rPr>
          <w:rFonts w:eastAsia="Times New Roman" w:cs="Calibri"/>
          <w:lang w:eastAsia="en-GB"/>
        </w:rPr>
        <w:t>.</w:t>
      </w:r>
      <w:r w:rsidR="005C4F60" w:rsidRPr="00F15712">
        <w:rPr>
          <w:rFonts w:eastAsia="Times New Roman" w:cs="Calibri"/>
          <w:lang w:eastAsia="en-GB"/>
        </w:rPr>
        <w:t xml:space="preserve"> Partnerships are to produce quarterly and final progress evaluations and their impact is to be evaluated by a local </w:t>
      </w:r>
      <w:r w:rsidR="001D6FD8">
        <w:rPr>
          <w:rFonts w:eastAsia="Times New Roman" w:cs="Calibri"/>
          <w:lang w:eastAsia="en-GB"/>
        </w:rPr>
        <w:t xml:space="preserve">independent </w:t>
      </w:r>
      <w:r w:rsidR="005C4F60" w:rsidRPr="00F15712">
        <w:rPr>
          <w:rFonts w:eastAsia="Times New Roman" w:cs="Calibri"/>
          <w:lang w:eastAsia="en-GB"/>
        </w:rPr>
        <w:t>consultant</w:t>
      </w:r>
      <w:r w:rsidR="001D6FD8">
        <w:rPr>
          <w:rFonts w:eastAsia="Times New Roman" w:cs="Calibri"/>
          <w:lang w:eastAsia="en-GB"/>
        </w:rPr>
        <w:t xml:space="preserve"> and the evaluation will be made publicly available</w:t>
      </w:r>
      <w:r w:rsidR="005C4F60" w:rsidRPr="00F15712">
        <w:rPr>
          <w:rFonts w:eastAsia="Times New Roman" w:cs="Calibri"/>
          <w:lang w:eastAsia="en-GB"/>
        </w:rPr>
        <w:t>.</w:t>
      </w:r>
      <w:r w:rsidR="00975B1D">
        <w:rPr>
          <w:rStyle w:val="EndnoteReference"/>
          <w:rFonts w:eastAsia="Times New Roman" w:cs="Calibri"/>
          <w:lang w:eastAsia="en-GB"/>
        </w:rPr>
        <w:endnoteReference w:id="38"/>
      </w:r>
      <w:r w:rsidR="001D6FD8">
        <w:rPr>
          <w:rFonts w:eastAsia="Times New Roman" w:cs="Calibri"/>
          <w:lang w:eastAsia="en-GB"/>
        </w:rPr>
        <w:t xml:space="preserve"> Implementation of t</w:t>
      </w:r>
      <w:r w:rsidR="00D62A22">
        <w:rPr>
          <w:rFonts w:eastAsia="Times New Roman" w:cs="Calibri"/>
          <w:lang w:eastAsia="en-GB"/>
        </w:rPr>
        <w:t xml:space="preserve">he ten selected partnerships </w:t>
      </w:r>
      <w:r w:rsidR="001D6FD8">
        <w:rPr>
          <w:rFonts w:eastAsia="Times New Roman" w:cs="Calibri"/>
          <w:lang w:eastAsia="en-GB"/>
        </w:rPr>
        <w:t>is to begin in July 2012</w:t>
      </w:r>
      <w:r w:rsidR="00CA7EC2">
        <w:rPr>
          <w:rFonts w:eastAsia="Times New Roman" w:cs="Calibri"/>
          <w:lang w:eastAsia="en-GB"/>
        </w:rPr>
        <w:t xml:space="preserve">. All </w:t>
      </w:r>
      <w:r w:rsidR="00F978DD">
        <w:rPr>
          <w:rFonts w:eastAsia="Times New Roman" w:cs="Calibri"/>
          <w:lang w:eastAsia="en-GB"/>
        </w:rPr>
        <w:t xml:space="preserve">partnerships </w:t>
      </w:r>
      <w:r w:rsidR="00CA7EC2">
        <w:rPr>
          <w:rFonts w:eastAsia="Times New Roman" w:cs="Calibri"/>
          <w:lang w:eastAsia="en-GB"/>
        </w:rPr>
        <w:t>have a strong South-South component as all mentors and mentees are African utilities</w:t>
      </w:r>
      <w:r w:rsidR="00F978DD">
        <w:rPr>
          <w:rFonts w:eastAsia="Times New Roman" w:cs="Calibri"/>
          <w:lang w:eastAsia="en-GB"/>
        </w:rPr>
        <w:t xml:space="preserve"> while none involves local Non State Actors other than water and sanitation utilities.</w:t>
      </w:r>
      <w:r w:rsidR="006D6206">
        <w:rPr>
          <w:rStyle w:val="EndnoteReference"/>
          <w:rFonts w:eastAsia="Times New Roman" w:cs="Calibri"/>
          <w:lang w:eastAsia="en-GB"/>
        </w:rPr>
        <w:endnoteReference w:id="39"/>
      </w:r>
      <w:r w:rsidR="00EC012E">
        <w:rPr>
          <w:rFonts w:eastAsia="Times New Roman" w:cs="Calibri"/>
          <w:lang w:eastAsia="en-GB"/>
        </w:rPr>
        <w:t xml:space="preserve"> </w:t>
      </w:r>
      <w:r w:rsidR="00CA7EC2">
        <w:rPr>
          <w:rFonts w:eastAsia="Times New Roman" w:cs="Calibri"/>
          <w:lang w:eastAsia="en-GB"/>
        </w:rPr>
        <w:t xml:space="preserve"> A list of mentees and mentors involved in the ten</w:t>
      </w:r>
      <w:r w:rsidR="00EC012E">
        <w:rPr>
          <w:rFonts w:eastAsia="Times New Roman" w:cs="Calibri"/>
          <w:lang w:eastAsia="en-GB"/>
        </w:rPr>
        <w:t xml:space="preserve"> </w:t>
      </w:r>
      <w:r w:rsidR="00EC012E" w:rsidRPr="00F15712">
        <w:rPr>
          <w:rFonts w:cs="Calibri"/>
        </w:rPr>
        <w:t>peer-to-peer learning partnerships</w:t>
      </w:r>
      <w:r w:rsidR="00850D1C">
        <w:rPr>
          <w:rFonts w:cs="Calibri"/>
        </w:rPr>
        <w:t xml:space="preserve"> is contained in Annex </w:t>
      </w:r>
      <w:r w:rsidR="00EC012E">
        <w:rPr>
          <w:rFonts w:cs="Calibri"/>
        </w:rPr>
        <w:t>V</w:t>
      </w:r>
      <w:r w:rsidR="003951B0">
        <w:rPr>
          <w:rFonts w:cs="Calibri"/>
        </w:rPr>
        <w:t>, Table 1</w:t>
      </w:r>
      <w:r w:rsidR="00EC012E">
        <w:rPr>
          <w:rFonts w:cs="Calibri"/>
        </w:rPr>
        <w:t>.</w:t>
      </w:r>
    </w:p>
    <w:p w:rsidR="00313177" w:rsidRDefault="00313177" w:rsidP="005C4F60">
      <w:pPr>
        <w:autoSpaceDE w:val="0"/>
        <w:autoSpaceDN w:val="0"/>
        <w:adjustRightInd w:val="0"/>
        <w:jc w:val="both"/>
        <w:rPr>
          <w:rFonts w:cs="Calibri"/>
        </w:rPr>
      </w:pPr>
    </w:p>
    <w:p w:rsidR="00740C3A" w:rsidRPr="0004363C" w:rsidRDefault="00313177" w:rsidP="00740C3A">
      <w:pPr>
        <w:autoSpaceDE w:val="0"/>
        <w:autoSpaceDN w:val="0"/>
        <w:adjustRightInd w:val="0"/>
        <w:jc w:val="both"/>
        <w:rPr>
          <w:rFonts w:eastAsia="Times New Roman" w:cs="Calibri"/>
          <w:lang w:eastAsia="en-GB"/>
        </w:rPr>
      </w:pPr>
      <w:r>
        <w:rPr>
          <w:rFonts w:cs="Calibri"/>
        </w:rPr>
        <w:t xml:space="preserve">The following indicators refer to the expected impact </w:t>
      </w:r>
      <w:r w:rsidR="00181D7A">
        <w:rPr>
          <w:rFonts w:cs="Calibri"/>
        </w:rPr>
        <w:t xml:space="preserve">and mandatory results </w:t>
      </w:r>
      <w:r>
        <w:rPr>
          <w:rFonts w:cs="Calibri"/>
        </w:rPr>
        <w:t>of the ten learning partnerships.</w:t>
      </w:r>
      <w:r w:rsidRPr="0004363C">
        <w:rPr>
          <w:rFonts w:eastAsia="Times New Roman" w:cs="Calibri"/>
          <w:lang w:eastAsia="en-GB"/>
        </w:rPr>
        <w:t xml:space="preserve"> </w:t>
      </w:r>
    </w:p>
    <w:p w:rsidR="00313177" w:rsidRPr="0004363C" w:rsidRDefault="00313177" w:rsidP="00740C3A">
      <w:pPr>
        <w:numPr>
          <w:ilvl w:val="0"/>
          <w:numId w:val="25"/>
        </w:numPr>
        <w:autoSpaceDE w:val="0"/>
        <w:autoSpaceDN w:val="0"/>
        <w:adjustRightInd w:val="0"/>
        <w:jc w:val="both"/>
        <w:rPr>
          <w:rFonts w:eastAsia="Times New Roman" w:cs="Calibri"/>
          <w:lang w:eastAsia="en-GB"/>
        </w:rPr>
      </w:pPr>
      <w:r w:rsidRPr="0004363C">
        <w:rPr>
          <w:rFonts w:eastAsia="Times New Roman" w:cs="Calibri"/>
          <w:lang w:eastAsia="en-GB"/>
        </w:rPr>
        <w:t>Operation cost coverage ratio (i.e. total annual billing excluding subsidies, divided by operation and maintenance costs excluding depreciation and interest): improved at least by 5%.</w:t>
      </w:r>
    </w:p>
    <w:p w:rsidR="00313177" w:rsidRPr="0004363C" w:rsidRDefault="00313177" w:rsidP="00740C3A">
      <w:pPr>
        <w:numPr>
          <w:ilvl w:val="0"/>
          <w:numId w:val="25"/>
        </w:numPr>
        <w:autoSpaceDE w:val="0"/>
        <w:autoSpaceDN w:val="0"/>
        <w:adjustRightInd w:val="0"/>
        <w:jc w:val="both"/>
        <w:rPr>
          <w:rFonts w:eastAsia="Times New Roman" w:cs="Calibri"/>
          <w:lang w:eastAsia="en-GB"/>
        </w:rPr>
      </w:pPr>
      <w:r w:rsidRPr="0004363C">
        <w:rPr>
          <w:rFonts w:eastAsia="Times New Roman" w:cs="Calibri"/>
          <w:lang w:eastAsia="en-GB"/>
        </w:rPr>
        <w:t>Collection ratio (i.e. cash income as percentage of total billing): improved at least by 20%.</w:t>
      </w:r>
    </w:p>
    <w:p w:rsidR="00313177" w:rsidRPr="0004363C" w:rsidRDefault="00313177" w:rsidP="00740C3A">
      <w:pPr>
        <w:numPr>
          <w:ilvl w:val="0"/>
          <w:numId w:val="25"/>
        </w:numPr>
        <w:autoSpaceDE w:val="0"/>
        <w:autoSpaceDN w:val="0"/>
        <w:adjustRightInd w:val="0"/>
        <w:jc w:val="both"/>
        <w:rPr>
          <w:rFonts w:eastAsia="Times New Roman" w:cs="Calibri"/>
          <w:lang w:eastAsia="en-GB"/>
        </w:rPr>
      </w:pPr>
      <w:r w:rsidRPr="0004363C">
        <w:rPr>
          <w:rFonts w:eastAsia="Times New Roman" w:cs="Calibri"/>
          <w:lang w:eastAsia="en-GB"/>
        </w:rPr>
        <w:t>Non-revenue water (i.e. water ‘lost’ as a percentage of net supply): improved by at least 10%.</w:t>
      </w:r>
    </w:p>
    <w:p w:rsidR="00740C3A" w:rsidRDefault="00740C3A" w:rsidP="00740C3A">
      <w:pPr>
        <w:autoSpaceDE w:val="0"/>
        <w:autoSpaceDN w:val="0"/>
        <w:adjustRightInd w:val="0"/>
        <w:jc w:val="both"/>
        <w:rPr>
          <w:rFonts w:eastAsia="Times New Roman" w:cs="Calibri"/>
          <w:lang w:eastAsia="en-GB"/>
        </w:rPr>
      </w:pPr>
    </w:p>
    <w:p w:rsidR="00313177" w:rsidRPr="0004363C" w:rsidRDefault="00740C3A" w:rsidP="00740C3A">
      <w:pPr>
        <w:autoSpaceDE w:val="0"/>
        <w:autoSpaceDN w:val="0"/>
        <w:adjustRightInd w:val="0"/>
        <w:jc w:val="both"/>
        <w:rPr>
          <w:rFonts w:eastAsia="Times New Roman" w:cs="Calibri"/>
          <w:lang w:eastAsia="en-GB"/>
        </w:rPr>
      </w:pPr>
      <w:r w:rsidRPr="00313177">
        <w:rPr>
          <w:rFonts w:eastAsia="Times New Roman" w:cs="Calibri"/>
          <w:lang w:eastAsia="en-GB"/>
        </w:rPr>
        <w:t xml:space="preserve">In addition, </w:t>
      </w:r>
      <w:r>
        <w:rPr>
          <w:rFonts w:eastAsia="Times New Roman" w:cs="Calibri"/>
          <w:lang w:eastAsia="en-GB"/>
        </w:rPr>
        <w:t>mentees are expected to improve their performance by 10% in relation to</w:t>
      </w:r>
      <w:r w:rsidRPr="00313177">
        <w:rPr>
          <w:rFonts w:eastAsia="Times New Roman" w:cs="Calibri"/>
          <w:lang w:eastAsia="en-GB"/>
        </w:rPr>
        <w:t xml:space="preserve"> parameters</w:t>
      </w:r>
      <w:r w:rsidR="00191E6C" w:rsidRPr="00191E6C">
        <w:rPr>
          <w:rFonts w:eastAsia="Times New Roman" w:cs="Calibri"/>
          <w:lang w:eastAsia="en-GB"/>
        </w:rPr>
        <w:t xml:space="preserve"> </w:t>
      </w:r>
      <w:r w:rsidR="00191E6C" w:rsidRPr="00313177">
        <w:rPr>
          <w:rFonts w:eastAsia="Times New Roman" w:cs="Calibri"/>
          <w:lang w:eastAsia="en-GB"/>
        </w:rPr>
        <w:t>separately</w:t>
      </w:r>
      <w:r w:rsidRPr="00313177">
        <w:rPr>
          <w:rFonts w:eastAsia="Times New Roman" w:cs="Calibri"/>
          <w:lang w:eastAsia="en-GB"/>
        </w:rPr>
        <w:t xml:space="preserve"> specified in each </w:t>
      </w:r>
      <w:r w:rsidRPr="00F15712">
        <w:rPr>
          <w:rFonts w:eastAsia="Times New Roman" w:cs="Calibri"/>
          <w:lang w:eastAsia="en-GB"/>
        </w:rPr>
        <w:t>Performance Improvement Plan</w:t>
      </w:r>
      <w:r>
        <w:rPr>
          <w:rFonts w:eastAsia="Times New Roman" w:cs="Calibri"/>
          <w:lang w:eastAsia="en-GB"/>
        </w:rPr>
        <w:t>. These additional parameters might include better</w:t>
      </w:r>
      <w:r w:rsidRPr="00C10454">
        <w:rPr>
          <w:rFonts w:eastAsia="Times New Roman" w:cs="Calibri"/>
          <w:lang w:eastAsia="en-GB"/>
        </w:rPr>
        <w:t xml:space="preserve"> </w:t>
      </w:r>
      <w:r>
        <w:rPr>
          <w:rFonts w:eastAsia="Times New Roman" w:cs="Calibri"/>
          <w:lang w:eastAsia="en-GB"/>
        </w:rPr>
        <w:t>continuity of service, extension of coverage according to demand, improved infrastructure aiming at pro-poor service expansion and improved return on investment.</w:t>
      </w:r>
      <w:r w:rsidRPr="00740C3A">
        <w:rPr>
          <w:rStyle w:val="EndnoteReference"/>
          <w:rFonts w:eastAsia="Times New Roman" w:cs="Calibri"/>
          <w:lang w:eastAsia="en-GB"/>
        </w:rPr>
        <w:t xml:space="preserve"> </w:t>
      </w:r>
      <w:r>
        <w:rPr>
          <w:rStyle w:val="EndnoteReference"/>
          <w:rFonts w:eastAsia="Times New Roman" w:cs="Calibri"/>
          <w:lang w:eastAsia="en-GB"/>
        </w:rPr>
        <w:endnoteReference w:id="40"/>
      </w:r>
      <w:r w:rsidR="00D62A22">
        <w:rPr>
          <w:rFonts w:eastAsia="Times New Roman" w:cs="Calibri"/>
          <w:lang w:eastAsia="en-GB"/>
        </w:rPr>
        <w:t xml:space="preserve"> At the time of writing, t</w:t>
      </w:r>
      <w:r w:rsidR="003660F9">
        <w:rPr>
          <w:rFonts w:eastAsia="Times New Roman" w:cs="Calibri"/>
          <w:lang w:eastAsia="en-GB"/>
        </w:rPr>
        <w:t xml:space="preserve">en other water operators’ partnerships </w:t>
      </w:r>
      <w:r w:rsidR="00D62A22">
        <w:rPr>
          <w:rFonts w:eastAsia="Times New Roman" w:cs="Calibri"/>
          <w:lang w:eastAsia="en-GB"/>
        </w:rPr>
        <w:t>were</w:t>
      </w:r>
      <w:r w:rsidR="003660F9">
        <w:rPr>
          <w:rFonts w:eastAsia="Times New Roman" w:cs="Calibri"/>
          <w:lang w:eastAsia="en-GB"/>
        </w:rPr>
        <w:t xml:space="preserve"> in preparation.</w:t>
      </w:r>
      <w:r w:rsidR="003660F9" w:rsidRPr="003660F9">
        <w:rPr>
          <w:rStyle w:val="EndnoteReference"/>
          <w:rFonts w:cs="Calibri"/>
        </w:rPr>
        <w:t xml:space="preserve"> </w:t>
      </w:r>
      <w:r w:rsidR="003660F9" w:rsidRPr="00D23F85">
        <w:rPr>
          <w:rStyle w:val="EndnoteReference"/>
          <w:rFonts w:cs="Calibri"/>
        </w:rPr>
        <w:endnoteReference w:id="41"/>
      </w:r>
    </w:p>
    <w:p w:rsidR="00313177" w:rsidRPr="0004363C" w:rsidRDefault="00313177" w:rsidP="00313177">
      <w:pPr>
        <w:autoSpaceDE w:val="0"/>
        <w:autoSpaceDN w:val="0"/>
        <w:adjustRightInd w:val="0"/>
        <w:rPr>
          <w:rFonts w:eastAsia="Times New Roman" w:cs="Calibri"/>
          <w:lang w:eastAsia="en-GB"/>
        </w:rPr>
      </w:pPr>
      <w:r w:rsidRPr="0004363C">
        <w:rPr>
          <w:rFonts w:eastAsia="Times New Roman" w:cs="Calibri"/>
          <w:lang w:eastAsia="en-GB"/>
        </w:rPr>
        <w:t xml:space="preserve">  </w:t>
      </w:r>
    </w:p>
    <w:p w:rsidR="00313177" w:rsidRPr="0004363C" w:rsidRDefault="00191E6C" w:rsidP="00324368">
      <w:pPr>
        <w:autoSpaceDE w:val="0"/>
        <w:autoSpaceDN w:val="0"/>
        <w:adjustRightInd w:val="0"/>
        <w:jc w:val="both"/>
        <w:rPr>
          <w:rFonts w:eastAsia="Times New Roman" w:cs="Calibri"/>
          <w:lang w:eastAsia="en-GB"/>
        </w:rPr>
      </w:pPr>
      <w:r w:rsidRPr="0004363C">
        <w:rPr>
          <w:rFonts w:eastAsia="Times New Roman" w:cs="Calibri"/>
          <w:lang w:eastAsia="en-GB"/>
        </w:rPr>
        <w:t xml:space="preserve">A second component of the </w:t>
      </w:r>
      <w:r w:rsidR="001231D3" w:rsidRPr="0004363C">
        <w:rPr>
          <w:rFonts w:cs="Calibri"/>
        </w:rPr>
        <w:t>AfDB/African Water Facility-funded initiative</w:t>
      </w:r>
      <w:r w:rsidR="003951B0">
        <w:rPr>
          <w:rFonts w:cs="Calibri"/>
        </w:rPr>
        <w:t xml:space="preserve"> is on the development and management of a benchmarking database, to which a</w:t>
      </w:r>
      <w:r w:rsidR="00613646" w:rsidRPr="0004363C">
        <w:rPr>
          <w:rFonts w:cs="Calibri"/>
        </w:rPr>
        <w:t xml:space="preserve"> </w:t>
      </w:r>
      <w:r w:rsidR="003951B0">
        <w:rPr>
          <w:rFonts w:eastAsia="Times New Roman" w:cs="Calibri"/>
          <w:lang w:eastAsia="en-GB"/>
        </w:rPr>
        <w:t xml:space="preserve">total amount of €76,000 has been allocated. This second component </w:t>
      </w:r>
      <w:r w:rsidR="00613646" w:rsidRPr="0004363C">
        <w:rPr>
          <w:rFonts w:cs="Calibri"/>
        </w:rPr>
        <w:t>comprises</w:t>
      </w:r>
      <w:r w:rsidR="001231D3" w:rsidRPr="0004363C">
        <w:rPr>
          <w:rFonts w:cs="Calibri"/>
        </w:rPr>
        <w:t xml:space="preserve"> </w:t>
      </w:r>
      <w:r w:rsidR="00613646" w:rsidRPr="0004363C">
        <w:rPr>
          <w:rFonts w:cs="Calibri"/>
        </w:rPr>
        <w:t xml:space="preserve">the </w:t>
      </w:r>
      <w:r w:rsidR="00613646" w:rsidRPr="0004363C">
        <w:rPr>
          <w:rFonts w:eastAsia="Times New Roman" w:cs="Calibri"/>
          <w:lang w:eastAsia="en-GB"/>
        </w:rPr>
        <w:t xml:space="preserve">update of the Africa Utility Performance Assessment and particularly of the Utility Self-Assessment Questionnaire. The integration of results with those of the World Bank’s International Benchmarking Network for Water and Sanitation Utilities (IB-NET) is to lead to the development of AfWA’s own benchmarking database. </w:t>
      </w:r>
      <w:r w:rsidR="00AA2AC8" w:rsidRPr="0004363C">
        <w:rPr>
          <w:rFonts w:eastAsia="Times New Roman" w:cs="Calibri"/>
          <w:lang w:eastAsia="en-GB"/>
        </w:rPr>
        <w:t xml:space="preserve">This database is to provide assessments of African water and sanitation utility performance and to </w:t>
      </w:r>
      <w:r w:rsidR="00CC0C98" w:rsidRPr="0004363C">
        <w:rPr>
          <w:rFonts w:eastAsia="Times New Roman" w:cs="Calibri"/>
          <w:lang w:eastAsia="en-GB"/>
        </w:rPr>
        <w:t xml:space="preserve">help monitor </w:t>
      </w:r>
      <w:r w:rsidR="009929F6" w:rsidRPr="0004363C">
        <w:rPr>
          <w:rFonts w:eastAsia="Times New Roman" w:cs="Calibri"/>
          <w:lang w:eastAsia="en-GB"/>
        </w:rPr>
        <w:t xml:space="preserve">their </w:t>
      </w:r>
      <w:r w:rsidR="00CC0C98" w:rsidRPr="0004363C">
        <w:rPr>
          <w:rFonts w:eastAsia="Times New Roman" w:cs="Calibri"/>
          <w:lang w:eastAsia="en-GB"/>
        </w:rPr>
        <w:t xml:space="preserve">progress and </w:t>
      </w:r>
      <w:r w:rsidR="009929F6" w:rsidRPr="0004363C">
        <w:rPr>
          <w:rFonts w:eastAsia="Times New Roman" w:cs="Calibri"/>
          <w:lang w:eastAsia="en-GB"/>
        </w:rPr>
        <w:t xml:space="preserve">contribution to achieving the water and sanitation targets for the MDGs in </w:t>
      </w:r>
      <w:smartTag w:uri="urn:schemas-microsoft-com:office:smarttags" w:element="place">
        <w:r w:rsidR="009929F6" w:rsidRPr="0004363C">
          <w:rPr>
            <w:rFonts w:eastAsia="Times New Roman" w:cs="Calibri"/>
            <w:lang w:eastAsia="en-GB"/>
          </w:rPr>
          <w:t>Africa</w:t>
        </w:r>
      </w:smartTag>
      <w:r w:rsidR="00CC0C98" w:rsidRPr="0004363C">
        <w:rPr>
          <w:rFonts w:eastAsia="Times New Roman" w:cs="Calibri"/>
          <w:lang w:eastAsia="en-GB"/>
        </w:rPr>
        <w:t>. To that aim, it is to</w:t>
      </w:r>
      <w:r w:rsidR="00AA2AC8" w:rsidRPr="0004363C">
        <w:rPr>
          <w:rFonts w:eastAsia="Times New Roman" w:cs="Calibri"/>
          <w:lang w:eastAsia="en-GB"/>
        </w:rPr>
        <w:t xml:space="preserve"> be made accessible to the general public in English and French.</w:t>
      </w:r>
      <w:r w:rsidR="009929F6" w:rsidRPr="0004363C">
        <w:rPr>
          <w:rFonts w:eastAsia="Times New Roman" w:cs="Calibri"/>
          <w:lang w:eastAsia="en-GB"/>
        </w:rPr>
        <w:t xml:space="preserve"> The results of AfWA’s benchmarking database and of the</w:t>
      </w:r>
      <w:r w:rsidR="009929F6" w:rsidRPr="0004363C">
        <w:rPr>
          <w:rFonts w:cs="Calibri"/>
        </w:rPr>
        <w:t xml:space="preserve"> AfDB/African Water Facility-funded</w:t>
      </w:r>
      <w:r w:rsidR="00324368" w:rsidRPr="0004363C">
        <w:rPr>
          <w:rFonts w:cs="Calibri"/>
        </w:rPr>
        <w:t xml:space="preserve"> partnerships</w:t>
      </w:r>
      <w:r w:rsidR="009929F6" w:rsidRPr="0004363C">
        <w:rPr>
          <w:rFonts w:eastAsia="Times New Roman" w:cs="Calibri"/>
          <w:lang w:eastAsia="en-GB"/>
        </w:rPr>
        <w:t xml:space="preserve"> </w:t>
      </w:r>
      <w:r w:rsidR="009929F6" w:rsidRPr="0004363C">
        <w:rPr>
          <w:rFonts w:cs="Calibri"/>
        </w:rPr>
        <w:t>will inform the up-scaling</w:t>
      </w:r>
      <w:r w:rsidR="00324368" w:rsidRPr="0004363C">
        <w:rPr>
          <w:rFonts w:cs="Calibri"/>
        </w:rPr>
        <w:t xml:space="preserve"> of </w:t>
      </w:r>
      <w:r w:rsidR="00324368" w:rsidRPr="0004363C">
        <w:rPr>
          <w:rFonts w:eastAsia="Times New Roman" w:cs="Calibri"/>
          <w:lang w:eastAsia="en-GB"/>
        </w:rPr>
        <w:t xml:space="preserve">peer-to-peer </w:t>
      </w:r>
      <w:r w:rsidR="00324368" w:rsidRPr="0004363C">
        <w:rPr>
          <w:rFonts w:cs="Calibri"/>
        </w:rPr>
        <w:t xml:space="preserve">learning partnerships to a larger number of utilities based on a </w:t>
      </w:r>
      <w:r w:rsidR="00324368" w:rsidRPr="0004363C">
        <w:rPr>
          <w:rFonts w:eastAsia="Times New Roman" w:cs="Calibri"/>
          <w:lang w:eastAsia="en-GB"/>
        </w:rPr>
        <w:t>wider range of improvement parameters.</w:t>
      </w:r>
      <w:r w:rsidR="00324368" w:rsidRPr="0004363C">
        <w:rPr>
          <w:rFonts w:cs="Calibri"/>
        </w:rPr>
        <w:t xml:space="preserve"> </w:t>
      </w:r>
      <w:r w:rsidR="00324368" w:rsidRPr="0004363C">
        <w:rPr>
          <w:rFonts w:eastAsia="Times New Roman" w:cs="Calibri"/>
          <w:lang w:eastAsia="en-GB"/>
        </w:rPr>
        <w:t xml:space="preserve">AfWA will support WOP-Africa in mobilizing funds for scaling-up WOPs in </w:t>
      </w:r>
      <w:smartTag w:uri="urn:schemas-microsoft-com:office:smarttags" w:element="place">
        <w:r w:rsidR="00324368" w:rsidRPr="0004363C">
          <w:rPr>
            <w:rFonts w:eastAsia="Times New Roman" w:cs="Calibri"/>
            <w:lang w:eastAsia="en-GB"/>
          </w:rPr>
          <w:t>Africa</w:t>
        </w:r>
      </w:smartTag>
      <w:r w:rsidR="00324368" w:rsidRPr="0004363C">
        <w:rPr>
          <w:rFonts w:eastAsia="Times New Roman" w:cs="Calibri"/>
          <w:lang w:eastAsia="en-GB"/>
        </w:rPr>
        <w:t>.</w:t>
      </w:r>
      <w:r w:rsidR="00324368" w:rsidRPr="00324368">
        <w:rPr>
          <w:rStyle w:val="EndnoteReference"/>
          <w:rFonts w:eastAsia="Times New Roman" w:cs="Calibri"/>
          <w:lang w:eastAsia="en-GB"/>
        </w:rPr>
        <w:t xml:space="preserve"> </w:t>
      </w:r>
      <w:r w:rsidR="00324368">
        <w:rPr>
          <w:rStyle w:val="EndnoteReference"/>
          <w:rFonts w:eastAsia="Times New Roman" w:cs="Calibri"/>
          <w:lang w:eastAsia="en-GB"/>
        </w:rPr>
        <w:endnoteReference w:id="42"/>
      </w:r>
      <w:r w:rsidR="009929F6" w:rsidRPr="0004363C">
        <w:rPr>
          <w:rFonts w:cs="Calibri"/>
        </w:rPr>
        <w:t xml:space="preserve"> </w:t>
      </w:r>
      <w:r w:rsidR="009929F6" w:rsidRPr="0004363C">
        <w:rPr>
          <w:rFonts w:eastAsia="Times New Roman" w:cs="Calibri"/>
          <w:lang w:eastAsia="en-GB"/>
        </w:rPr>
        <w:t xml:space="preserve">  </w:t>
      </w:r>
      <w:r w:rsidR="00CC0C98" w:rsidRPr="0004363C">
        <w:rPr>
          <w:rFonts w:eastAsia="Times New Roman" w:cs="Calibri"/>
          <w:lang w:eastAsia="en-GB"/>
        </w:rPr>
        <w:t xml:space="preserve"> </w:t>
      </w:r>
      <w:r w:rsidR="00AA2AC8" w:rsidRPr="0004363C">
        <w:rPr>
          <w:rFonts w:eastAsia="Times New Roman" w:cs="Calibri"/>
          <w:lang w:eastAsia="en-GB"/>
        </w:rPr>
        <w:t xml:space="preserve"> </w:t>
      </w:r>
    </w:p>
    <w:p w:rsidR="00001C29" w:rsidRDefault="00001C29" w:rsidP="00001C29">
      <w:pPr>
        <w:pStyle w:val="NoSpacing"/>
        <w:rPr>
          <w:rFonts w:cs="Calibri"/>
        </w:rPr>
      </w:pPr>
    </w:p>
    <w:p w:rsidR="002A476B" w:rsidRPr="00F15712" w:rsidRDefault="001962E6" w:rsidP="001962E6">
      <w:pPr>
        <w:pStyle w:val="Heading2"/>
        <w:rPr>
          <w:lang w:eastAsia="en-GB"/>
        </w:rPr>
      </w:pPr>
      <w:bookmarkStart w:id="21" w:name="_Toc331783572"/>
      <w:r>
        <w:rPr>
          <w:lang w:eastAsia="en-GB"/>
        </w:rPr>
        <w:t>WOP-LAC</w:t>
      </w:r>
      <w:bookmarkEnd w:id="21"/>
    </w:p>
    <w:p w:rsidR="00443B16" w:rsidRDefault="00574725" w:rsidP="008A6B9E">
      <w:pPr>
        <w:autoSpaceDE w:val="0"/>
        <w:autoSpaceDN w:val="0"/>
        <w:adjustRightInd w:val="0"/>
        <w:jc w:val="both"/>
        <w:rPr>
          <w:rFonts w:cs="Calibri"/>
        </w:rPr>
      </w:pPr>
      <w:r w:rsidRPr="00BE1072">
        <w:rPr>
          <w:rFonts w:cs="Calibri"/>
        </w:rPr>
        <w:t xml:space="preserve">Established in </w:t>
      </w:r>
      <w:r w:rsidR="00F0305B" w:rsidRPr="00BE1072">
        <w:rPr>
          <w:rFonts w:cs="Calibri"/>
        </w:rPr>
        <w:t>June 2008</w:t>
      </w:r>
      <w:r w:rsidRPr="00BE1072">
        <w:rPr>
          <w:rFonts w:cs="Calibri"/>
        </w:rPr>
        <w:t xml:space="preserve">, WOP-LAC is the regional WOP platform for Latin America and the </w:t>
      </w:r>
      <w:smartTag w:uri="urn:schemas-microsoft-com:office:smarttags" w:element="place">
        <w:r w:rsidRPr="00BE1072">
          <w:rPr>
            <w:rFonts w:cs="Calibri"/>
          </w:rPr>
          <w:t>Caribbean</w:t>
        </w:r>
      </w:smartTag>
      <w:r w:rsidR="008A6B9E" w:rsidRPr="00BE1072">
        <w:rPr>
          <w:rFonts w:cs="Calibri"/>
        </w:rPr>
        <w:t xml:space="preserve"> and</w:t>
      </w:r>
      <w:r w:rsidR="00B72EA8">
        <w:rPr>
          <w:rFonts w:cs="Calibri"/>
        </w:rPr>
        <w:t xml:space="preserve"> </w:t>
      </w:r>
      <w:r w:rsidR="008A6B9E" w:rsidRPr="00BE1072">
        <w:rPr>
          <w:rFonts w:cs="Calibri"/>
        </w:rPr>
        <w:t>its objective is to “</w:t>
      </w:r>
      <w:r w:rsidR="008A6B9E" w:rsidRPr="00BE1072">
        <w:rPr>
          <w:rFonts w:eastAsia="Times New Roman" w:cs="Calibri"/>
          <w:bCs/>
          <w:lang w:eastAsia="en-GB"/>
        </w:rPr>
        <w:t>bring water utilities together to share their respective knowledge in areas such as energy efficiency, commercial management, corporate governance, non revenue water</w:t>
      </w:r>
      <w:r w:rsidR="008A6B9E" w:rsidRPr="00BE1072">
        <w:rPr>
          <w:rFonts w:cs="Calibri"/>
        </w:rPr>
        <w:t>”</w:t>
      </w:r>
      <w:r w:rsidRPr="00BE1072">
        <w:rPr>
          <w:rFonts w:cs="Calibri"/>
        </w:rPr>
        <w:t>.</w:t>
      </w:r>
      <w:r w:rsidR="00F0305B" w:rsidRPr="00BE1072">
        <w:rPr>
          <w:rFonts w:cs="Calibri"/>
        </w:rPr>
        <w:t xml:space="preserve"> Its Secretariat, composed by the Inter-American Development Bank (IDB) and UN-HABITAT, is located at the IDB headquarters. The Steering Committee is composed by the IDB, UN-HABITAT</w:t>
      </w:r>
      <w:r w:rsidR="00443D7C" w:rsidRPr="00BE1072">
        <w:rPr>
          <w:rFonts w:cs="Calibri"/>
        </w:rPr>
        <w:t xml:space="preserve">, the Inter-American Sanitary and Environmental Engineering Association (AIDIS), the International Water Association (IWA) and eight Latin American </w:t>
      </w:r>
      <w:r w:rsidR="00233B53" w:rsidRPr="00BE1072">
        <w:rPr>
          <w:rFonts w:cs="Calibri"/>
        </w:rPr>
        <w:t>operators</w:t>
      </w:r>
      <w:r w:rsidR="00443D7C" w:rsidRPr="00BE1072">
        <w:rPr>
          <w:rFonts w:cs="Calibri"/>
        </w:rPr>
        <w:t>.</w:t>
      </w:r>
      <w:r w:rsidR="00B72EA8" w:rsidRPr="00B72EA8">
        <w:rPr>
          <w:rStyle w:val="EndnoteReference"/>
          <w:rFonts w:cs="Calibri"/>
        </w:rPr>
        <w:t xml:space="preserve"> </w:t>
      </w:r>
      <w:r w:rsidR="00B72EA8" w:rsidRPr="00233B53">
        <w:rPr>
          <w:rStyle w:val="EndnoteReference"/>
          <w:rFonts w:cs="Calibri"/>
        </w:rPr>
        <w:endnoteReference w:id="43"/>
      </w:r>
      <w:r w:rsidR="00233B53" w:rsidRPr="00BE1072">
        <w:rPr>
          <w:rFonts w:cs="Calibri"/>
        </w:rPr>
        <w:t xml:space="preserve"> </w:t>
      </w:r>
      <w:r w:rsidR="00B72EA8">
        <w:rPr>
          <w:rFonts w:cs="Calibri"/>
        </w:rPr>
        <w:t>No end date has been set for</w:t>
      </w:r>
      <w:r w:rsidR="00B72EA8" w:rsidRPr="00B72EA8">
        <w:rPr>
          <w:rFonts w:cs="Calibri"/>
        </w:rPr>
        <w:t xml:space="preserve"> </w:t>
      </w:r>
      <w:r w:rsidR="00B72EA8" w:rsidRPr="00BE1072">
        <w:rPr>
          <w:rFonts w:cs="Calibri"/>
        </w:rPr>
        <w:t>WOP-LAC</w:t>
      </w:r>
      <w:r w:rsidR="00B72EA8">
        <w:rPr>
          <w:rFonts w:cs="Calibri"/>
        </w:rPr>
        <w:t>.</w:t>
      </w:r>
      <w:r w:rsidR="0085794C" w:rsidRPr="0085794C">
        <w:rPr>
          <w:rStyle w:val="EndnoteReference"/>
          <w:rFonts w:cs="Calibri"/>
        </w:rPr>
        <w:t xml:space="preserve"> </w:t>
      </w:r>
      <w:r w:rsidR="0085794C" w:rsidRPr="00233B53">
        <w:rPr>
          <w:rStyle w:val="EndnoteReference"/>
          <w:rFonts w:cs="Calibri"/>
        </w:rPr>
        <w:endnoteReference w:id="44"/>
      </w:r>
      <w:r w:rsidR="00B72EA8">
        <w:rPr>
          <w:rFonts w:cs="Calibri"/>
        </w:rPr>
        <w:t xml:space="preserve"> </w:t>
      </w:r>
      <w:r w:rsidR="00B72EA8" w:rsidRPr="00BE1072">
        <w:rPr>
          <w:rFonts w:cs="Calibri"/>
        </w:rPr>
        <w:t xml:space="preserve"> </w:t>
      </w:r>
    </w:p>
    <w:p w:rsidR="00443B16" w:rsidRDefault="00443B16" w:rsidP="008A6B9E">
      <w:pPr>
        <w:autoSpaceDE w:val="0"/>
        <w:autoSpaceDN w:val="0"/>
        <w:adjustRightInd w:val="0"/>
        <w:jc w:val="both"/>
        <w:rPr>
          <w:rFonts w:cs="Calibri"/>
        </w:rPr>
      </w:pPr>
    </w:p>
    <w:p w:rsidR="00B72EA8" w:rsidRDefault="00FD1C67" w:rsidP="008A6B9E">
      <w:pPr>
        <w:autoSpaceDE w:val="0"/>
        <w:autoSpaceDN w:val="0"/>
        <w:adjustRightInd w:val="0"/>
        <w:jc w:val="both"/>
        <w:rPr>
          <w:rFonts w:cs="Calibri"/>
        </w:rPr>
      </w:pPr>
      <w:r>
        <w:rPr>
          <w:rFonts w:cs="Calibri"/>
        </w:rPr>
        <w:t>Since June 2008, the IDB contributed US$979,000 (€778,000) to WOP-LAC and additional US$382,000 (€303,000) have been mobilised from other financial sources.</w:t>
      </w:r>
      <w:r w:rsidR="00D119BD" w:rsidRPr="00D119BD">
        <w:rPr>
          <w:rStyle w:val="EndnoteReference"/>
          <w:rFonts w:cs="Calibri"/>
        </w:rPr>
        <w:t xml:space="preserve"> </w:t>
      </w:r>
      <w:r w:rsidR="00D119BD" w:rsidRPr="00233B53">
        <w:rPr>
          <w:rStyle w:val="EndnoteReference"/>
          <w:rFonts w:cs="Calibri"/>
        </w:rPr>
        <w:endnoteReference w:id="45"/>
      </w:r>
      <w:r>
        <w:rPr>
          <w:rFonts w:cs="Calibri"/>
        </w:rPr>
        <w:t xml:space="preserve"> </w:t>
      </w:r>
      <w:r w:rsidR="00D119BD">
        <w:rPr>
          <w:rFonts w:cs="Calibri"/>
        </w:rPr>
        <w:t>The total funds mobilised by WOP-LAC to date therefore amount to US$1,361,000 (€1,081,000).</w:t>
      </w:r>
      <w:r w:rsidR="00D119BD" w:rsidRPr="00D119BD">
        <w:rPr>
          <w:rStyle w:val="EndnoteReference"/>
          <w:rFonts w:cs="Calibri"/>
        </w:rPr>
        <w:t xml:space="preserve"> </w:t>
      </w:r>
      <w:r w:rsidR="00D119BD" w:rsidRPr="00233B53">
        <w:rPr>
          <w:rStyle w:val="EndnoteReference"/>
          <w:rFonts w:cs="Calibri"/>
        </w:rPr>
        <w:endnoteReference w:id="46"/>
      </w:r>
      <w:r w:rsidR="00D119BD">
        <w:rPr>
          <w:rFonts w:cs="Calibri"/>
        </w:rPr>
        <w:t xml:space="preserve"> </w:t>
      </w:r>
      <w:r w:rsidR="00B72EA8" w:rsidRPr="00BE1072">
        <w:rPr>
          <w:rFonts w:cs="Calibri"/>
        </w:rPr>
        <w:t xml:space="preserve">Initially, mentees were expected to pay the cost of the twinning arrangements </w:t>
      </w:r>
      <w:r w:rsidR="00B72EA8">
        <w:rPr>
          <w:rFonts w:cs="Calibri"/>
        </w:rPr>
        <w:t>although some of the initial partnerships were financed by the IDB-Netherlands Water Partnership Program (INWAP). I</w:t>
      </w:r>
      <w:r w:rsidR="00B72EA8" w:rsidRPr="00BE1072">
        <w:rPr>
          <w:rFonts w:cs="Calibri"/>
        </w:rPr>
        <w:t>n 2010 the IDB approved to allocate US$620,000 for the</w:t>
      </w:r>
      <w:r w:rsidR="00B72EA8">
        <w:rPr>
          <w:rFonts w:cs="Calibri"/>
        </w:rPr>
        <w:t xml:space="preserve"> implementation of the 2011-2013</w:t>
      </w:r>
      <w:r w:rsidR="00B72EA8" w:rsidRPr="00BE1072">
        <w:rPr>
          <w:rFonts w:cs="Calibri"/>
        </w:rPr>
        <w:t xml:space="preserve"> business plan of </w:t>
      </w:r>
      <w:r w:rsidR="00B72EA8" w:rsidRPr="0084256B">
        <w:rPr>
          <w:rFonts w:cs="Calibri"/>
        </w:rPr>
        <w:t>WOP-LAC</w:t>
      </w:r>
      <w:r w:rsidR="00B72EA8">
        <w:rPr>
          <w:rFonts w:cs="Calibri"/>
        </w:rPr>
        <w:t xml:space="preserve">, while US$100,000 were expected to be contributed by </w:t>
      </w:r>
      <w:r>
        <w:rPr>
          <w:rFonts w:cs="Calibri"/>
        </w:rPr>
        <w:t>counterparts</w:t>
      </w:r>
      <w:r w:rsidR="00B72EA8">
        <w:rPr>
          <w:rFonts w:cs="Calibri"/>
        </w:rPr>
        <w:t xml:space="preserve">. Of the budgeted </w:t>
      </w:r>
      <w:r>
        <w:rPr>
          <w:rFonts w:cs="Calibri"/>
        </w:rPr>
        <w:t>US$720,000 (€572,000)</w:t>
      </w:r>
      <w:r w:rsidR="00B72EA8" w:rsidRPr="00BE1072">
        <w:rPr>
          <w:rFonts w:cs="Calibri"/>
        </w:rPr>
        <w:t>, US$300,000</w:t>
      </w:r>
      <w:r>
        <w:rPr>
          <w:rFonts w:cs="Calibri"/>
        </w:rPr>
        <w:t xml:space="preserve"> (€238,000)</w:t>
      </w:r>
      <w:r w:rsidR="00B72EA8" w:rsidRPr="00BE1072">
        <w:rPr>
          <w:rFonts w:cs="Calibri"/>
        </w:rPr>
        <w:t xml:space="preserve"> were allocated to the financing of 30 twinning arrangements.</w:t>
      </w:r>
      <w:r w:rsidR="00B72EA8" w:rsidRPr="0084256B">
        <w:rPr>
          <w:rStyle w:val="EndnoteReference"/>
          <w:rFonts w:cs="Calibri"/>
        </w:rPr>
        <w:t xml:space="preserve"> </w:t>
      </w:r>
      <w:r w:rsidR="00B72EA8" w:rsidRPr="00233B53">
        <w:rPr>
          <w:rStyle w:val="EndnoteReference"/>
          <w:rFonts w:cs="Calibri"/>
        </w:rPr>
        <w:endnoteReference w:id="47"/>
      </w:r>
    </w:p>
    <w:p w:rsidR="00B72EA8" w:rsidRDefault="00B72EA8" w:rsidP="008A6B9E">
      <w:pPr>
        <w:autoSpaceDE w:val="0"/>
        <w:autoSpaceDN w:val="0"/>
        <w:adjustRightInd w:val="0"/>
        <w:jc w:val="both"/>
        <w:rPr>
          <w:rFonts w:cs="Calibri"/>
        </w:rPr>
      </w:pPr>
    </w:p>
    <w:p w:rsidR="00431035" w:rsidRDefault="005A3C1E" w:rsidP="008A6B9E">
      <w:pPr>
        <w:autoSpaceDE w:val="0"/>
        <w:autoSpaceDN w:val="0"/>
        <w:adjustRightInd w:val="0"/>
        <w:jc w:val="both"/>
        <w:rPr>
          <w:rFonts w:cs="Calibri"/>
        </w:rPr>
      </w:pPr>
      <w:r>
        <w:rPr>
          <w:rFonts w:eastAsia="Times New Roman" w:cs="Calibri"/>
          <w:bCs/>
          <w:lang w:eastAsia="en-GB"/>
        </w:rPr>
        <w:t>Since 2008, 15</w:t>
      </w:r>
      <w:r w:rsidR="00233B53" w:rsidRPr="00BE1072">
        <w:rPr>
          <w:rFonts w:eastAsia="Times New Roman" w:cs="Calibri"/>
          <w:bCs/>
          <w:lang w:eastAsia="en-GB"/>
        </w:rPr>
        <w:t xml:space="preserve"> </w:t>
      </w:r>
      <w:r w:rsidR="00C95E9E">
        <w:rPr>
          <w:rFonts w:eastAsia="Times New Roman" w:cs="Calibri"/>
          <w:bCs/>
          <w:lang w:eastAsia="en-GB"/>
        </w:rPr>
        <w:t>WOPs</w:t>
      </w:r>
      <w:r w:rsidR="00233B53" w:rsidRPr="00BE1072">
        <w:rPr>
          <w:rFonts w:eastAsia="Times New Roman" w:cs="Calibri"/>
          <w:bCs/>
          <w:lang w:eastAsia="en-GB"/>
        </w:rPr>
        <w:t xml:space="preserve"> have been implemented, five of which </w:t>
      </w:r>
      <w:r w:rsidR="00B80D05" w:rsidRPr="00BE1072">
        <w:rPr>
          <w:rFonts w:cs="Calibri"/>
          <w:bCs/>
        </w:rPr>
        <w:t xml:space="preserve">at a </w:t>
      </w:r>
      <w:r w:rsidR="00233B53" w:rsidRPr="00BE1072">
        <w:rPr>
          <w:rFonts w:eastAsia="Times New Roman" w:cs="Calibri"/>
          <w:bCs/>
          <w:lang w:eastAsia="en-GB"/>
        </w:rPr>
        <w:t>cost</w:t>
      </w:r>
      <w:r w:rsidR="00B80D05" w:rsidRPr="00BE1072">
        <w:rPr>
          <w:rFonts w:cs="Calibri"/>
          <w:bCs/>
        </w:rPr>
        <w:t xml:space="preserve"> of</w:t>
      </w:r>
      <w:r>
        <w:rPr>
          <w:rFonts w:eastAsia="Times New Roman" w:cs="Calibri"/>
          <w:bCs/>
          <w:lang w:eastAsia="en-GB"/>
        </w:rPr>
        <w:t xml:space="preserve"> less than US$</w:t>
      </w:r>
      <w:r w:rsidR="00233B53" w:rsidRPr="00BE1072">
        <w:rPr>
          <w:rFonts w:eastAsia="Times New Roman" w:cs="Calibri"/>
          <w:bCs/>
          <w:lang w:eastAsia="en-GB"/>
        </w:rPr>
        <w:t>12,000</w:t>
      </w:r>
      <w:r w:rsidR="00B80D05" w:rsidRPr="00BE1072">
        <w:rPr>
          <w:rFonts w:cs="Calibri"/>
          <w:bCs/>
        </w:rPr>
        <w:t xml:space="preserve"> each</w:t>
      </w:r>
      <w:r w:rsidR="00233B53" w:rsidRPr="00BE1072">
        <w:rPr>
          <w:rFonts w:eastAsia="Times New Roman" w:cs="Calibri"/>
          <w:bCs/>
          <w:lang w:eastAsia="en-GB"/>
        </w:rPr>
        <w:t>.</w:t>
      </w:r>
      <w:r w:rsidR="00233B53" w:rsidRPr="00BE1072">
        <w:rPr>
          <w:rStyle w:val="EndnoteReference"/>
          <w:rFonts w:cs="Calibri"/>
        </w:rPr>
        <w:t xml:space="preserve"> </w:t>
      </w:r>
      <w:r w:rsidR="00233B53" w:rsidRPr="00233B53">
        <w:rPr>
          <w:rStyle w:val="EndnoteReference"/>
          <w:rFonts w:cs="Calibri"/>
        </w:rPr>
        <w:endnoteReference w:id="48"/>
      </w:r>
      <w:r w:rsidR="00233B53" w:rsidRPr="00BE1072">
        <w:rPr>
          <w:rFonts w:cs="Calibri"/>
          <w:bCs/>
        </w:rPr>
        <w:t xml:space="preserve"> </w:t>
      </w:r>
      <w:r>
        <w:rPr>
          <w:rFonts w:cs="Calibri"/>
          <w:bCs/>
        </w:rPr>
        <w:t xml:space="preserve">The duration of </w:t>
      </w:r>
      <w:r w:rsidR="00C95E9E">
        <w:rPr>
          <w:rFonts w:cs="Calibri"/>
          <w:bCs/>
        </w:rPr>
        <w:t xml:space="preserve">these </w:t>
      </w:r>
      <w:r>
        <w:rPr>
          <w:rFonts w:cs="Calibri"/>
          <w:bCs/>
        </w:rPr>
        <w:t>partnerships varies between 1 month to 24 months and beyond</w:t>
      </w:r>
      <w:r w:rsidR="00C95E9E">
        <w:rPr>
          <w:rFonts w:cs="Calibri"/>
          <w:bCs/>
        </w:rPr>
        <w:t>, as some partnerships are still ongoing</w:t>
      </w:r>
      <w:r>
        <w:rPr>
          <w:rFonts w:cs="Calibri"/>
          <w:bCs/>
        </w:rPr>
        <w:t>.</w:t>
      </w:r>
      <w:r w:rsidRPr="005A3C1E">
        <w:rPr>
          <w:rStyle w:val="EndnoteReference"/>
          <w:rFonts w:cs="Calibri"/>
        </w:rPr>
        <w:t xml:space="preserve"> </w:t>
      </w:r>
      <w:r w:rsidRPr="00233B53">
        <w:rPr>
          <w:rStyle w:val="EndnoteReference"/>
          <w:rFonts w:cs="Calibri"/>
        </w:rPr>
        <w:endnoteReference w:id="49"/>
      </w:r>
      <w:r>
        <w:rPr>
          <w:rFonts w:cs="Calibri"/>
          <w:bCs/>
        </w:rPr>
        <w:t xml:space="preserve"> </w:t>
      </w:r>
      <w:r w:rsidR="00233B53" w:rsidRPr="00BE1072">
        <w:rPr>
          <w:rFonts w:cs="Calibri"/>
        </w:rPr>
        <w:t>Details of mentees,</w:t>
      </w:r>
      <w:r w:rsidR="00233B53" w:rsidRPr="00BE1072">
        <w:rPr>
          <w:rFonts w:eastAsia="Times New Roman" w:cs="Calibri"/>
          <w:lang w:eastAsia="en-GB"/>
        </w:rPr>
        <w:t xml:space="preserve"> mentors </w:t>
      </w:r>
      <w:r w:rsidR="00EF5FC2" w:rsidRPr="00BE1072">
        <w:rPr>
          <w:rFonts w:cs="Calibri"/>
        </w:rPr>
        <w:t>and the themes of the implemented WOP-LAC partnerships</w:t>
      </w:r>
      <w:r w:rsidR="00B80D05" w:rsidRPr="00BE1072">
        <w:rPr>
          <w:rFonts w:cs="Calibri"/>
        </w:rPr>
        <w:t xml:space="preserve"> are contained</w:t>
      </w:r>
      <w:r w:rsidR="00233B53" w:rsidRPr="00BE1072">
        <w:rPr>
          <w:rFonts w:eastAsia="Times New Roman" w:cs="Calibri"/>
          <w:lang w:eastAsia="en-GB"/>
        </w:rPr>
        <w:t xml:space="preserve"> </w:t>
      </w:r>
      <w:r w:rsidR="00850D1C">
        <w:rPr>
          <w:rFonts w:cs="Calibri"/>
        </w:rPr>
        <w:t xml:space="preserve">in Annex </w:t>
      </w:r>
      <w:r w:rsidR="00233B53" w:rsidRPr="00BE1072">
        <w:rPr>
          <w:rFonts w:cs="Calibri"/>
        </w:rPr>
        <w:t>V</w:t>
      </w:r>
      <w:r w:rsidR="00EF5FC2" w:rsidRPr="00BE1072">
        <w:rPr>
          <w:rFonts w:cs="Calibri"/>
        </w:rPr>
        <w:t>, Table 2</w:t>
      </w:r>
      <w:r w:rsidR="00233B53" w:rsidRPr="00BE1072">
        <w:rPr>
          <w:rFonts w:cs="Calibri"/>
        </w:rPr>
        <w:t>.</w:t>
      </w:r>
      <w:r w:rsidR="00EF5FC2" w:rsidRPr="00BE1072">
        <w:rPr>
          <w:rFonts w:cs="Calibri"/>
        </w:rPr>
        <w:t xml:space="preserve"> </w:t>
      </w:r>
      <w:r w:rsidR="00193AE4">
        <w:rPr>
          <w:rFonts w:cs="Calibri"/>
        </w:rPr>
        <w:t>Only one of the 15</w:t>
      </w:r>
      <w:r w:rsidR="00193AE4" w:rsidRPr="00C95E9E">
        <w:rPr>
          <w:rFonts w:eastAsia="Times New Roman" w:cs="Calibri"/>
          <w:bCs/>
          <w:lang w:eastAsia="en-GB"/>
        </w:rPr>
        <w:t xml:space="preserve"> </w:t>
      </w:r>
      <w:r w:rsidR="00193AE4">
        <w:rPr>
          <w:rFonts w:eastAsia="Times New Roman" w:cs="Calibri"/>
          <w:bCs/>
          <w:lang w:eastAsia="en-GB"/>
        </w:rPr>
        <w:t xml:space="preserve">WOPs is in the Caribbean and precisely in </w:t>
      </w:r>
      <w:smartTag w:uri="urn:schemas-microsoft-com:office:smarttags" w:element="place">
        <w:smartTag w:uri="urn:schemas-microsoft-com:office:smarttags" w:element="country-region">
          <w:r w:rsidR="00193AE4">
            <w:rPr>
              <w:rFonts w:eastAsia="Times New Roman" w:cs="Calibri"/>
              <w:bCs/>
              <w:lang w:eastAsia="en-GB"/>
            </w:rPr>
            <w:t>Suriname</w:t>
          </w:r>
        </w:smartTag>
      </w:smartTag>
      <w:r w:rsidR="00A949BD">
        <w:rPr>
          <w:rFonts w:eastAsia="Times New Roman" w:cs="Calibri"/>
          <w:bCs/>
          <w:lang w:eastAsia="en-GB"/>
        </w:rPr>
        <w:t>, which is also the only WOP with a partner based outside the LAC region, in The Netherlands</w:t>
      </w:r>
      <w:r w:rsidR="00193AE4">
        <w:rPr>
          <w:rFonts w:cs="Calibri"/>
        </w:rPr>
        <w:t xml:space="preserve">. </w:t>
      </w:r>
    </w:p>
    <w:p w:rsidR="00431035" w:rsidRDefault="00431035" w:rsidP="008A6B9E">
      <w:pPr>
        <w:autoSpaceDE w:val="0"/>
        <w:autoSpaceDN w:val="0"/>
        <w:adjustRightInd w:val="0"/>
        <w:jc w:val="both"/>
        <w:rPr>
          <w:rFonts w:cs="Calibri"/>
        </w:rPr>
      </w:pPr>
    </w:p>
    <w:p w:rsidR="00116145" w:rsidRDefault="001962E6" w:rsidP="001962E6">
      <w:pPr>
        <w:pStyle w:val="Heading2"/>
      </w:pPr>
      <w:bookmarkStart w:id="22" w:name="_Toc331783573"/>
      <w:r>
        <w:t>WaterLinks</w:t>
      </w:r>
      <w:bookmarkEnd w:id="22"/>
    </w:p>
    <w:p w:rsidR="00C81ACF" w:rsidRPr="00A6068D" w:rsidRDefault="004E2213" w:rsidP="00C81ACF">
      <w:pPr>
        <w:pStyle w:val="NoSpacing"/>
        <w:jc w:val="both"/>
        <w:rPr>
          <w:rFonts w:ascii="Calibri" w:hAnsi="Calibri" w:cs="Calibri"/>
          <w:sz w:val="22"/>
          <w:szCs w:val="22"/>
        </w:rPr>
      </w:pPr>
      <w:r w:rsidRPr="00A6068D">
        <w:rPr>
          <w:rFonts w:ascii="Calibri" w:hAnsi="Calibri" w:cs="Calibri"/>
          <w:sz w:val="22"/>
          <w:szCs w:val="22"/>
        </w:rPr>
        <w:t>Established in 2008 by the Asian Development Bank (ADB), IWA and USAID, WaterLinks is a regional network of water operators, practitioners and development partners that supports WOPs in the Asia-Pacific region, with the objective to enhance and expand access to urban water and sanitation services.</w:t>
      </w:r>
      <w:r w:rsidR="00C81ACF" w:rsidRPr="00A6068D">
        <w:rPr>
          <w:rStyle w:val="EndnoteReference"/>
          <w:rFonts w:ascii="Calibri" w:hAnsi="Calibri" w:cs="Calibri"/>
          <w:sz w:val="22"/>
          <w:szCs w:val="22"/>
        </w:rPr>
        <w:t xml:space="preserve"> </w:t>
      </w:r>
      <w:r w:rsidR="00C81ACF" w:rsidRPr="00A6068D">
        <w:rPr>
          <w:rStyle w:val="EndnoteReference"/>
          <w:rFonts w:ascii="Calibri" w:hAnsi="Calibri" w:cs="Calibri"/>
          <w:sz w:val="22"/>
          <w:szCs w:val="22"/>
        </w:rPr>
        <w:endnoteReference w:id="50"/>
      </w:r>
      <w:r w:rsidRPr="00A6068D">
        <w:rPr>
          <w:rFonts w:ascii="Calibri" w:hAnsi="Calibri" w:cs="Calibri"/>
          <w:sz w:val="22"/>
          <w:szCs w:val="22"/>
        </w:rPr>
        <w:t xml:space="preserve"> </w:t>
      </w:r>
      <w:r w:rsidR="005A6CA1" w:rsidRPr="00A6068D">
        <w:rPr>
          <w:rFonts w:ascii="Calibri" w:hAnsi="Calibri" w:cs="Calibri"/>
          <w:sz w:val="22"/>
          <w:szCs w:val="22"/>
        </w:rPr>
        <w:t>Through its network, WaterLinks links mentor and mentees according to their interests, capabilities and needs, and facilitates the implementation of partnership activities. Partnerships have a typical duration of 12-18 months</w:t>
      </w:r>
      <w:r w:rsidR="009C20BE" w:rsidRPr="00A6068D">
        <w:rPr>
          <w:rFonts w:ascii="Calibri" w:hAnsi="Calibri" w:cs="Calibri"/>
          <w:sz w:val="22"/>
          <w:szCs w:val="22"/>
        </w:rPr>
        <w:t>,</w:t>
      </w:r>
      <w:r w:rsidR="00850D5D" w:rsidRPr="00A6068D">
        <w:rPr>
          <w:rStyle w:val="EndnoteReference"/>
          <w:rFonts w:ascii="Calibri" w:hAnsi="Calibri" w:cs="Calibri"/>
          <w:sz w:val="22"/>
          <w:szCs w:val="22"/>
        </w:rPr>
        <w:endnoteReference w:id="51"/>
      </w:r>
      <w:r w:rsidR="009C20BE" w:rsidRPr="00A6068D">
        <w:rPr>
          <w:rFonts w:ascii="Calibri" w:hAnsi="Calibri" w:cs="Calibri"/>
          <w:sz w:val="22"/>
          <w:szCs w:val="22"/>
        </w:rPr>
        <w:t xml:space="preserve"> and address the following </w:t>
      </w:r>
      <w:r w:rsidR="008E6CF6">
        <w:rPr>
          <w:rFonts w:ascii="Calibri" w:hAnsi="Calibri" w:cs="Calibri"/>
          <w:sz w:val="22"/>
          <w:szCs w:val="22"/>
        </w:rPr>
        <w:t xml:space="preserve">12 </w:t>
      </w:r>
      <w:r w:rsidR="009C20BE" w:rsidRPr="00A6068D">
        <w:rPr>
          <w:rFonts w:ascii="Calibri" w:hAnsi="Calibri" w:cs="Calibri"/>
          <w:sz w:val="22"/>
          <w:szCs w:val="22"/>
        </w:rPr>
        <w:t xml:space="preserve">themes or focus areas: asset management; climate change adaptation and proofing; climate change mitigation (efficient energy use); continuous delivery of safe water </w:t>
      </w:r>
      <w:r w:rsidR="009C20BE" w:rsidRPr="00A6068D">
        <w:rPr>
          <w:rFonts w:ascii="Calibri" w:hAnsi="Calibri" w:cs="Calibri"/>
          <w:sz w:val="22"/>
          <w:szCs w:val="22"/>
        </w:rPr>
        <w:lastRenderedPageBreak/>
        <w:t>(24/7); customer relations ma</w:t>
      </w:r>
      <w:r w:rsidR="002D7807">
        <w:rPr>
          <w:rFonts w:ascii="Calibri" w:hAnsi="Calibri" w:cs="Calibri"/>
          <w:sz w:val="22"/>
          <w:szCs w:val="22"/>
        </w:rPr>
        <w:t>nagement; water loss management;</w:t>
      </w:r>
      <w:r w:rsidR="009C20BE" w:rsidRPr="00A6068D">
        <w:rPr>
          <w:rFonts w:ascii="Calibri" w:hAnsi="Calibri" w:cs="Calibri"/>
          <w:sz w:val="22"/>
          <w:szCs w:val="22"/>
        </w:rPr>
        <w:t xml:space="preserve"> services provision to low-income communities; septage management; sewerage services (collection, disposal and treatment); WASH promotion; water quality management; planning and risk management.</w:t>
      </w:r>
      <w:r w:rsidR="009C20BE" w:rsidRPr="00A6068D">
        <w:rPr>
          <w:rStyle w:val="EndnoteReference"/>
          <w:rFonts w:ascii="Calibri" w:hAnsi="Calibri" w:cs="Calibri"/>
          <w:sz w:val="22"/>
          <w:szCs w:val="22"/>
        </w:rPr>
        <w:t xml:space="preserve"> </w:t>
      </w:r>
      <w:r w:rsidR="009C20BE" w:rsidRPr="009C20BE">
        <w:rPr>
          <w:rStyle w:val="EndnoteReference"/>
          <w:rFonts w:ascii="Calibri" w:hAnsi="Calibri" w:cs="Calibri"/>
          <w:sz w:val="22"/>
          <w:szCs w:val="22"/>
        </w:rPr>
        <w:endnoteReference w:id="52"/>
      </w:r>
    </w:p>
    <w:p w:rsidR="009C20BE" w:rsidRPr="00A6068D" w:rsidRDefault="009C20BE" w:rsidP="00C81ACF">
      <w:pPr>
        <w:pStyle w:val="NoSpacing"/>
        <w:jc w:val="both"/>
        <w:rPr>
          <w:rFonts w:ascii="Calibri" w:hAnsi="Calibri" w:cs="Calibri"/>
          <w:sz w:val="22"/>
          <w:szCs w:val="22"/>
        </w:rPr>
      </w:pPr>
    </w:p>
    <w:p w:rsidR="00116145" w:rsidRPr="00A6068D" w:rsidRDefault="00C81ACF" w:rsidP="00C81ACF">
      <w:pPr>
        <w:pStyle w:val="NoSpacing"/>
        <w:jc w:val="both"/>
        <w:rPr>
          <w:rFonts w:ascii="Calibri" w:hAnsi="Calibri" w:cs="Calibri"/>
          <w:sz w:val="22"/>
          <w:szCs w:val="22"/>
        </w:rPr>
      </w:pPr>
      <w:r w:rsidRPr="00A6068D">
        <w:rPr>
          <w:rFonts w:ascii="Calibri" w:hAnsi="Calibri" w:cs="Calibri"/>
          <w:sz w:val="22"/>
          <w:szCs w:val="22"/>
        </w:rPr>
        <w:t>“</w:t>
      </w:r>
      <w:r w:rsidR="004E2213" w:rsidRPr="00A6068D">
        <w:rPr>
          <w:rFonts w:ascii="Calibri" w:hAnsi="Calibri" w:cs="Calibri"/>
          <w:sz w:val="22"/>
          <w:szCs w:val="22"/>
        </w:rPr>
        <w:t xml:space="preserve">To date, at least </w:t>
      </w:r>
      <w:r w:rsidR="004E2213" w:rsidRPr="00A6068D">
        <w:rPr>
          <w:rFonts w:ascii="Calibri" w:hAnsi="Calibri" w:cs="Calibri"/>
          <w:b/>
          <w:bCs/>
          <w:sz w:val="22"/>
          <w:szCs w:val="22"/>
        </w:rPr>
        <w:t xml:space="preserve">60 </w:t>
      </w:r>
      <w:r w:rsidR="004E2213" w:rsidRPr="00A6068D">
        <w:rPr>
          <w:rFonts w:ascii="Calibri" w:hAnsi="Calibri" w:cs="Calibri"/>
          <w:sz w:val="22"/>
          <w:szCs w:val="22"/>
        </w:rPr>
        <w:t xml:space="preserve">WOPs and several training programs under WaterLinks have led to more than </w:t>
      </w:r>
      <w:r w:rsidR="004E2213" w:rsidRPr="00A6068D">
        <w:rPr>
          <w:rFonts w:ascii="Calibri" w:hAnsi="Calibri" w:cs="Calibri"/>
          <w:b/>
          <w:bCs/>
          <w:sz w:val="22"/>
          <w:szCs w:val="22"/>
        </w:rPr>
        <w:t xml:space="preserve">1 million </w:t>
      </w:r>
      <w:r w:rsidR="004E2213" w:rsidRPr="00A6068D">
        <w:rPr>
          <w:rFonts w:ascii="Calibri" w:hAnsi="Calibri" w:cs="Calibri"/>
          <w:sz w:val="22"/>
          <w:szCs w:val="22"/>
        </w:rPr>
        <w:t xml:space="preserve">urban residents having improved access to water and sanitation services; </w:t>
      </w:r>
      <w:r w:rsidR="004E2213" w:rsidRPr="00A6068D">
        <w:rPr>
          <w:rFonts w:ascii="Calibri" w:hAnsi="Calibri" w:cs="Calibri"/>
          <w:b/>
          <w:bCs/>
          <w:sz w:val="22"/>
          <w:szCs w:val="22"/>
        </w:rPr>
        <w:t>100,000</w:t>
      </w:r>
      <w:r w:rsidR="004E2213" w:rsidRPr="00A6068D">
        <w:rPr>
          <w:rFonts w:ascii="Calibri" w:hAnsi="Calibri" w:cs="Calibri"/>
          <w:sz w:val="22"/>
          <w:szCs w:val="22"/>
        </w:rPr>
        <w:t xml:space="preserve"> low-income people with first time water supply and sanitation services; </w:t>
      </w:r>
      <w:r w:rsidR="004E2213" w:rsidRPr="00A6068D">
        <w:rPr>
          <w:rFonts w:ascii="Calibri" w:hAnsi="Calibri" w:cs="Calibri"/>
          <w:b/>
          <w:bCs/>
          <w:sz w:val="22"/>
          <w:szCs w:val="22"/>
        </w:rPr>
        <w:t xml:space="preserve">2,500 </w:t>
      </w:r>
      <w:r w:rsidR="004E2213" w:rsidRPr="00A6068D">
        <w:rPr>
          <w:rFonts w:ascii="Calibri" w:hAnsi="Calibri" w:cs="Calibri"/>
          <w:sz w:val="22"/>
          <w:szCs w:val="22"/>
        </w:rPr>
        <w:t xml:space="preserve">operator staff trained; and </w:t>
      </w:r>
      <w:r w:rsidR="004E2213" w:rsidRPr="00A6068D">
        <w:rPr>
          <w:rFonts w:ascii="Calibri" w:hAnsi="Calibri" w:cs="Calibri"/>
          <w:b/>
          <w:bCs/>
          <w:sz w:val="22"/>
          <w:szCs w:val="22"/>
        </w:rPr>
        <w:t xml:space="preserve">$10 million </w:t>
      </w:r>
      <w:r w:rsidR="004E2213" w:rsidRPr="00A6068D">
        <w:rPr>
          <w:rFonts w:ascii="Calibri" w:hAnsi="Calibri" w:cs="Calibri"/>
          <w:sz w:val="22"/>
          <w:szCs w:val="22"/>
        </w:rPr>
        <w:t>leveraged by participating service providers in capital and capacity investments</w:t>
      </w:r>
      <w:r w:rsidRPr="00A6068D">
        <w:rPr>
          <w:rFonts w:ascii="Calibri" w:hAnsi="Calibri" w:cs="Calibri"/>
          <w:sz w:val="22"/>
          <w:szCs w:val="22"/>
        </w:rPr>
        <w:t>”</w:t>
      </w:r>
      <w:r w:rsidR="004E2213" w:rsidRPr="00A6068D">
        <w:rPr>
          <w:rFonts w:ascii="Calibri" w:hAnsi="Calibri" w:cs="Calibri"/>
          <w:sz w:val="22"/>
          <w:szCs w:val="22"/>
        </w:rPr>
        <w:t>.</w:t>
      </w:r>
      <w:r w:rsidRPr="00A6068D">
        <w:rPr>
          <w:rStyle w:val="EndnoteReference"/>
          <w:rFonts w:ascii="Calibri" w:hAnsi="Calibri" w:cs="Calibri"/>
          <w:sz w:val="22"/>
          <w:szCs w:val="22"/>
        </w:rPr>
        <w:t xml:space="preserve"> </w:t>
      </w:r>
      <w:r w:rsidRPr="00C81ACF">
        <w:rPr>
          <w:rStyle w:val="EndnoteReference"/>
          <w:rFonts w:ascii="Calibri" w:hAnsi="Calibri" w:cs="Calibri"/>
          <w:sz w:val="22"/>
          <w:szCs w:val="22"/>
        </w:rPr>
        <w:endnoteReference w:id="53"/>
      </w:r>
      <w:r w:rsidRPr="00A6068D">
        <w:rPr>
          <w:rStyle w:val="EndnoteReference"/>
          <w:rFonts w:ascii="Calibri" w:hAnsi="Calibri" w:cs="Calibri"/>
          <w:sz w:val="22"/>
          <w:szCs w:val="22"/>
        </w:rPr>
        <w:t xml:space="preserve">  </w:t>
      </w:r>
      <w:r w:rsidRPr="00A6068D">
        <w:rPr>
          <w:rFonts w:ascii="Calibri" w:hAnsi="Calibri" w:cs="Calibri"/>
          <w:sz w:val="22"/>
          <w:szCs w:val="22"/>
        </w:rPr>
        <w:t>The US$10 million leveraged by WaterLinks are equivalent to some €7.6 million.</w:t>
      </w:r>
      <w:r w:rsidR="004E2213" w:rsidRPr="00A6068D">
        <w:rPr>
          <w:rStyle w:val="EndnoteReference"/>
          <w:rFonts w:ascii="Calibri" w:hAnsi="Calibri" w:cs="Calibri"/>
          <w:sz w:val="22"/>
          <w:szCs w:val="22"/>
        </w:rPr>
        <w:endnoteReference w:id="54"/>
      </w:r>
      <w:r w:rsidRPr="00A6068D">
        <w:rPr>
          <w:rFonts w:ascii="Calibri" w:hAnsi="Calibri" w:cs="Calibri"/>
          <w:sz w:val="22"/>
          <w:szCs w:val="22"/>
        </w:rPr>
        <w:t xml:space="preserve"> Nonetheless, it should be noted that the </w:t>
      </w:r>
      <w:r w:rsidRPr="00C81ACF">
        <w:rPr>
          <w:rFonts w:ascii="Calibri" w:hAnsi="Calibri" w:cs="Calibri"/>
          <w:sz w:val="22"/>
          <w:szCs w:val="22"/>
        </w:rPr>
        <w:t>WaterLinks</w:t>
      </w:r>
      <w:r>
        <w:rPr>
          <w:rFonts w:ascii="Calibri" w:hAnsi="Calibri" w:cs="Calibri"/>
          <w:sz w:val="22"/>
          <w:szCs w:val="22"/>
        </w:rPr>
        <w:t xml:space="preserve"> database lists 33 implemented partnerships rather than the 60 WOPs</w:t>
      </w:r>
      <w:r w:rsidR="005A6CA1">
        <w:rPr>
          <w:rFonts w:ascii="Calibri" w:hAnsi="Calibri" w:cs="Calibri"/>
          <w:sz w:val="22"/>
          <w:szCs w:val="22"/>
        </w:rPr>
        <w:t xml:space="preserve"> associated with the above tangible impact. The profile of WOPs listed in the </w:t>
      </w:r>
      <w:r w:rsidR="005A6CA1" w:rsidRPr="005A6CA1">
        <w:rPr>
          <w:rFonts w:ascii="Calibri" w:hAnsi="Calibri" w:cs="Calibri"/>
          <w:sz w:val="22"/>
          <w:szCs w:val="22"/>
        </w:rPr>
        <w:t>WaterLinks</w:t>
      </w:r>
      <w:r>
        <w:rPr>
          <w:rFonts w:ascii="Calibri" w:hAnsi="Calibri" w:cs="Calibri"/>
          <w:sz w:val="22"/>
          <w:szCs w:val="22"/>
        </w:rPr>
        <w:t xml:space="preserve"> </w:t>
      </w:r>
      <w:r w:rsidR="005A6CA1">
        <w:rPr>
          <w:rFonts w:ascii="Calibri" w:hAnsi="Calibri" w:cs="Calibri"/>
          <w:sz w:val="22"/>
          <w:szCs w:val="22"/>
        </w:rPr>
        <w:t>partnerships database is</w:t>
      </w:r>
      <w:r w:rsidR="00850D1C">
        <w:rPr>
          <w:rFonts w:ascii="Calibri" w:hAnsi="Calibri" w:cs="Calibri"/>
          <w:sz w:val="22"/>
          <w:szCs w:val="22"/>
        </w:rPr>
        <w:t xml:space="preserve"> available in Annex </w:t>
      </w:r>
      <w:r w:rsidR="005A6CA1">
        <w:rPr>
          <w:rFonts w:ascii="Calibri" w:hAnsi="Calibri" w:cs="Calibri"/>
          <w:sz w:val="22"/>
          <w:szCs w:val="22"/>
        </w:rPr>
        <w:t>V, Table 3. This table indicates the name of mentors and mentees, the respective countries and the year of completion of the 33 partnerships.</w:t>
      </w:r>
    </w:p>
    <w:p w:rsidR="00660DDB" w:rsidRDefault="00660DDB" w:rsidP="00996A6E"/>
    <w:p w:rsidR="001962E6" w:rsidRPr="00F15712" w:rsidRDefault="001962E6" w:rsidP="001962E6">
      <w:pPr>
        <w:pStyle w:val="Heading2"/>
        <w:rPr>
          <w:lang w:eastAsia="en-GB"/>
        </w:rPr>
      </w:pPr>
      <w:bookmarkStart w:id="23" w:name="_Toc331783574"/>
      <w:r>
        <w:rPr>
          <w:lang w:eastAsia="en-GB"/>
        </w:rPr>
        <w:t>WOP-</w:t>
      </w:r>
      <w:r>
        <w:rPr>
          <w:lang w:val="en-GB" w:eastAsia="en-GB"/>
        </w:rPr>
        <w:t>SEE</w:t>
      </w:r>
      <w:bookmarkEnd w:id="23"/>
    </w:p>
    <w:p w:rsidR="004F1AB2" w:rsidRDefault="00A038BB" w:rsidP="00D05D09">
      <w:pPr>
        <w:autoSpaceDE w:val="0"/>
        <w:autoSpaceDN w:val="0"/>
        <w:adjustRightInd w:val="0"/>
        <w:jc w:val="both"/>
        <w:rPr>
          <w:rFonts w:cs="Calibri"/>
        </w:rPr>
      </w:pPr>
      <w:r w:rsidRPr="007746B0">
        <w:rPr>
          <w:rFonts w:cs="Calibri"/>
        </w:rPr>
        <w:t>Established in March 2010, WOP-SEE is the regional WOP platform for South East Europe. It aims to “</w:t>
      </w:r>
      <w:r w:rsidRPr="007746B0">
        <w:rPr>
          <w:rFonts w:eastAsia="Times New Roman" w:cs="Calibri"/>
          <w:lang w:eastAsia="en-GB"/>
        </w:rPr>
        <w:t>make it easier, and more rewarding, for utilities to learn from one another on a not-for-profit basis</w:t>
      </w:r>
      <w:r w:rsidRPr="007746B0">
        <w:rPr>
          <w:rFonts w:cs="Calibri"/>
        </w:rPr>
        <w:t>”, with the ultimate goal to provide better services for all. The WOP-SEE Secretariat is composed of Athens-based water and sanitation utility EYDAP, the Romanian Water Association-IWA office, and GWOPA.</w:t>
      </w:r>
      <w:r w:rsidR="004F1AB2" w:rsidRPr="004F1AB2">
        <w:rPr>
          <w:rStyle w:val="EndnoteReference"/>
          <w:rFonts w:eastAsia="Times New Roman" w:cs="Calibri"/>
          <w:lang w:eastAsia="en-GB"/>
        </w:rPr>
        <w:t xml:space="preserve"> </w:t>
      </w:r>
      <w:r w:rsidR="004F1AB2" w:rsidRPr="007746B0">
        <w:rPr>
          <w:rStyle w:val="EndnoteReference"/>
          <w:rFonts w:eastAsia="Times New Roman" w:cs="Calibri"/>
          <w:lang w:eastAsia="en-GB"/>
        </w:rPr>
        <w:endnoteReference w:id="55"/>
      </w:r>
      <w:r w:rsidR="004F1AB2">
        <w:t xml:space="preserve"> At present, WOP-SEE is not a legal entity but an informal and voluntary group of partners</w:t>
      </w:r>
      <w:r w:rsidR="00B74F98">
        <w:t xml:space="preserve"> for which no formal budget has been formally approved. The platform’s</w:t>
      </w:r>
      <w:r w:rsidR="004F1AB2">
        <w:t xml:space="preserve"> activities</w:t>
      </w:r>
      <w:r w:rsidR="00B74F98">
        <w:t xml:space="preserve"> consist in encouraging and facil</w:t>
      </w:r>
      <w:r w:rsidR="00385D52">
        <w:t>itating WOPs in the region and</w:t>
      </w:r>
      <w:r w:rsidR="00B74F98">
        <w:t xml:space="preserve"> so far are being financed</w:t>
      </w:r>
      <w:r w:rsidR="004F1AB2">
        <w:t xml:space="preserve"> through </w:t>
      </w:r>
      <w:r w:rsidR="00B74F98">
        <w:t xml:space="preserve">discretionary contributions from </w:t>
      </w:r>
      <w:r w:rsidR="004F1AB2">
        <w:t>the GWOP</w:t>
      </w:r>
      <w:r w:rsidR="00B74F98">
        <w:t>A Secretariat</w:t>
      </w:r>
      <w:r w:rsidR="00385D52">
        <w:t>. While WOP-SEE does not currently fund any partnerships, WOPs facilitated by the platform have been financed through discretionary contributions from</w:t>
      </w:r>
      <w:r w:rsidR="00B74F98">
        <w:t xml:space="preserve"> the </w:t>
      </w:r>
      <w:r w:rsidR="00385D52">
        <w:t xml:space="preserve">GWOPA Secretariat, the </w:t>
      </w:r>
      <w:r w:rsidR="00B74F98">
        <w:t>World Bank,</w:t>
      </w:r>
      <w:r w:rsidR="004F1AB2">
        <w:t xml:space="preserve"> </w:t>
      </w:r>
      <w:r w:rsidR="00B74F98">
        <w:t>the German development agency GIZ and regional water operators</w:t>
      </w:r>
      <w:r w:rsidR="004F1AB2">
        <w:t>.</w:t>
      </w:r>
      <w:r w:rsidR="00385D52" w:rsidRPr="00385D52">
        <w:rPr>
          <w:rStyle w:val="EndnoteReference"/>
          <w:rFonts w:eastAsia="Times New Roman" w:cs="Calibri"/>
          <w:lang w:eastAsia="en-GB"/>
        </w:rPr>
        <w:t xml:space="preserve"> </w:t>
      </w:r>
      <w:r w:rsidR="00385D52" w:rsidRPr="007746B0">
        <w:rPr>
          <w:rStyle w:val="EndnoteReference"/>
          <w:rFonts w:eastAsia="Times New Roman" w:cs="Calibri"/>
          <w:lang w:eastAsia="en-GB"/>
        </w:rPr>
        <w:endnoteReference w:id="56"/>
      </w:r>
      <w:r w:rsidR="004F1AB2">
        <w:t xml:space="preserve">  </w:t>
      </w:r>
      <w:r w:rsidR="00426B0F" w:rsidRPr="007746B0">
        <w:rPr>
          <w:rFonts w:cs="Calibri"/>
        </w:rPr>
        <w:t xml:space="preserve"> </w:t>
      </w:r>
    </w:p>
    <w:p w:rsidR="004F1AB2" w:rsidRDefault="004F1AB2" w:rsidP="00D05D09">
      <w:pPr>
        <w:autoSpaceDE w:val="0"/>
        <w:autoSpaceDN w:val="0"/>
        <w:adjustRightInd w:val="0"/>
        <w:jc w:val="both"/>
        <w:rPr>
          <w:rFonts w:cs="Calibri"/>
        </w:rPr>
      </w:pPr>
    </w:p>
    <w:p w:rsidR="001E7686" w:rsidRPr="00A47CB5" w:rsidRDefault="00426B0F" w:rsidP="00A47CB5">
      <w:pPr>
        <w:autoSpaceDE w:val="0"/>
        <w:autoSpaceDN w:val="0"/>
        <w:adjustRightInd w:val="0"/>
        <w:jc w:val="both"/>
        <w:rPr>
          <w:rFonts w:eastAsia="Times New Roman" w:cs="Calibri"/>
          <w:lang w:eastAsia="en-GB"/>
        </w:rPr>
      </w:pPr>
      <w:r w:rsidRPr="007746B0">
        <w:rPr>
          <w:rFonts w:cs="Calibri"/>
        </w:rPr>
        <w:t>The WOP-</w:t>
      </w:r>
      <w:r w:rsidR="00FD79CB">
        <w:rPr>
          <w:rFonts w:cs="Calibri"/>
        </w:rPr>
        <w:t xml:space="preserve">SEE platform has facilitated </w:t>
      </w:r>
      <w:r w:rsidRPr="007746B0">
        <w:rPr>
          <w:rFonts w:cs="Calibri"/>
        </w:rPr>
        <w:t>WOPs on water loss reduction between Serbian munici</w:t>
      </w:r>
      <w:r w:rsidR="008B6F2D">
        <w:rPr>
          <w:rFonts w:cs="Calibri"/>
        </w:rPr>
        <w:t>pal utilities from the South Bač</w:t>
      </w:r>
      <w:r w:rsidRPr="007746B0">
        <w:rPr>
          <w:rFonts w:cs="Calibri"/>
        </w:rPr>
        <w:t>ka District and Croatian utilities from across the border.</w:t>
      </w:r>
      <w:r w:rsidR="008B6F2D" w:rsidRPr="008B6F2D">
        <w:rPr>
          <w:rStyle w:val="EndnoteReference"/>
          <w:rFonts w:eastAsia="Times New Roman" w:cs="Calibri"/>
          <w:lang w:eastAsia="en-GB"/>
        </w:rPr>
        <w:t xml:space="preserve"> </w:t>
      </w:r>
      <w:r w:rsidR="008B6F2D" w:rsidRPr="007746B0">
        <w:rPr>
          <w:rStyle w:val="EndnoteReference"/>
          <w:rFonts w:eastAsia="Times New Roman" w:cs="Calibri"/>
          <w:lang w:eastAsia="en-GB"/>
        </w:rPr>
        <w:endnoteReference w:id="57"/>
      </w:r>
      <w:r w:rsidR="008B6F2D">
        <w:rPr>
          <w:rFonts w:cs="Calibri"/>
        </w:rPr>
        <w:t xml:space="preserve"> As a result of these Serbian-Croatian inter-municipal cooperation, water loss audits were carried out in six Serbian cities (</w:t>
      </w:r>
      <w:r w:rsidR="001C6445">
        <w:rPr>
          <w:rFonts w:cs="Calibri"/>
        </w:rPr>
        <w:t>Novi Sad, Ub, Raška, Kladovo, Bor, Bač</w:t>
      </w:r>
      <w:r w:rsidR="001C6445" w:rsidRPr="007746B0">
        <w:rPr>
          <w:rFonts w:cs="Calibri"/>
        </w:rPr>
        <w:t>ka</w:t>
      </w:r>
      <w:r w:rsidR="001C6445">
        <w:rPr>
          <w:rFonts w:cs="Calibri"/>
        </w:rPr>
        <w:t xml:space="preserve"> Palanka</w:t>
      </w:r>
      <w:r w:rsidR="008B6F2D">
        <w:rPr>
          <w:rFonts w:cs="Calibri"/>
        </w:rPr>
        <w:t>) in 2011 with a total budget of some €87,500.</w:t>
      </w:r>
      <w:r w:rsidR="001C6445" w:rsidRPr="001C6445">
        <w:rPr>
          <w:rStyle w:val="EndnoteReference"/>
          <w:rFonts w:eastAsia="Times New Roman" w:cs="Calibri"/>
          <w:lang w:eastAsia="en-GB"/>
        </w:rPr>
        <w:t xml:space="preserve"> </w:t>
      </w:r>
      <w:r w:rsidR="001C6445" w:rsidRPr="007746B0">
        <w:rPr>
          <w:rStyle w:val="EndnoteReference"/>
          <w:rFonts w:eastAsia="Times New Roman" w:cs="Calibri"/>
          <w:lang w:eastAsia="en-GB"/>
        </w:rPr>
        <w:endnoteReference w:id="58"/>
      </w:r>
      <w:r w:rsidRPr="007746B0">
        <w:rPr>
          <w:rFonts w:cs="Calibri"/>
        </w:rPr>
        <w:t xml:space="preserve"> WOP</w:t>
      </w:r>
      <w:r w:rsidR="00442B6E" w:rsidRPr="007746B0">
        <w:rPr>
          <w:rFonts w:cs="Calibri"/>
        </w:rPr>
        <w:t>s agreements on accessing investment finance have been signed by</w:t>
      </w:r>
      <w:r w:rsidRPr="007746B0">
        <w:rPr>
          <w:rFonts w:cs="Calibri"/>
        </w:rPr>
        <w:t xml:space="preserve"> the utilities of</w:t>
      </w:r>
      <w:r w:rsidR="00442B6E" w:rsidRPr="007746B0">
        <w:rPr>
          <w:rFonts w:cs="Calibri"/>
        </w:rPr>
        <w:t>, respectively,</w:t>
      </w:r>
      <w:r w:rsidRPr="007746B0">
        <w:rPr>
          <w:rFonts w:cs="Calibri"/>
        </w:rPr>
        <w:t xml:space="preserve"> Costanta, Romania and</w:t>
      </w:r>
      <w:r w:rsidR="00442B6E" w:rsidRPr="007746B0">
        <w:rPr>
          <w:rFonts w:cs="Calibri"/>
        </w:rPr>
        <w:t xml:space="preserve"> </w:t>
      </w:r>
      <w:r w:rsidR="00442B6E" w:rsidRPr="007746B0">
        <w:rPr>
          <w:rFonts w:eastAsia="Times New Roman" w:cs="Calibri"/>
          <w:lang w:eastAsia="en-GB"/>
        </w:rPr>
        <w:t xml:space="preserve">Cahul, Moldova; </w:t>
      </w:r>
      <w:r w:rsidR="00442B6E" w:rsidRPr="007746B0">
        <w:rPr>
          <w:rFonts w:cs="Calibri"/>
        </w:rPr>
        <w:t>Costanta, Romania and</w:t>
      </w:r>
      <w:r w:rsidRPr="007746B0">
        <w:rPr>
          <w:rFonts w:cs="Calibri"/>
        </w:rPr>
        <w:t xml:space="preserve"> </w:t>
      </w:r>
      <w:r w:rsidR="00442B6E" w:rsidRPr="007746B0">
        <w:rPr>
          <w:rFonts w:eastAsia="Times New Roman" w:cs="Calibri"/>
          <w:lang w:eastAsia="en-GB"/>
        </w:rPr>
        <w:t xml:space="preserve">Ceadar Lungam, Moldova; Chisinau, Moldova and Pitesti, Romania; and two </w:t>
      </w:r>
      <w:r w:rsidR="00895E77" w:rsidRPr="007746B0">
        <w:rPr>
          <w:rFonts w:eastAsia="Times New Roman" w:cs="Calibri"/>
          <w:lang w:eastAsia="en-GB"/>
        </w:rPr>
        <w:t xml:space="preserve">Hungarian and two Romanian cities. A WOP on </w:t>
      </w:r>
      <w:r w:rsidR="002043B6">
        <w:rPr>
          <w:rFonts w:eastAsia="Times New Roman" w:cs="Calibri"/>
          <w:lang w:eastAsia="en-GB"/>
        </w:rPr>
        <w:t xml:space="preserve">the implication of </w:t>
      </w:r>
      <w:r w:rsidR="002043B6" w:rsidRPr="007746B0">
        <w:rPr>
          <w:rFonts w:eastAsia="Times New Roman" w:cs="Calibri"/>
          <w:lang w:eastAsia="en-GB"/>
        </w:rPr>
        <w:t xml:space="preserve">EU law </w:t>
      </w:r>
      <w:r w:rsidR="002043B6">
        <w:rPr>
          <w:rFonts w:eastAsia="Times New Roman" w:cs="Calibri"/>
          <w:lang w:eastAsia="en-GB"/>
        </w:rPr>
        <w:t xml:space="preserve">for water management </w:t>
      </w:r>
      <w:r w:rsidR="00895E77" w:rsidRPr="007746B0">
        <w:rPr>
          <w:rFonts w:eastAsia="Times New Roman" w:cs="Calibri"/>
          <w:lang w:eastAsia="en-GB"/>
        </w:rPr>
        <w:t xml:space="preserve">is in preparation between the utilities of </w:t>
      </w:r>
      <w:smartTag w:uri="urn:schemas-microsoft-com:office:smarttags" w:element="City">
        <w:r w:rsidR="00895E77" w:rsidRPr="007746B0">
          <w:rPr>
            <w:rFonts w:eastAsia="Times New Roman" w:cs="Calibri"/>
            <w:lang w:eastAsia="en-GB"/>
          </w:rPr>
          <w:t>Razgrad</w:t>
        </w:r>
      </w:smartTag>
      <w:r w:rsidR="00895E77" w:rsidRPr="007746B0">
        <w:rPr>
          <w:rFonts w:eastAsia="Times New Roman" w:cs="Calibri"/>
          <w:lang w:eastAsia="en-GB"/>
        </w:rPr>
        <w:t xml:space="preserve">, </w:t>
      </w:r>
      <w:smartTag w:uri="urn:schemas-microsoft-com:office:smarttags" w:element="country-region">
        <w:r w:rsidR="00895E77" w:rsidRPr="007746B0">
          <w:rPr>
            <w:rFonts w:eastAsia="Times New Roman" w:cs="Calibri"/>
            <w:lang w:eastAsia="en-GB"/>
          </w:rPr>
          <w:t>Bulgaria</w:t>
        </w:r>
      </w:smartTag>
      <w:r w:rsidR="00895E77" w:rsidRPr="007746B0">
        <w:rPr>
          <w:rFonts w:eastAsia="Times New Roman" w:cs="Calibri"/>
          <w:lang w:eastAsia="en-GB"/>
        </w:rPr>
        <w:t xml:space="preserve"> and </w:t>
      </w:r>
      <w:smartTag w:uri="urn:schemas-microsoft-com:office:smarttags" w:element="place">
        <w:smartTag w:uri="urn:schemas-microsoft-com:office:smarttags" w:element="City">
          <w:r w:rsidR="00895E77" w:rsidRPr="007746B0">
            <w:rPr>
              <w:rFonts w:eastAsia="Times New Roman" w:cs="Calibri"/>
              <w:lang w:eastAsia="en-GB"/>
            </w:rPr>
            <w:t>Craiova</w:t>
          </w:r>
        </w:smartTag>
        <w:r w:rsidR="00895E77" w:rsidRPr="007746B0">
          <w:rPr>
            <w:rFonts w:eastAsia="Times New Roman" w:cs="Calibri"/>
            <w:lang w:eastAsia="en-GB"/>
          </w:rPr>
          <w:t xml:space="preserve">, </w:t>
        </w:r>
        <w:smartTag w:uri="urn:schemas-microsoft-com:office:smarttags" w:element="country-region">
          <w:r w:rsidR="00895E77" w:rsidRPr="007746B0">
            <w:rPr>
              <w:rFonts w:eastAsia="Times New Roman" w:cs="Calibri"/>
              <w:lang w:eastAsia="en-GB"/>
            </w:rPr>
            <w:t>Romania</w:t>
          </w:r>
        </w:smartTag>
      </w:smartTag>
      <w:r w:rsidR="00895E77" w:rsidRPr="007746B0">
        <w:rPr>
          <w:rFonts w:eastAsia="Times New Roman" w:cs="Calibri"/>
          <w:lang w:eastAsia="en-GB"/>
        </w:rPr>
        <w:t>.</w:t>
      </w:r>
      <w:r w:rsidR="00D05D09" w:rsidRPr="007746B0">
        <w:rPr>
          <w:rStyle w:val="EndnoteReference"/>
          <w:rFonts w:eastAsia="Times New Roman" w:cs="Calibri"/>
          <w:lang w:eastAsia="en-GB"/>
        </w:rPr>
        <w:endnoteReference w:id="59"/>
      </w:r>
      <w:r w:rsidR="00442B6E" w:rsidRPr="007746B0">
        <w:rPr>
          <w:rFonts w:eastAsia="Times New Roman" w:cs="Calibri"/>
          <w:lang w:eastAsia="en-GB"/>
        </w:rPr>
        <w:t xml:space="preserve"> </w:t>
      </w:r>
      <w:r w:rsidR="001E7686" w:rsidRPr="00BE1072">
        <w:rPr>
          <w:rFonts w:cs="Calibri"/>
        </w:rPr>
        <w:t>Details of the partnerships</w:t>
      </w:r>
      <w:r w:rsidR="001E7686">
        <w:rPr>
          <w:rFonts w:cs="Calibri"/>
        </w:rPr>
        <w:t xml:space="preserve"> </w:t>
      </w:r>
      <w:r w:rsidR="00A47CB5">
        <w:rPr>
          <w:rFonts w:cs="Calibri"/>
        </w:rPr>
        <w:t>facilita</w:t>
      </w:r>
      <w:r w:rsidR="001E7686">
        <w:rPr>
          <w:rFonts w:cs="Calibri"/>
        </w:rPr>
        <w:t>ted by WOP-SEE as of October 2011</w:t>
      </w:r>
      <w:r w:rsidR="001E7686" w:rsidRPr="00BE1072">
        <w:rPr>
          <w:rFonts w:cs="Calibri"/>
        </w:rPr>
        <w:t xml:space="preserve"> are contained</w:t>
      </w:r>
      <w:r w:rsidR="001E7686" w:rsidRPr="00BE1072">
        <w:rPr>
          <w:rFonts w:eastAsia="Times New Roman" w:cs="Calibri"/>
          <w:lang w:eastAsia="en-GB"/>
        </w:rPr>
        <w:t xml:space="preserve"> </w:t>
      </w:r>
      <w:r w:rsidR="001E7686">
        <w:rPr>
          <w:rFonts w:cs="Calibri"/>
        </w:rPr>
        <w:t xml:space="preserve">in Annex </w:t>
      </w:r>
      <w:r w:rsidR="001E7686" w:rsidRPr="00BE1072">
        <w:rPr>
          <w:rFonts w:cs="Calibri"/>
        </w:rPr>
        <w:t>V</w:t>
      </w:r>
      <w:r w:rsidR="001E7686">
        <w:rPr>
          <w:rFonts w:cs="Calibri"/>
        </w:rPr>
        <w:t>, Table 4</w:t>
      </w:r>
      <w:r w:rsidR="001E7686" w:rsidRPr="00BE1072">
        <w:rPr>
          <w:rFonts w:cs="Calibri"/>
        </w:rPr>
        <w:t>.</w:t>
      </w:r>
    </w:p>
    <w:p w:rsidR="001E7686" w:rsidRDefault="001E7686" w:rsidP="00996A6E"/>
    <w:p w:rsidR="00D5574C" w:rsidRDefault="00D5574C" w:rsidP="00D5574C">
      <w:pPr>
        <w:pStyle w:val="Heading1"/>
      </w:pPr>
      <w:bookmarkStart w:id="24" w:name="_Toc331783575"/>
      <w:r>
        <w:t>ACP-EU Water Partnerships and other international programmes of not-for-profit partnerships for capacity development</w:t>
      </w:r>
      <w:r w:rsidR="00015F93">
        <w:rPr>
          <w:lang w:val="en-GB"/>
        </w:rPr>
        <w:t xml:space="preserve">: </w:t>
      </w:r>
      <w:r w:rsidR="00015F93">
        <w:t>A comparison of</w:t>
      </w:r>
      <w:r w:rsidR="00015F93">
        <w:rPr>
          <w:lang w:val="en-GB"/>
        </w:rPr>
        <w:t xml:space="preserve"> institutional features</w:t>
      </w:r>
      <w:bookmarkEnd w:id="24"/>
    </w:p>
    <w:p w:rsidR="00041FA9" w:rsidRDefault="002D5674" w:rsidP="00015F93">
      <w:pPr>
        <w:jc w:val="both"/>
      </w:pPr>
      <w:r>
        <w:t xml:space="preserve">Tables 3, 4 and 5 below summarise </w:t>
      </w:r>
      <w:r w:rsidR="00C16D13">
        <w:t>the main institutional features of the ACP-EU Water Partnerships initiative and the international programmes of not-for-profit partnerships for capacity development developed under the Water Operators’ Partnership initiative</w:t>
      </w:r>
      <w:r>
        <w:t>.</w:t>
      </w:r>
      <w:r w:rsidR="00C16D13">
        <w:t xml:space="preserve"> </w:t>
      </w:r>
      <w:r>
        <w:t>Table 3 below indicates the r</w:t>
      </w:r>
      <w:r w:rsidR="00B175D1">
        <w:t>egional focus of all programmes</w:t>
      </w:r>
      <w:r>
        <w:t xml:space="preserve"> and</w:t>
      </w:r>
      <w:r w:rsidR="00B175D1">
        <w:t xml:space="preserve"> the scope and breadth of supported activities.</w:t>
      </w:r>
      <w:r>
        <w:t xml:space="preserve"> </w:t>
      </w:r>
      <w:r w:rsidR="00D36692">
        <w:t xml:space="preserve">All such programmes are programmes exclusively devoted to supporting not-for-profit partnerships in the water and sanitation sector, as indicated by their objectives. There is an overlap between the regional focus of most programmes, as different WOP platforms separately focus on Africa, the </w:t>
      </w:r>
      <w:smartTag w:uri="urn:schemas-microsoft-com:office:smarttags" w:element="place">
        <w:r w:rsidR="00D36692">
          <w:t>Caribbean</w:t>
        </w:r>
      </w:smartTag>
      <w:r w:rsidR="00D36692">
        <w:t xml:space="preserve"> and the Pacific regions. The exception is WOP-SEE which is dedicated to South East Europe.</w:t>
      </w:r>
      <w:r w:rsidR="00B175D1">
        <w:t xml:space="preserve"> </w:t>
      </w:r>
      <w:r w:rsidR="00FC7D3D">
        <w:t xml:space="preserve">The themes addressed by the different programmes provide an indication of the scope and breadth of supported activities. </w:t>
      </w:r>
      <w:r w:rsidR="00041FA9">
        <w:t>We distinguish between themes addressing traditional Operations and Management (O&amp;M) issues, mainly devoted to the technical aspects of service delivery, and less traditional themes concerned with water service governance and sustainable development.</w:t>
      </w:r>
    </w:p>
    <w:p w:rsidR="00041FA9" w:rsidRDefault="00041FA9" w:rsidP="00015F93">
      <w:pPr>
        <w:jc w:val="both"/>
      </w:pPr>
    </w:p>
    <w:p w:rsidR="00EA6F9D" w:rsidRDefault="00B2532E" w:rsidP="00B3114C">
      <w:pPr>
        <w:jc w:val="both"/>
      </w:pPr>
      <w:r>
        <w:lastRenderedPageBreak/>
        <w:t xml:space="preserve">Table </w:t>
      </w:r>
      <w:r w:rsidR="00766708">
        <w:t xml:space="preserve">3 below shows that of the four programmes, the ACP-EU Water Facility – Partnerships Initiative addresses the highest percentage of themes related to water governance and sustainable development, as opposed to traditional O&amp;M themes. </w:t>
      </w:r>
      <w:r>
        <w:t xml:space="preserve">Of the 16 themes addressed by the ACP-EU Water Facility – Partnerships Initiative, </w:t>
      </w:r>
      <w:r w:rsidR="00766708">
        <w:t xml:space="preserve">ten (or 62.5% of all themes) are devoted to water governance and sustainable development: good water governance, integrated water resources management, water resources protection, pollution prevention, assessing the state of water resources, assessing the need for infrastructure development, expanding access to the poor, participatory governance, awareness raising, and institutional support. The other </w:t>
      </w:r>
      <w:r>
        <w:t>six</w:t>
      </w:r>
      <w:r w:rsidR="00766708">
        <w:t xml:space="preserve"> themes</w:t>
      </w:r>
      <w:r>
        <w:t xml:space="preserve"> </w:t>
      </w:r>
      <w:r w:rsidR="00766708">
        <w:t xml:space="preserve">(or 37.5%) </w:t>
      </w:r>
      <w:r>
        <w:t xml:space="preserve">are typical O&amp;M themes: system maintenance and improvement, leakage reduction, water quality testing, improving efficiency in management, labour management tools, and accessing investment finance. </w:t>
      </w:r>
    </w:p>
    <w:p w:rsidR="00EA6F9D" w:rsidRDefault="00EA6F9D" w:rsidP="00B3114C">
      <w:pPr>
        <w:jc w:val="both"/>
      </w:pPr>
    </w:p>
    <w:p w:rsidR="00A17876" w:rsidRPr="00A17876" w:rsidRDefault="005E32A2" w:rsidP="00A17876">
      <w:pPr>
        <w:jc w:val="both"/>
      </w:pPr>
      <w:r>
        <w:t>Of the</w:t>
      </w:r>
      <w:r w:rsidR="00766708">
        <w:t xml:space="preserve"> seven themes addressed by WOP-Africa</w:t>
      </w:r>
      <w:r>
        <w:t>, two (or 28.6% of all themes) relate to governance and sustainable development: extension of service coverage according to demand, and improved infrastructure aiming at pro-poor service expansion. The other five themes (or 71.4%)</w:t>
      </w:r>
      <w:r w:rsidR="00766708">
        <w:t xml:space="preserve"> are traditional O&amp;M themes: </w:t>
      </w:r>
      <w:r w:rsidR="00677320">
        <w:t>operation cost coverage</w:t>
      </w:r>
      <w:r>
        <w:t xml:space="preserve">, collection ratio, non-revenue-water, continuity of service, and improved return on investment. </w:t>
      </w:r>
      <w:r w:rsidR="00B3114C">
        <w:t>Of the 25 themes addressed by WOP-LAC,</w:t>
      </w:r>
      <w:r w:rsidR="00816163" w:rsidRPr="007746B0">
        <w:rPr>
          <w:rStyle w:val="EndnoteReference"/>
          <w:rFonts w:eastAsia="Times New Roman" w:cs="Calibri"/>
          <w:lang w:eastAsia="en-GB"/>
        </w:rPr>
        <w:endnoteReference w:id="60"/>
      </w:r>
      <w:r w:rsidR="00B3114C">
        <w:t xml:space="preserve"> five (or 20% of all themes) relate to governance and sustainable development: expanding s</w:t>
      </w:r>
      <w:r w:rsidR="00B3114C" w:rsidRPr="0015331E">
        <w:t>ervices</w:t>
      </w:r>
      <w:r w:rsidR="00B3114C">
        <w:t xml:space="preserve"> to low income h</w:t>
      </w:r>
      <w:r w:rsidR="00B3114C" w:rsidRPr="0015331E">
        <w:t xml:space="preserve">ouseholds, </w:t>
      </w:r>
      <w:r w:rsidR="00B3114C">
        <w:t>public awareness and promotion of water services, high-consumption control, l</w:t>
      </w:r>
      <w:r w:rsidR="00B3114C" w:rsidRPr="0015331E">
        <w:t>ow-cost eco-sanitation</w:t>
      </w:r>
      <w:r w:rsidR="00B3114C">
        <w:t>, and w</w:t>
      </w:r>
      <w:r w:rsidR="00B3114C" w:rsidRPr="00B3114C">
        <w:t>ater source protection</w:t>
      </w:r>
      <w:r w:rsidR="00B3114C">
        <w:t>.</w:t>
      </w:r>
      <w:r w:rsidR="00760963">
        <w:t xml:space="preserve"> The other 20 themes (or 80%) are traditional O&amp;M themes: billing and revenue c</w:t>
      </w:r>
      <w:r w:rsidR="00760963" w:rsidRPr="00760963">
        <w:t>ollection</w:t>
      </w:r>
      <w:r w:rsidR="00760963">
        <w:t>,</w:t>
      </w:r>
      <w:r w:rsidR="00760963" w:rsidRPr="00760963">
        <w:t xml:space="preserve"> </w:t>
      </w:r>
      <w:r w:rsidR="00760963">
        <w:t>b</w:t>
      </w:r>
      <w:r w:rsidR="00760963" w:rsidRPr="00760963">
        <w:t>usi</w:t>
      </w:r>
      <w:r w:rsidR="00760963">
        <w:t>ness planning and financial m</w:t>
      </w:r>
      <w:r w:rsidR="00760963" w:rsidRPr="00760963">
        <w:t>anagement</w:t>
      </w:r>
      <w:r w:rsidR="00760963">
        <w:t>,</w:t>
      </w:r>
      <w:r w:rsidR="00816163" w:rsidRPr="00816163">
        <w:t xml:space="preserve"> </w:t>
      </w:r>
      <w:r w:rsidR="00816163">
        <w:t>customer r</w:t>
      </w:r>
      <w:r w:rsidR="00816163" w:rsidRPr="00760963">
        <w:t>elations</w:t>
      </w:r>
      <w:r w:rsidR="00816163">
        <w:t>, g</w:t>
      </w:r>
      <w:r w:rsidR="00816163" w:rsidRPr="00760963">
        <w:t>eo-referencing of water distribution network</w:t>
      </w:r>
      <w:r w:rsidR="00816163">
        <w:t>,</w:t>
      </w:r>
      <w:r w:rsidR="00760963">
        <w:t xml:space="preserve"> </w:t>
      </w:r>
      <w:r w:rsidR="008C19B5" w:rsidRPr="00760963">
        <w:t>energy efficiency</w:t>
      </w:r>
      <w:r w:rsidR="008C19B5">
        <w:t>, l</w:t>
      </w:r>
      <w:r w:rsidR="008C19B5" w:rsidRPr="00760963">
        <w:t>eak-detection and recording system</w:t>
      </w:r>
      <w:r w:rsidR="008C19B5">
        <w:t>,</w:t>
      </w:r>
      <w:r w:rsidR="008C19B5" w:rsidRPr="008C19B5">
        <w:rPr>
          <w:lang w:eastAsia="en-GB"/>
        </w:rPr>
        <w:t xml:space="preserve"> </w:t>
      </w:r>
      <w:r w:rsidR="008C19B5">
        <w:t>m</w:t>
      </w:r>
      <w:r w:rsidR="008C19B5" w:rsidRPr="00760963">
        <w:t>aintenance management</w:t>
      </w:r>
      <w:r w:rsidR="008C19B5">
        <w:t>, m</w:t>
      </w:r>
      <w:r w:rsidR="008C19B5" w:rsidRPr="00760963">
        <w:t>acro- and micro-metering</w:t>
      </w:r>
      <w:r w:rsidR="008C19B5">
        <w:t>,</w:t>
      </w:r>
      <w:r w:rsidR="008C19B5">
        <w:rPr>
          <w:lang w:eastAsia="en-GB"/>
        </w:rPr>
        <w:t xml:space="preserve"> </w:t>
      </w:r>
      <w:r w:rsidR="008C19B5">
        <w:t>m</w:t>
      </w:r>
      <w:r w:rsidR="008C19B5" w:rsidRPr="00760963">
        <w:t>anagement information systems</w:t>
      </w:r>
      <w:r w:rsidR="008C19B5">
        <w:t>,</w:t>
      </w:r>
      <w:r w:rsidR="008C19B5" w:rsidRPr="00760963">
        <w:t xml:space="preserve"> </w:t>
      </w:r>
      <w:r w:rsidR="008C19B5">
        <w:rPr>
          <w:lang w:eastAsia="en-GB"/>
        </w:rPr>
        <w:t>m</w:t>
      </w:r>
      <w:r w:rsidR="008C19B5" w:rsidRPr="00760963">
        <w:rPr>
          <w:lang w:eastAsia="en-GB"/>
        </w:rPr>
        <w:t>onitoring projects</w:t>
      </w:r>
      <w:r w:rsidR="008C19B5">
        <w:rPr>
          <w:lang w:eastAsia="en-GB"/>
        </w:rPr>
        <w:t>,</w:t>
      </w:r>
      <w:r w:rsidR="008C19B5" w:rsidRPr="008C19B5">
        <w:t xml:space="preserve"> </w:t>
      </w:r>
      <w:r w:rsidR="008C19B5">
        <w:t>Non-Revenue-Water m</w:t>
      </w:r>
      <w:r w:rsidR="008C19B5" w:rsidRPr="00760963">
        <w:t>anagement</w:t>
      </w:r>
      <w:r w:rsidR="008C19B5">
        <w:t xml:space="preserve">, </w:t>
      </w:r>
      <w:r w:rsidR="00EA6F9D">
        <w:t>operational c</w:t>
      </w:r>
      <w:r w:rsidR="00EA6F9D" w:rsidRPr="00760963">
        <w:t>ontrol</w:t>
      </w:r>
      <w:r w:rsidR="00EA6F9D">
        <w:t xml:space="preserve">, </w:t>
      </w:r>
      <w:r w:rsidR="008C19B5">
        <w:t>p</w:t>
      </w:r>
      <w:r w:rsidR="008C19B5" w:rsidRPr="00760963">
        <w:t>roduction and distribution of potable water</w:t>
      </w:r>
      <w:r w:rsidR="008C19B5">
        <w:t>, p</w:t>
      </w:r>
      <w:r w:rsidR="008C19B5" w:rsidRPr="00760963">
        <w:t>roject management</w:t>
      </w:r>
      <w:r w:rsidR="00EA6F9D">
        <w:t>, r</w:t>
      </w:r>
      <w:r w:rsidR="00EA6F9D" w:rsidRPr="00760963">
        <w:t>ecruitment system</w:t>
      </w:r>
      <w:r w:rsidR="00EA6F9D">
        <w:t>, r</w:t>
      </w:r>
      <w:r w:rsidR="00EA6F9D" w:rsidRPr="00760963">
        <w:t>esource optimization</w:t>
      </w:r>
      <w:r w:rsidR="00EA6F9D">
        <w:t>, r</w:t>
      </w:r>
      <w:r w:rsidR="00EA6F9D" w:rsidRPr="0015331E">
        <w:t>etention of qualified personnel,</w:t>
      </w:r>
      <w:r w:rsidR="00EA6F9D" w:rsidRPr="00EA6F9D">
        <w:t xml:space="preserve"> </w:t>
      </w:r>
      <w:r w:rsidR="00EA6F9D">
        <w:t>s</w:t>
      </w:r>
      <w:r w:rsidR="00EA6F9D" w:rsidRPr="00760963">
        <w:t>ludge treatment</w:t>
      </w:r>
      <w:r w:rsidR="00EA6F9D">
        <w:t xml:space="preserve">, </w:t>
      </w:r>
      <w:r w:rsidR="00EA6F9D" w:rsidRPr="00760963">
        <w:t>waste water collection and treatment</w:t>
      </w:r>
      <w:r w:rsidR="00EA6F9D">
        <w:t>, and water quality management a</w:t>
      </w:r>
      <w:r w:rsidR="00EA6F9D" w:rsidRPr="00760963">
        <w:t>utomation</w:t>
      </w:r>
      <w:r w:rsidR="00EA6F9D">
        <w:t>.</w:t>
      </w:r>
      <w:r w:rsidR="00EA6F9D" w:rsidRPr="0015331E">
        <w:t xml:space="preserve"> </w:t>
      </w:r>
      <w:r w:rsidR="00EA6F9D">
        <w:t xml:space="preserve">Of the 12 themes addressed by WaterLinks, three (or 25% of all themes) relate to governance and sustainable development: </w:t>
      </w:r>
      <w:r w:rsidR="00EA6F9D" w:rsidRPr="00A6068D">
        <w:rPr>
          <w:rFonts w:cs="Calibri"/>
        </w:rPr>
        <w:t>services provision to low-income communities;</w:t>
      </w:r>
      <w:r w:rsidR="00EA6F9D" w:rsidRPr="00EA6F9D">
        <w:rPr>
          <w:rFonts w:cs="Calibri"/>
        </w:rPr>
        <w:t xml:space="preserve"> </w:t>
      </w:r>
      <w:r w:rsidR="00EA6F9D" w:rsidRPr="00A6068D">
        <w:rPr>
          <w:rFonts w:cs="Calibri"/>
        </w:rPr>
        <w:t>WASH promotion;</w:t>
      </w:r>
      <w:r w:rsidR="00EA6F9D" w:rsidRPr="00EA6F9D">
        <w:rPr>
          <w:rFonts w:cs="Calibri"/>
        </w:rPr>
        <w:t xml:space="preserve"> </w:t>
      </w:r>
      <w:r w:rsidR="00EA6F9D" w:rsidRPr="00A6068D">
        <w:rPr>
          <w:rFonts w:cs="Calibri"/>
        </w:rPr>
        <w:t>climate</w:t>
      </w:r>
      <w:r w:rsidR="00EA6F9D">
        <w:rPr>
          <w:rFonts w:cs="Calibri"/>
        </w:rPr>
        <w:t xml:space="preserve"> change adaptation and proofing.</w:t>
      </w:r>
      <w:r w:rsidR="00EA6F9D" w:rsidRPr="00EA6F9D">
        <w:t xml:space="preserve"> </w:t>
      </w:r>
      <w:r w:rsidR="008E120A">
        <w:t>The other nine themes (or 75</w:t>
      </w:r>
      <w:r w:rsidR="00EA6F9D">
        <w:t>%) are traditional O&amp;M themes:</w:t>
      </w:r>
      <w:r w:rsidR="008E120A">
        <w:t xml:space="preserve"> </w:t>
      </w:r>
      <w:r w:rsidR="00EA6F9D" w:rsidRPr="00A6068D">
        <w:rPr>
          <w:rFonts w:cs="Calibri"/>
        </w:rPr>
        <w:t xml:space="preserve">asset management; </w:t>
      </w:r>
      <w:r w:rsidR="00EA6F9D">
        <w:rPr>
          <w:rFonts w:cs="Calibri"/>
        </w:rPr>
        <w:t>efficient energy use</w:t>
      </w:r>
      <w:r w:rsidR="00EA6F9D" w:rsidRPr="00A6068D">
        <w:rPr>
          <w:rFonts w:cs="Calibri"/>
        </w:rPr>
        <w:t>; continuous delivery of safe water (24/7); customer relations ma</w:t>
      </w:r>
      <w:r w:rsidR="00EA6F9D">
        <w:rPr>
          <w:rFonts w:cs="Calibri"/>
        </w:rPr>
        <w:t>nagement; water loss management;</w:t>
      </w:r>
      <w:r w:rsidR="00EA6F9D" w:rsidRPr="00A6068D">
        <w:rPr>
          <w:rFonts w:cs="Calibri"/>
        </w:rPr>
        <w:t xml:space="preserve"> septage management; sewerage services (collection, disposal and treatment); water quality management; planning and risk management.</w:t>
      </w:r>
      <w:r w:rsidR="00AC3023" w:rsidRPr="00AC3023">
        <w:t xml:space="preserve"> </w:t>
      </w:r>
      <w:r w:rsidR="00AC3023">
        <w:t xml:space="preserve">Of the </w:t>
      </w:r>
      <w:r w:rsidR="00082118">
        <w:t>four themes addressed by WOP-SEE</w:t>
      </w:r>
      <w:r w:rsidR="00AC3023">
        <w:t>,</w:t>
      </w:r>
      <w:r w:rsidR="00A17876" w:rsidRPr="00A17876">
        <w:rPr>
          <w:rStyle w:val="EndnoteReference"/>
          <w:rFonts w:eastAsia="Times New Roman" w:cs="Calibri"/>
          <w:lang w:eastAsia="en-GB"/>
        </w:rPr>
        <w:t xml:space="preserve"> </w:t>
      </w:r>
      <w:r w:rsidR="00A17876" w:rsidRPr="007746B0">
        <w:rPr>
          <w:rStyle w:val="EndnoteReference"/>
          <w:rFonts w:eastAsia="Times New Roman" w:cs="Calibri"/>
          <w:lang w:eastAsia="en-GB"/>
        </w:rPr>
        <w:endnoteReference w:id="61"/>
      </w:r>
      <w:r w:rsidR="00AC3023">
        <w:t xml:space="preserve"> </w:t>
      </w:r>
      <w:r w:rsidR="00A17876">
        <w:t xml:space="preserve">one (or 25% of all themes) relates to governance: </w:t>
      </w:r>
      <w:r w:rsidR="00A17876">
        <w:rPr>
          <w:rFonts w:cs="Verdana"/>
          <w:color w:val="000000"/>
        </w:rPr>
        <w:t>l</w:t>
      </w:r>
      <w:r w:rsidR="00A17876" w:rsidRPr="00A17876">
        <w:rPr>
          <w:rFonts w:cs="Verdana"/>
          <w:color w:val="000000"/>
        </w:rPr>
        <w:t>egislation training</w:t>
      </w:r>
      <w:r w:rsidR="00A17876">
        <w:rPr>
          <w:rFonts w:cs="Verdana"/>
          <w:color w:val="000000"/>
        </w:rPr>
        <w:t xml:space="preserve">. </w:t>
      </w:r>
      <w:r w:rsidR="00A17876">
        <w:t>The other three themes (or 75%) are traditional O&amp;M themes: b</w:t>
      </w:r>
      <w:r w:rsidR="00A17876" w:rsidRPr="00A17876">
        <w:rPr>
          <w:rFonts w:cs="Verdana"/>
          <w:color w:val="000000"/>
        </w:rPr>
        <w:t>enchmarking</w:t>
      </w:r>
      <w:r w:rsidR="00A17876">
        <w:rPr>
          <w:rFonts w:cs="Verdana"/>
          <w:color w:val="000000"/>
        </w:rPr>
        <w:t xml:space="preserve">, </w:t>
      </w:r>
      <w:r w:rsidR="00A17876" w:rsidRPr="00A17876">
        <w:rPr>
          <w:rFonts w:cs="Verdana"/>
          <w:color w:val="000000"/>
        </w:rPr>
        <w:t>water loss reduction</w:t>
      </w:r>
      <w:r w:rsidR="00A17876">
        <w:t xml:space="preserve">, </w:t>
      </w:r>
      <w:r w:rsidR="00A17876" w:rsidRPr="00A17876">
        <w:rPr>
          <w:rFonts w:cs="Verdana"/>
          <w:color w:val="000000"/>
        </w:rPr>
        <w:t>water and wastewater management</w:t>
      </w:r>
      <w:r w:rsidR="00A17876">
        <w:rPr>
          <w:rFonts w:cs="Verdana"/>
          <w:color w:val="000000"/>
        </w:rPr>
        <w:t>.</w:t>
      </w:r>
    </w:p>
    <w:p w:rsidR="00760963" w:rsidRPr="00760963" w:rsidRDefault="00760963" w:rsidP="00760963"/>
    <w:p w:rsidR="00CF3E9A" w:rsidRPr="00F26EB0" w:rsidRDefault="00CF3E9A" w:rsidP="00CF3E9A">
      <w:pPr>
        <w:pStyle w:val="Heading7"/>
      </w:pPr>
      <w:bookmarkStart w:id="25" w:name="_Toc331783576"/>
      <w:r>
        <w:t>Scope and breadth of international programmes of not-for-profit partnerships for capacity development in the water and sanitation sector</w:t>
      </w:r>
      <w:bookmarkEnd w:id="25"/>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260"/>
        <w:gridCol w:w="2977"/>
        <w:gridCol w:w="992"/>
        <w:gridCol w:w="1134"/>
      </w:tblGrid>
      <w:tr w:rsidR="00F03885" w:rsidRPr="00C80761" w:rsidTr="00F03885">
        <w:tc>
          <w:tcPr>
            <w:tcW w:w="1526" w:type="dxa"/>
          </w:tcPr>
          <w:p w:rsidR="00F03885" w:rsidRPr="00C80761" w:rsidRDefault="00F03885" w:rsidP="00F03885">
            <w:pPr>
              <w:rPr>
                <w:b/>
                <w:sz w:val="20"/>
                <w:szCs w:val="20"/>
              </w:rPr>
            </w:pPr>
            <w:r w:rsidRPr="00C80761">
              <w:rPr>
                <w:b/>
                <w:sz w:val="20"/>
                <w:szCs w:val="20"/>
              </w:rPr>
              <w:t>Programme</w:t>
            </w:r>
          </w:p>
        </w:tc>
        <w:tc>
          <w:tcPr>
            <w:tcW w:w="3260" w:type="dxa"/>
          </w:tcPr>
          <w:p w:rsidR="00F03885" w:rsidRPr="00C80761" w:rsidRDefault="00F03885" w:rsidP="00F03885">
            <w:pPr>
              <w:rPr>
                <w:b/>
                <w:sz w:val="20"/>
                <w:szCs w:val="20"/>
              </w:rPr>
            </w:pPr>
            <w:r w:rsidRPr="00C80761">
              <w:rPr>
                <w:b/>
                <w:sz w:val="20"/>
                <w:szCs w:val="20"/>
              </w:rPr>
              <w:t>Regional focus</w:t>
            </w:r>
          </w:p>
        </w:tc>
        <w:tc>
          <w:tcPr>
            <w:tcW w:w="2977" w:type="dxa"/>
          </w:tcPr>
          <w:p w:rsidR="00F03885" w:rsidRPr="00C80761" w:rsidRDefault="00F03885" w:rsidP="00F03885">
            <w:pPr>
              <w:rPr>
                <w:b/>
                <w:sz w:val="20"/>
                <w:szCs w:val="20"/>
              </w:rPr>
            </w:pPr>
            <w:r>
              <w:rPr>
                <w:b/>
                <w:sz w:val="20"/>
                <w:szCs w:val="20"/>
              </w:rPr>
              <w:t>Objective</w:t>
            </w:r>
          </w:p>
        </w:tc>
        <w:tc>
          <w:tcPr>
            <w:tcW w:w="992" w:type="dxa"/>
          </w:tcPr>
          <w:p w:rsidR="00F03885" w:rsidRDefault="00F03885" w:rsidP="00F03885">
            <w:pPr>
              <w:rPr>
                <w:b/>
                <w:sz w:val="20"/>
                <w:szCs w:val="20"/>
              </w:rPr>
            </w:pPr>
            <w:r>
              <w:rPr>
                <w:b/>
                <w:sz w:val="20"/>
                <w:szCs w:val="20"/>
              </w:rPr>
              <w:t>Themes</w:t>
            </w:r>
          </w:p>
          <w:p w:rsidR="00F03885" w:rsidRPr="00C80761" w:rsidRDefault="00F03885" w:rsidP="00F03885">
            <w:pPr>
              <w:rPr>
                <w:b/>
                <w:sz w:val="20"/>
                <w:szCs w:val="20"/>
              </w:rPr>
            </w:pPr>
            <w:r>
              <w:rPr>
                <w:b/>
                <w:sz w:val="20"/>
                <w:szCs w:val="20"/>
              </w:rPr>
              <w:t>(WG/SD)</w:t>
            </w:r>
          </w:p>
        </w:tc>
        <w:tc>
          <w:tcPr>
            <w:tcW w:w="1134" w:type="dxa"/>
          </w:tcPr>
          <w:p w:rsidR="00F03885" w:rsidRDefault="00F03885" w:rsidP="00F03885">
            <w:pPr>
              <w:rPr>
                <w:b/>
                <w:sz w:val="20"/>
                <w:szCs w:val="20"/>
              </w:rPr>
            </w:pPr>
            <w:r>
              <w:rPr>
                <w:b/>
                <w:sz w:val="20"/>
                <w:szCs w:val="20"/>
              </w:rPr>
              <w:t>Themes</w:t>
            </w:r>
          </w:p>
          <w:p w:rsidR="00F03885" w:rsidRPr="00C80761" w:rsidRDefault="00F03885" w:rsidP="00F03885">
            <w:pPr>
              <w:rPr>
                <w:b/>
                <w:sz w:val="20"/>
                <w:szCs w:val="20"/>
              </w:rPr>
            </w:pPr>
            <w:r>
              <w:rPr>
                <w:b/>
                <w:sz w:val="20"/>
                <w:szCs w:val="20"/>
              </w:rPr>
              <w:t>(O&amp;M)</w:t>
            </w:r>
          </w:p>
        </w:tc>
      </w:tr>
      <w:tr w:rsidR="00F03885" w:rsidRPr="00C80761" w:rsidTr="00F03885">
        <w:trPr>
          <w:trHeight w:val="244"/>
        </w:trPr>
        <w:tc>
          <w:tcPr>
            <w:tcW w:w="1526" w:type="dxa"/>
            <w:vMerge w:val="restart"/>
          </w:tcPr>
          <w:p w:rsidR="00F03885" w:rsidRDefault="00F03885" w:rsidP="00F03885">
            <w:pPr>
              <w:rPr>
                <w:sz w:val="20"/>
                <w:szCs w:val="20"/>
              </w:rPr>
            </w:pPr>
            <w:r>
              <w:rPr>
                <w:sz w:val="20"/>
                <w:szCs w:val="20"/>
              </w:rPr>
              <w:t>ACP-EU Water Facility – Partnerships Initiative</w:t>
            </w:r>
          </w:p>
        </w:tc>
        <w:tc>
          <w:tcPr>
            <w:tcW w:w="3260" w:type="dxa"/>
            <w:vMerge w:val="restart"/>
          </w:tcPr>
          <w:p w:rsidR="00F03885" w:rsidRDefault="00F03885" w:rsidP="00F03885">
            <w:pPr>
              <w:rPr>
                <w:sz w:val="20"/>
                <w:szCs w:val="20"/>
              </w:rPr>
            </w:pPr>
            <w:r>
              <w:rPr>
                <w:sz w:val="20"/>
                <w:szCs w:val="20"/>
              </w:rPr>
              <w:t xml:space="preserve">Africa </w:t>
            </w:r>
            <w:smartTag w:uri="urn:schemas-microsoft-com:office:smarttags" w:element="place">
              <w:r>
                <w:rPr>
                  <w:sz w:val="20"/>
                  <w:szCs w:val="20"/>
                </w:rPr>
                <w:t>Caribbean</w:t>
              </w:r>
            </w:smartTag>
            <w:r>
              <w:rPr>
                <w:sz w:val="20"/>
                <w:szCs w:val="20"/>
              </w:rPr>
              <w:t xml:space="preserve"> Pacific</w:t>
            </w:r>
          </w:p>
        </w:tc>
        <w:tc>
          <w:tcPr>
            <w:tcW w:w="2977" w:type="dxa"/>
            <w:vMerge w:val="restart"/>
          </w:tcPr>
          <w:p w:rsidR="00F03885" w:rsidRPr="00942A2F" w:rsidRDefault="00F03885" w:rsidP="00F03885">
            <w:pPr>
              <w:rPr>
                <w:sz w:val="20"/>
                <w:szCs w:val="20"/>
              </w:rPr>
            </w:pPr>
            <w:r>
              <w:rPr>
                <w:sz w:val="20"/>
                <w:szCs w:val="20"/>
              </w:rPr>
              <w:t>Improve</w:t>
            </w:r>
            <w:r w:rsidRPr="00942A2F">
              <w:rPr>
                <w:sz w:val="20"/>
                <w:szCs w:val="20"/>
              </w:rPr>
              <w:t xml:space="preserve"> water governance and sustainable</w:t>
            </w:r>
            <w:r>
              <w:rPr>
                <w:sz w:val="20"/>
                <w:szCs w:val="20"/>
              </w:rPr>
              <w:t xml:space="preserve"> water</w:t>
            </w:r>
            <w:r w:rsidRPr="00942A2F">
              <w:rPr>
                <w:sz w:val="20"/>
                <w:szCs w:val="20"/>
              </w:rPr>
              <w:t xml:space="preserve"> development</w:t>
            </w:r>
          </w:p>
        </w:tc>
        <w:tc>
          <w:tcPr>
            <w:tcW w:w="992" w:type="dxa"/>
            <w:vMerge w:val="restart"/>
          </w:tcPr>
          <w:p w:rsidR="00F03885" w:rsidRDefault="00F03885" w:rsidP="00F03885">
            <w:pPr>
              <w:rPr>
                <w:sz w:val="20"/>
                <w:szCs w:val="20"/>
              </w:rPr>
            </w:pPr>
            <w:r w:rsidRPr="00BD04F1">
              <w:rPr>
                <w:sz w:val="20"/>
                <w:szCs w:val="20"/>
              </w:rPr>
              <w:t>62.5%</w:t>
            </w:r>
          </w:p>
          <w:p w:rsidR="00F03885" w:rsidRDefault="00F03885" w:rsidP="00F03885">
            <w:pPr>
              <w:rPr>
                <w:rFonts w:cs="Calibri"/>
                <w:sz w:val="20"/>
                <w:szCs w:val="20"/>
              </w:rPr>
            </w:pPr>
            <w:r>
              <w:rPr>
                <w:sz w:val="20"/>
                <w:szCs w:val="20"/>
              </w:rPr>
              <w:t>(10/16</w:t>
            </w:r>
            <w:r w:rsidRPr="00BD04F1">
              <w:rPr>
                <w:sz w:val="20"/>
                <w:szCs w:val="20"/>
              </w:rPr>
              <w:t>)</w:t>
            </w:r>
          </w:p>
        </w:tc>
        <w:tc>
          <w:tcPr>
            <w:tcW w:w="1134" w:type="dxa"/>
            <w:vMerge w:val="restart"/>
          </w:tcPr>
          <w:p w:rsidR="00F03885" w:rsidRDefault="00F03885" w:rsidP="00F03885">
            <w:pPr>
              <w:rPr>
                <w:sz w:val="20"/>
                <w:szCs w:val="20"/>
              </w:rPr>
            </w:pPr>
            <w:r w:rsidRPr="00BD04F1">
              <w:rPr>
                <w:sz w:val="20"/>
                <w:szCs w:val="20"/>
              </w:rPr>
              <w:t>37.5%</w:t>
            </w:r>
          </w:p>
          <w:p w:rsidR="00F03885" w:rsidRDefault="00F03885" w:rsidP="00F03885">
            <w:pPr>
              <w:rPr>
                <w:sz w:val="20"/>
                <w:szCs w:val="20"/>
              </w:rPr>
            </w:pPr>
            <w:r>
              <w:rPr>
                <w:sz w:val="20"/>
                <w:szCs w:val="20"/>
              </w:rPr>
              <w:t>(6/16</w:t>
            </w:r>
            <w:r w:rsidRPr="00BD04F1">
              <w:rPr>
                <w:sz w:val="20"/>
                <w:szCs w:val="20"/>
              </w:rPr>
              <w:t>)</w:t>
            </w:r>
          </w:p>
        </w:tc>
      </w:tr>
      <w:tr w:rsidR="00F03885" w:rsidRPr="00C80761" w:rsidTr="00F03885">
        <w:trPr>
          <w:trHeight w:val="244"/>
        </w:trPr>
        <w:tc>
          <w:tcPr>
            <w:tcW w:w="1526" w:type="dxa"/>
            <w:vMerge/>
          </w:tcPr>
          <w:p w:rsidR="00F03885" w:rsidRDefault="00F03885" w:rsidP="00F03885">
            <w:pPr>
              <w:rPr>
                <w:sz w:val="20"/>
                <w:szCs w:val="20"/>
              </w:rPr>
            </w:pPr>
          </w:p>
        </w:tc>
        <w:tc>
          <w:tcPr>
            <w:tcW w:w="3260" w:type="dxa"/>
            <w:vMerge/>
          </w:tcPr>
          <w:p w:rsidR="00F03885" w:rsidRDefault="00F03885" w:rsidP="00F03885">
            <w:pPr>
              <w:rPr>
                <w:sz w:val="20"/>
                <w:szCs w:val="20"/>
              </w:rPr>
            </w:pPr>
          </w:p>
        </w:tc>
        <w:tc>
          <w:tcPr>
            <w:tcW w:w="2977" w:type="dxa"/>
            <w:vMerge/>
          </w:tcPr>
          <w:p w:rsidR="00F03885" w:rsidRDefault="00F03885" w:rsidP="00F03885">
            <w:pPr>
              <w:rPr>
                <w:sz w:val="20"/>
                <w:szCs w:val="20"/>
              </w:rPr>
            </w:pPr>
          </w:p>
        </w:tc>
        <w:tc>
          <w:tcPr>
            <w:tcW w:w="992" w:type="dxa"/>
            <w:vMerge/>
          </w:tcPr>
          <w:p w:rsidR="00F03885" w:rsidRDefault="00F03885" w:rsidP="00F03885">
            <w:pPr>
              <w:rPr>
                <w:rFonts w:cs="Calibri"/>
                <w:sz w:val="20"/>
                <w:szCs w:val="20"/>
              </w:rPr>
            </w:pPr>
          </w:p>
        </w:tc>
        <w:tc>
          <w:tcPr>
            <w:tcW w:w="1134" w:type="dxa"/>
            <w:vMerge/>
          </w:tcPr>
          <w:p w:rsidR="00F03885" w:rsidRDefault="00F03885" w:rsidP="00F03885">
            <w:pPr>
              <w:rPr>
                <w:sz w:val="20"/>
                <w:szCs w:val="20"/>
              </w:rPr>
            </w:pPr>
          </w:p>
        </w:tc>
      </w:tr>
      <w:tr w:rsidR="005E32A2" w:rsidRPr="00C80761" w:rsidTr="00F03885">
        <w:tc>
          <w:tcPr>
            <w:tcW w:w="1526" w:type="dxa"/>
          </w:tcPr>
          <w:p w:rsidR="005E32A2" w:rsidRPr="00C80761" w:rsidRDefault="005E32A2" w:rsidP="00F03885">
            <w:pPr>
              <w:rPr>
                <w:sz w:val="20"/>
                <w:szCs w:val="20"/>
              </w:rPr>
            </w:pPr>
            <w:r>
              <w:rPr>
                <w:sz w:val="20"/>
                <w:szCs w:val="20"/>
              </w:rPr>
              <w:t>WOP-Africa</w:t>
            </w:r>
          </w:p>
        </w:tc>
        <w:tc>
          <w:tcPr>
            <w:tcW w:w="3260" w:type="dxa"/>
          </w:tcPr>
          <w:p w:rsidR="005E32A2" w:rsidRPr="00C80761" w:rsidRDefault="005E32A2" w:rsidP="00F03885">
            <w:pPr>
              <w:rPr>
                <w:sz w:val="20"/>
                <w:szCs w:val="20"/>
              </w:rPr>
            </w:pPr>
            <w:smartTag w:uri="urn:schemas-microsoft-com:office:smarttags" w:element="place">
              <w:r>
                <w:rPr>
                  <w:sz w:val="20"/>
                  <w:szCs w:val="20"/>
                </w:rPr>
                <w:t>Africa</w:t>
              </w:r>
            </w:smartTag>
          </w:p>
        </w:tc>
        <w:tc>
          <w:tcPr>
            <w:tcW w:w="2977" w:type="dxa"/>
          </w:tcPr>
          <w:p w:rsidR="005E32A2" w:rsidRPr="00C80761" w:rsidRDefault="005E32A2" w:rsidP="00F03885">
            <w:pPr>
              <w:rPr>
                <w:sz w:val="20"/>
                <w:szCs w:val="20"/>
              </w:rPr>
            </w:pPr>
            <w:r>
              <w:rPr>
                <w:sz w:val="20"/>
                <w:szCs w:val="20"/>
              </w:rPr>
              <w:t>Improve efficiency to achieve the MDGs on water</w:t>
            </w:r>
          </w:p>
        </w:tc>
        <w:tc>
          <w:tcPr>
            <w:tcW w:w="992" w:type="dxa"/>
          </w:tcPr>
          <w:p w:rsidR="005E32A2" w:rsidRDefault="005E32A2" w:rsidP="00760963">
            <w:pPr>
              <w:rPr>
                <w:sz w:val="20"/>
                <w:szCs w:val="20"/>
              </w:rPr>
            </w:pPr>
            <w:r>
              <w:rPr>
                <w:sz w:val="20"/>
                <w:szCs w:val="20"/>
              </w:rPr>
              <w:t xml:space="preserve">28.6% </w:t>
            </w:r>
          </w:p>
          <w:p w:rsidR="005E32A2" w:rsidRPr="00C80761" w:rsidRDefault="005E32A2" w:rsidP="00760963">
            <w:pPr>
              <w:rPr>
                <w:sz w:val="20"/>
                <w:szCs w:val="20"/>
              </w:rPr>
            </w:pPr>
            <w:r>
              <w:rPr>
                <w:sz w:val="20"/>
                <w:szCs w:val="20"/>
              </w:rPr>
              <w:t>(2/7)</w:t>
            </w:r>
          </w:p>
        </w:tc>
        <w:tc>
          <w:tcPr>
            <w:tcW w:w="1134" w:type="dxa"/>
          </w:tcPr>
          <w:p w:rsidR="005E32A2" w:rsidRDefault="005E32A2" w:rsidP="00F03885">
            <w:pPr>
              <w:rPr>
                <w:sz w:val="20"/>
                <w:szCs w:val="20"/>
              </w:rPr>
            </w:pPr>
            <w:r>
              <w:rPr>
                <w:sz w:val="20"/>
                <w:szCs w:val="20"/>
              </w:rPr>
              <w:t xml:space="preserve">71.4% </w:t>
            </w:r>
          </w:p>
          <w:p w:rsidR="005E32A2" w:rsidRPr="00C80761" w:rsidRDefault="005E32A2" w:rsidP="00F03885">
            <w:pPr>
              <w:rPr>
                <w:sz w:val="20"/>
                <w:szCs w:val="20"/>
              </w:rPr>
            </w:pPr>
            <w:r>
              <w:rPr>
                <w:sz w:val="20"/>
                <w:szCs w:val="20"/>
              </w:rPr>
              <w:t>(5/7)</w:t>
            </w:r>
          </w:p>
        </w:tc>
      </w:tr>
      <w:tr w:rsidR="00B3114C" w:rsidRPr="00C80761" w:rsidTr="00F03885">
        <w:tc>
          <w:tcPr>
            <w:tcW w:w="1526" w:type="dxa"/>
          </w:tcPr>
          <w:p w:rsidR="00B3114C" w:rsidRDefault="00B3114C" w:rsidP="00F03885">
            <w:pPr>
              <w:rPr>
                <w:sz w:val="20"/>
                <w:szCs w:val="20"/>
              </w:rPr>
            </w:pPr>
            <w:r>
              <w:rPr>
                <w:sz w:val="20"/>
                <w:szCs w:val="20"/>
              </w:rPr>
              <w:t>WOP-LAC</w:t>
            </w:r>
          </w:p>
        </w:tc>
        <w:tc>
          <w:tcPr>
            <w:tcW w:w="3260" w:type="dxa"/>
          </w:tcPr>
          <w:p w:rsidR="00B3114C" w:rsidRPr="00C80761" w:rsidRDefault="00B3114C" w:rsidP="00F03885">
            <w:pPr>
              <w:rPr>
                <w:sz w:val="20"/>
                <w:szCs w:val="20"/>
              </w:rPr>
            </w:pPr>
            <w:r>
              <w:rPr>
                <w:sz w:val="20"/>
                <w:szCs w:val="20"/>
              </w:rPr>
              <w:t>Latin America &amp; Caribbean</w:t>
            </w:r>
          </w:p>
        </w:tc>
        <w:tc>
          <w:tcPr>
            <w:tcW w:w="2977" w:type="dxa"/>
          </w:tcPr>
          <w:p w:rsidR="00B3114C" w:rsidRPr="00AB48D6" w:rsidRDefault="00B3114C" w:rsidP="00F03885">
            <w:pPr>
              <w:rPr>
                <w:sz w:val="20"/>
                <w:szCs w:val="20"/>
              </w:rPr>
            </w:pPr>
            <w:r w:rsidRPr="00AB48D6">
              <w:rPr>
                <w:sz w:val="20"/>
                <w:szCs w:val="20"/>
              </w:rPr>
              <w:t xml:space="preserve">Share water utilities knowledge </w:t>
            </w:r>
          </w:p>
        </w:tc>
        <w:tc>
          <w:tcPr>
            <w:tcW w:w="992" w:type="dxa"/>
          </w:tcPr>
          <w:p w:rsidR="00B3114C" w:rsidRDefault="00B3114C" w:rsidP="00760963">
            <w:pPr>
              <w:rPr>
                <w:sz w:val="20"/>
                <w:szCs w:val="20"/>
              </w:rPr>
            </w:pPr>
            <w:r>
              <w:rPr>
                <w:sz w:val="20"/>
                <w:szCs w:val="20"/>
              </w:rPr>
              <w:t xml:space="preserve">20% </w:t>
            </w:r>
          </w:p>
          <w:p w:rsidR="00B3114C" w:rsidRPr="00C80761" w:rsidRDefault="00B3114C" w:rsidP="00760963">
            <w:pPr>
              <w:rPr>
                <w:sz w:val="20"/>
                <w:szCs w:val="20"/>
              </w:rPr>
            </w:pPr>
            <w:r>
              <w:rPr>
                <w:sz w:val="20"/>
                <w:szCs w:val="20"/>
              </w:rPr>
              <w:t>(5/25)</w:t>
            </w:r>
          </w:p>
        </w:tc>
        <w:tc>
          <w:tcPr>
            <w:tcW w:w="1134" w:type="dxa"/>
          </w:tcPr>
          <w:p w:rsidR="00B3114C" w:rsidRDefault="00B3114C" w:rsidP="00F03885">
            <w:pPr>
              <w:rPr>
                <w:sz w:val="20"/>
                <w:szCs w:val="20"/>
              </w:rPr>
            </w:pPr>
            <w:r>
              <w:rPr>
                <w:sz w:val="20"/>
                <w:szCs w:val="20"/>
              </w:rPr>
              <w:t xml:space="preserve">80% </w:t>
            </w:r>
          </w:p>
          <w:p w:rsidR="00B3114C" w:rsidRPr="00C80761" w:rsidRDefault="00B3114C" w:rsidP="00F03885">
            <w:pPr>
              <w:rPr>
                <w:sz w:val="20"/>
                <w:szCs w:val="20"/>
              </w:rPr>
            </w:pPr>
            <w:r>
              <w:rPr>
                <w:sz w:val="20"/>
                <w:szCs w:val="20"/>
              </w:rPr>
              <w:t>(20/25)</w:t>
            </w:r>
          </w:p>
        </w:tc>
      </w:tr>
      <w:tr w:rsidR="00F03885" w:rsidRPr="00C80761" w:rsidTr="00F03885">
        <w:tc>
          <w:tcPr>
            <w:tcW w:w="1526" w:type="dxa"/>
          </w:tcPr>
          <w:p w:rsidR="00F03885" w:rsidRPr="00C80761" w:rsidRDefault="00F03885" w:rsidP="00F03885">
            <w:pPr>
              <w:rPr>
                <w:sz w:val="20"/>
                <w:szCs w:val="20"/>
              </w:rPr>
            </w:pPr>
            <w:r>
              <w:rPr>
                <w:sz w:val="20"/>
                <w:szCs w:val="20"/>
              </w:rPr>
              <w:t>WaterLinks</w:t>
            </w:r>
          </w:p>
        </w:tc>
        <w:tc>
          <w:tcPr>
            <w:tcW w:w="3260" w:type="dxa"/>
          </w:tcPr>
          <w:p w:rsidR="00F03885" w:rsidRPr="00C80761" w:rsidRDefault="00F03885" w:rsidP="00F03885">
            <w:pPr>
              <w:rPr>
                <w:sz w:val="20"/>
                <w:szCs w:val="20"/>
              </w:rPr>
            </w:pPr>
            <w:smartTag w:uri="urn:schemas-microsoft-com:office:smarttags" w:element="place">
              <w:r>
                <w:rPr>
                  <w:sz w:val="20"/>
                  <w:szCs w:val="20"/>
                </w:rPr>
                <w:t>Asia</w:t>
              </w:r>
            </w:smartTag>
            <w:r>
              <w:rPr>
                <w:sz w:val="20"/>
                <w:szCs w:val="20"/>
              </w:rPr>
              <w:t xml:space="preserve"> and Pacific</w:t>
            </w:r>
          </w:p>
        </w:tc>
        <w:tc>
          <w:tcPr>
            <w:tcW w:w="2977" w:type="dxa"/>
          </w:tcPr>
          <w:p w:rsidR="00F03885" w:rsidRPr="00D23F85" w:rsidRDefault="00F03885" w:rsidP="00F03885">
            <w:pPr>
              <w:rPr>
                <w:rFonts w:cs="Calibri"/>
                <w:sz w:val="20"/>
                <w:szCs w:val="20"/>
              </w:rPr>
            </w:pPr>
            <w:r w:rsidRPr="00D23F85">
              <w:rPr>
                <w:rFonts w:eastAsia="Times New Roman" w:cs="Calibri"/>
                <w:sz w:val="20"/>
                <w:szCs w:val="20"/>
                <w:lang w:eastAsia="en-GB"/>
              </w:rPr>
              <w:t>Enhance and expand access to urban water and sanitation</w:t>
            </w:r>
          </w:p>
        </w:tc>
        <w:tc>
          <w:tcPr>
            <w:tcW w:w="992" w:type="dxa"/>
          </w:tcPr>
          <w:p w:rsidR="00F03885" w:rsidRPr="00C80761" w:rsidRDefault="00F03885" w:rsidP="00F03885">
            <w:pPr>
              <w:rPr>
                <w:sz w:val="20"/>
                <w:szCs w:val="20"/>
              </w:rPr>
            </w:pPr>
            <w:r>
              <w:rPr>
                <w:sz w:val="20"/>
                <w:szCs w:val="20"/>
              </w:rPr>
              <w:t>25% (3/12)</w:t>
            </w:r>
          </w:p>
        </w:tc>
        <w:tc>
          <w:tcPr>
            <w:tcW w:w="1134" w:type="dxa"/>
          </w:tcPr>
          <w:p w:rsidR="00F03885" w:rsidRDefault="00F03885" w:rsidP="00F03885">
            <w:pPr>
              <w:rPr>
                <w:sz w:val="20"/>
                <w:szCs w:val="20"/>
              </w:rPr>
            </w:pPr>
            <w:r>
              <w:rPr>
                <w:sz w:val="20"/>
                <w:szCs w:val="20"/>
              </w:rPr>
              <w:t xml:space="preserve">75% </w:t>
            </w:r>
          </w:p>
          <w:p w:rsidR="00F03885" w:rsidRPr="00C80761" w:rsidRDefault="00F03885" w:rsidP="00F03885">
            <w:pPr>
              <w:rPr>
                <w:sz w:val="20"/>
                <w:szCs w:val="20"/>
              </w:rPr>
            </w:pPr>
            <w:r>
              <w:rPr>
                <w:sz w:val="20"/>
                <w:szCs w:val="20"/>
              </w:rPr>
              <w:t>(9/12)</w:t>
            </w:r>
          </w:p>
        </w:tc>
      </w:tr>
      <w:tr w:rsidR="00F03885" w:rsidRPr="00C80761" w:rsidTr="00F03885">
        <w:tc>
          <w:tcPr>
            <w:tcW w:w="1526" w:type="dxa"/>
          </w:tcPr>
          <w:p w:rsidR="00F03885" w:rsidRDefault="00F03885" w:rsidP="00F03885">
            <w:pPr>
              <w:rPr>
                <w:sz w:val="20"/>
                <w:szCs w:val="20"/>
              </w:rPr>
            </w:pPr>
            <w:r>
              <w:rPr>
                <w:sz w:val="20"/>
                <w:szCs w:val="20"/>
              </w:rPr>
              <w:t>WOP-SEE</w:t>
            </w:r>
          </w:p>
        </w:tc>
        <w:tc>
          <w:tcPr>
            <w:tcW w:w="3260" w:type="dxa"/>
          </w:tcPr>
          <w:p w:rsidR="00F03885" w:rsidRDefault="00F03885" w:rsidP="00F03885">
            <w:pPr>
              <w:rPr>
                <w:sz w:val="20"/>
                <w:szCs w:val="20"/>
              </w:rPr>
            </w:pPr>
            <w:r>
              <w:rPr>
                <w:sz w:val="20"/>
                <w:szCs w:val="20"/>
              </w:rPr>
              <w:t xml:space="preserve">South </w:t>
            </w:r>
            <w:smartTag w:uri="urn:schemas-microsoft-com:office:smarttags" w:element="place">
              <w:r>
                <w:rPr>
                  <w:sz w:val="20"/>
                  <w:szCs w:val="20"/>
                </w:rPr>
                <w:t>East Europe</w:t>
              </w:r>
            </w:smartTag>
          </w:p>
        </w:tc>
        <w:tc>
          <w:tcPr>
            <w:tcW w:w="2977" w:type="dxa"/>
          </w:tcPr>
          <w:p w:rsidR="00F03885" w:rsidRPr="006647BC" w:rsidRDefault="00F03885" w:rsidP="00F03885">
            <w:pPr>
              <w:rPr>
                <w:rFonts w:cs="Calibri"/>
                <w:sz w:val="20"/>
                <w:szCs w:val="20"/>
              </w:rPr>
            </w:pPr>
            <w:r w:rsidRPr="006647BC">
              <w:rPr>
                <w:rFonts w:eastAsia="Times New Roman" w:cs="Calibri"/>
                <w:sz w:val="20"/>
                <w:szCs w:val="20"/>
                <w:lang w:eastAsia="en-GB"/>
              </w:rPr>
              <w:t>Better services for all</w:t>
            </w:r>
          </w:p>
        </w:tc>
        <w:tc>
          <w:tcPr>
            <w:tcW w:w="992" w:type="dxa"/>
          </w:tcPr>
          <w:p w:rsidR="00F03885" w:rsidRPr="00C80761" w:rsidRDefault="00A17876" w:rsidP="00F03885">
            <w:pPr>
              <w:rPr>
                <w:sz w:val="20"/>
                <w:szCs w:val="20"/>
              </w:rPr>
            </w:pPr>
            <w:r>
              <w:rPr>
                <w:sz w:val="20"/>
                <w:szCs w:val="20"/>
              </w:rPr>
              <w:t>25</w:t>
            </w:r>
            <w:r w:rsidR="00F03885">
              <w:rPr>
                <w:sz w:val="20"/>
                <w:szCs w:val="20"/>
              </w:rPr>
              <w:t xml:space="preserve">% </w:t>
            </w:r>
            <w:r>
              <w:rPr>
                <w:sz w:val="20"/>
                <w:szCs w:val="20"/>
              </w:rPr>
              <w:t>(1/4</w:t>
            </w:r>
            <w:r w:rsidR="00F03885">
              <w:rPr>
                <w:sz w:val="20"/>
                <w:szCs w:val="20"/>
              </w:rPr>
              <w:t>)</w:t>
            </w:r>
          </w:p>
        </w:tc>
        <w:tc>
          <w:tcPr>
            <w:tcW w:w="1134" w:type="dxa"/>
          </w:tcPr>
          <w:p w:rsidR="00A17876" w:rsidRDefault="00A17876" w:rsidP="00F03885">
            <w:pPr>
              <w:rPr>
                <w:sz w:val="20"/>
                <w:szCs w:val="20"/>
              </w:rPr>
            </w:pPr>
            <w:r>
              <w:rPr>
                <w:sz w:val="20"/>
                <w:szCs w:val="20"/>
              </w:rPr>
              <w:t xml:space="preserve">75% </w:t>
            </w:r>
          </w:p>
          <w:p w:rsidR="00F03885" w:rsidRPr="00C80761" w:rsidRDefault="00A17876" w:rsidP="00F03885">
            <w:pPr>
              <w:rPr>
                <w:sz w:val="20"/>
                <w:szCs w:val="20"/>
              </w:rPr>
            </w:pPr>
            <w:r>
              <w:rPr>
                <w:sz w:val="20"/>
                <w:szCs w:val="20"/>
              </w:rPr>
              <w:t>(3/4</w:t>
            </w:r>
            <w:r w:rsidR="00F03885">
              <w:rPr>
                <w:sz w:val="20"/>
                <w:szCs w:val="20"/>
              </w:rPr>
              <w:t>)</w:t>
            </w:r>
          </w:p>
        </w:tc>
      </w:tr>
    </w:tbl>
    <w:p w:rsidR="00F03885" w:rsidRPr="00B3114C" w:rsidRDefault="00F03885" w:rsidP="00F03885">
      <w:pPr>
        <w:jc w:val="both"/>
      </w:pPr>
      <w:r w:rsidRPr="00766708">
        <w:t xml:space="preserve">Sources: </w:t>
      </w:r>
      <w:r w:rsidR="00766708" w:rsidRPr="00766708">
        <w:t xml:space="preserve">Annex III; Annex IV; </w:t>
      </w:r>
      <w:r w:rsidR="00766708" w:rsidRPr="00766708">
        <w:rPr>
          <w:rFonts w:cs="Arial"/>
        </w:rPr>
        <w:t xml:space="preserve">African Water Facility (2009) African Water Association (AfWA): Water Operators Partnership (WOP) </w:t>
      </w:r>
      <w:smartTag w:uri="urn:schemas-microsoft-com:office:smarttags" w:element="place">
        <w:r w:rsidR="00766708" w:rsidRPr="00766708">
          <w:rPr>
            <w:rFonts w:cs="Arial"/>
          </w:rPr>
          <w:t>Africa</w:t>
        </w:r>
      </w:smartTag>
      <w:r w:rsidR="00766708" w:rsidRPr="00766708">
        <w:rPr>
          <w:rFonts w:cs="Arial"/>
        </w:rPr>
        <w:t xml:space="preserve"> Peer-to-peer Learning and Benchmarking. Appraisal Report, October 2009</w:t>
      </w:r>
      <w:r w:rsidRPr="00B3114C">
        <w:t>.</w:t>
      </w:r>
    </w:p>
    <w:p w:rsidR="00F03885" w:rsidRPr="00B3114C" w:rsidRDefault="00F03885" w:rsidP="00F03885">
      <w:pPr>
        <w:jc w:val="both"/>
      </w:pPr>
    </w:p>
    <w:p w:rsidR="00611D58" w:rsidRDefault="00DA6BB3" w:rsidP="00015F93">
      <w:pPr>
        <w:jc w:val="both"/>
      </w:pPr>
      <w:r>
        <w:lastRenderedPageBreak/>
        <w:t xml:space="preserve">Table 4 below </w:t>
      </w:r>
      <w:r w:rsidR="00D90A0D">
        <w:t xml:space="preserve">illustrates the extent of resource mobilisation by </w:t>
      </w:r>
      <w:r w:rsidR="00E820A1">
        <w:t xml:space="preserve">the ACP-EU Water Facility – Partnerships Initiative compared with the four WOP regional platforms. Resource mobilisation indicators are the timeframe of the programmes, the approved budget, the amount of funds allocated to ongoing partnerships, the total amount of funds mobilised from internal and external funding sources, the number of partnerships funded or facilitated by the programme, and the expected or actual duration of the funded partnerships.  </w:t>
      </w:r>
      <w:r w:rsidR="00611D58">
        <w:t xml:space="preserve">When comparing the </w:t>
      </w:r>
      <w:r w:rsidR="00E820A1">
        <w:t>timeframe</w:t>
      </w:r>
      <w:r w:rsidR="00611D58">
        <w:t xml:space="preserve"> of all programmes, we considered the time from the launch of the programme, to the end of the last partnerships implemented under the programme. For example, the ACP-EU Water Partnerships initiative was launched in 2010 with the publication of the Call for Proposals and is expected to end in 2017. In fact, ACP-EU Water Partnerships are becoming operative in 2012 and will last for a maximum of 5 years. This is a well defined time horizon, which</w:t>
      </w:r>
      <w:r w:rsidR="00FD5135">
        <w:t xml:space="preserve"> goes beyond those</w:t>
      </w:r>
      <w:r w:rsidR="00327C13">
        <w:t xml:space="preserve"> of WOP-Africa. H</w:t>
      </w:r>
      <w:r w:rsidR="00611D58">
        <w:t>owever</w:t>
      </w:r>
      <w:r w:rsidR="00327C13">
        <w:t>, it</w:t>
      </w:r>
      <w:r w:rsidR="00611D58">
        <w:t xml:space="preserve"> cannot be compared with that of the other </w:t>
      </w:r>
      <w:r w:rsidR="00327C13">
        <w:t xml:space="preserve">three </w:t>
      </w:r>
      <w:r w:rsidR="00611D58">
        <w:t>programmes, for none of which the expiry date has been indicated.</w:t>
      </w:r>
    </w:p>
    <w:p w:rsidR="00F03885" w:rsidRDefault="00F03885" w:rsidP="00015F93">
      <w:pPr>
        <w:jc w:val="both"/>
      </w:pPr>
    </w:p>
    <w:p w:rsidR="00D5574C" w:rsidRPr="00015F93" w:rsidRDefault="00A33535" w:rsidP="00015F93">
      <w:pPr>
        <w:jc w:val="both"/>
      </w:pPr>
      <w:r>
        <w:t>The ACP-EU Water P</w:t>
      </w:r>
      <w:r w:rsidR="00D36692">
        <w:t xml:space="preserve">artnerships initiative has a larger budget and has mobilised a larger amount of funds than the WOP platforms for which we could find </w:t>
      </w:r>
      <w:r w:rsidR="008C00DB">
        <w:t>data (WOP-Africa</w:t>
      </w:r>
      <w:r w:rsidR="00327C13">
        <w:t>, WOP-LAC</w:t>
      </w:r>
      <w:r w:rsidR="008C00DB">
        <w:t xml:space="preserve"> and WaterLinks).</w:t>
      </w:r>
      <w:r w:rsidR="00A61ADD">
        <w:t xml:space="preserve"> Not all such data is comparable on a like-for-like basis</w:t>
      </w:r>
      <w:r>
        <w:t>. For example, while the total funds mobilised by ACP-EU Water Partnerships correspond to the total value of partnerships for capacity development, the data for WaterLinks refers to the value “</w:t>
      </w:r>
      <w:r w:rsidRPr="00A6068D">
        <w:rPr>
          <w:rFonts w:cs="Calibri"/>
        </w:rPr>
        <w:t>leveraged by participating service providers in capital and capacity investments</w:t>
      </w:r>
      <w:r>
        <w:rPr>
          <w:rFonts w:cs="Calibri"/>
        </w:rPr>
        <w:t xml:space="preserve">”. Nonetheless, a like-for-like comparison (i.e. adding </w:t>
      </w:r>
      <w:r w:rsidRPr="00A6068D">
        <w:rPr>
          <w:rFonts w:cs="Calibri"/>
        </w:rPr>
        <w:t>capital investments</w:t>
      </w:r>
      <w:r>
        <w:rPr>
          <w:rFonts w:cs="Calibri"/>
        </w:rPr>
        <w:t xml:space="preserve"> leveraged by </w:t>
      </w:r>
      <w:r>
        <w:t xml:space="preserve">ACP-EU Water Partnerships to the total value of partnerships) would still result in ACP-EU Water Partnerships mobilising larger funds than WaterLinks’ WOPs. </w:t>
      </w:r>
      <w:r w:rsidR="007B2F33">
        <w:t xml:space="preserve">The number of partnerships funded by ACP-EU Water Partnerships initiative is larger than that of partnerships funded by most WOP platforms, with the exception of WaterLinks (whether WaterLinks’ WOPs funded to date total 33 or 60, according to different sources). The duration of partnerships funded by the ACP-EU Water Facility is greater than that of partnerships for the programmes for which we could find data. While ACP-EU Water Partnerships last from 24 to 60 months, </w:t>
      </w:r>
      <w:r w:rsidR="007B2F33" w:rsidRPr="00F15712">
        <w:rPr>
          <w:rFonts w:cs="Calibri"/>
          <w:lang w:val="en-US"/>
        </w:rPr>
        <w:t>WOP-Africa</w:t>
      </w:r>
      <w:r w:rsidR="007B2F33">
        <w:rPr>
          <w:rFonts w:cs="Calibri"/>
          <w:lang w:val="en-US"/>
        </w:rPr>
        <w:t xml:space="preserve">’s </w:t>
      </w:r>
      <w:r w:rsidR="007B2F33" w:rsidRPr="00F15712">
        <w:rPr>
          <w:rFonts w:cs="Calibri"/>
        </w:rPr>
        <w:t>utility-to-utility learning partnerships</w:t>
      </w:r>
      <w:r w:rsidR="007B2F33">
        <w:rPr>
          <w:rFonts w:cs="Calibri"/>
        </w:rPr>
        <w:t xml:space="preserve"> have a duration of 12 months</w:t>
      </w:r>
      <w:r w:rsidR="004374D5">
        <w:rPr>
          <w:rFonts w:cs="Calibri"/>
        </w:rPr>
        <w:t>,</w:t>
      </w:r>
      <w:r w:rsidR="007B2F33">
        <w:rPr>
          <w:rFonts w:cs="Calibri"/>
        </w:rPr>
        <w:t xml:space="preserve"> </w:t>
      </w:r>
      <w:r w:rsidR="00327C13">
        <w:rPr>
          <w:rFonts w:cs="Calibri"/>
        </w:rPr>
        <w:t xml:space="preserve">WOPs in the LAC region have a typical duration of 1 to 24 months, </w:t>
      </w:r>
      <w:r w:rsidR="007B2F33">
        <w:rPr>
          <w:rFonts w:cs="Calibri"/>
        </w:rPr>
        <w:t xml:space="preserve">and WaterLink’s WOPs have </w:t>
      </w:r>
      <w:r w:rsidR="007B2F33" w:rsidRPr="00A6068D">
        <w:rPr>
          <w:rFonts w:cs="Calibri"/>
        </w:rPr>
        <w:t>a typical duration of 12-18 months</w:t>
      </w:r>
      <w:r w:rsidR="007B2F33">
        <w:rPr>
          <w:rFonts w:cs="Calibri"/>
        </w:rPr>
        <w:t>.</w:t>
      </w:r>
    </w:p>
    <w:p w:rsidR="00DD1D20" w:rsidRDefault="00DD1D20" w:rsidP="00D5574C">
      <w:pPr>
        <w:jc w:val="both"/>
      </w:pPr>
    </w:p>
    <w:p w:rsidR="00E350A6" w:rsidRPr="00F26EB0" w:rsidRDefault="00611D58" w:rsidP="00E350A6">
      <w:pPr>
        <w:pStyle w:val="Heading7"/>
      </w:pPr>
      <w:bookmarkStart w:id="26" w:name="_Toc331783577"/>
      <w:r>
        <w:t>Resource mobilisation by</w:t>
      </w:r>
      <w:r w:rsidR="00E350A6">
        <w:t xml:space="preserve"> international programmes of not-for-profit partnerships for capacity development in the water and sanitation sector</w:t>
      </w:r>
      <w:bookmarkEnd w:id="26"/>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1320"/>
        <w:gridCol w:w="1210"/>
        <w:gridCol w:w="1210"/>
        <w:gridCol w:w="1320"/>
        <w:gridCol w:w="1984"/>
        <w:gridCol w:w="1417"/>
      </w:tblGrid>
      <w:tr w:rsidR="00510A96" w:rsidRPr="00C80761" w:rsidTr="00CF01AE">
        <w:tc>
          <w:tcPr>
            <w:tcW w:w="1428" w:type="dxa"/>
          </w:tcPr>
          <w:p w:rsidR="00510A96" w:rsidRPr="00C80761" w:rsidRDefault="00510A96" w:rsidP="00510A96">
            <w:pPr>
              <w:rPr>
                <w:b/>
                <w:sz w:val="20"/>
                <w:szCs w:val="20"/>
              </w:rPr>
            </w:pPr>
            <w:r w:rsidRPr="00C80761">
              <w:rPr>
                <w:b/>
                <w:sz w:val="20"/>
                <w:szCs w:val="20"/>
              </w:rPr>
              <w:t>Programme</w:t>
            </w:r>
          </w:p>
        </w:tc>
        <w:tc>
          <w:tcPr>
            <w:tcW w:w="1320" w:type="dxa"/>
          </w:tcPr>
          <w:p w:rsidR="00510A96" w:rsidRPr="00C80761" w:rsidRDefault="00510A96" w:rsidP="00510A96">
            <w:pPr>
              <w:rPr>
                <w:b/>
                <w:sz w:val="20"/>
                <w:szCs w:val="20"/>
              </w:rPr>
            </w:pPr>
            <w:r>
              <w:rPr>
                <w:b/>
                <w:sz w:val="20"/>
                <w:szCs w:val="20"/>
              </w:rPr>
              <w:t>Timeframe</w:t>
            </w:r>
          </w:p>
        </w:tc>
        <w:tc>
          <w:tcPr>
            <w:tcW w:w="1210" w:type="dxa"/>
          </w:tcPr>
          <w:p w:rsidR="00510A96" w:rsidRPr="00C80761" w:rsidRDefault="00510A96" w:rsidP="00510A96">
            <w:pPr>
              <w:rPr>
                <w:b/>
                <w:sz w:val="20"/>
                <w:szCs w:val="20"/>
              </w:rPr>
            </w:pPr>
            <w:r w:rsidRPr="00C80761">
              <w:rPr>
                <w:b/>
                <w:sz w:val="20"/>
                <w:szCs w:val="20"/>
              </w:rPr>
              <w:t>Budget</w:t>
            </w:r>
            <w:r>
              <w:rPr>
                <w:b/>
                <w:sz w:val="20"/>
                <w:szCs w:val="20"/>
              </w:rPr>
              <w:t xml:space="preserve"> approved</w:t>
            </w:r>
          </w:p>
        </w:tc>
        <w:tc>
          <w:tcPr>
            <w:tcW w:w="1210" w:type="dxa"/>
          </w:tcPr>
          <w:p w:rsidR="00510A96" w:rsidRPr="00C80761" w:rsidRDefault="00510A96" w:rsidP="00510A96">
            <w:pPr>
              <w:rPr>
                <w:b/>
                <w:sz w:val="20"/>
                <w:szCs w:val="20"/>
              </w:rPr>
            </w:pPr>
            <w:r>
              <w:rPr>
                <w:b/>
                <w:sz w:val="20"/>
                <w:szCs w:val="20"/>
              </w:rPr>
              <w:t>Funds allocated</w:t>
            </w:r>
          </w:p>
        </w:tc>
        <w:tc>
          <w:tcPr>
            <w:tcW w:w="1320" w:type="dxa"/>
          </w:tcPr>
          <w:p w:rsidR="00510A96" w:rsidRPr="00C80761" w:rsidRDefault="00510A96" w:rsidP="00510A96">
            <w:pPr>
              <w:rPr>
                <w:b/>
                <w:sz w:val="20"/>
                <w:szCs w:val="20"/>
              </w:rPr>
            </w:pPr>
            <w:r w:rsidRPr="00C80761">
              <w:rPr>
                <w:b/>
                <w:sz w:val="20"/>
                <w:szCs w:val="20"/>
              </w:rPr>
              <w:t>Total funds mobilised</w:t>
            </w:r>
          </w:p>
        </w:tc>
        <w:tc>
          <w:tcPr>
            <w:tcW w:w="1984" w:type="dxa"/>
          </w:tcPr>
          <w:p w:rsidR="00510A96" w:rsidRPr="00C80761" w:rsidRDefault="00510A96" w:rsidP="00510A96">
            <w:pPr>
              <w:rPr>
                <w:b/>
                <w:sz w:val="20"/>
                <w:szCs w:val="20"/>
              </w:rPr>
            </w:pPr>
            <w:r>
              <w:rPr>
                <w:b/>
                <w:sz w:val="20"/>
                <w:szCs w:val="20"/>
              </w:rPr>
              <w:t>Partnerships funded</w:t>
            </w:r>
            <w:r w:rsidR="00CF01AE">
              <w:rPr>
                <w:b/>
                <w:sz w:val="20"/>
                <w:szCs w:val="20"/>
              </w:rPr>
              <w:t xml:space="preserve"> or facilitated</w:t>
            </w:r>
          </w:p>
        </w:tc>
        <w:tc>
          <w:tcPr>
            <w:tcW w:w="1417" w:type="dxa"/>
          </w:tcPr>
          <w:p w:rsidR="00510A96" w:rsidRPr="00C80761" w:rsidRDefault="00510A96" w:rsidP="004B7608">
            <w:pPr>
              <w:rPr>
                <w:b/>
                <w:sz w:val="20"/>
                <w:szCs w:val="20"/>
              </w:rPr>
            </w:pPr>
            <w:r w:rsidRPr="00C80761">
              <w:rPr>
                <w:b/>
                <w:sz w:val="20"/>
                <w:szCs w:val="20"/>
              </w:rPr>
              <w:t>Duration</w:t>
            </w:r>
            <w:r>
              <w:rPr>
                <w:b/>
                <w:sz w:val="20"/>
                <w:szCs w:val="20"/>
              </w:rPr>
              <w:t xml:space="preserve"> of partnerships </w:t>
            </w:r>
          </w:p>
        </w:tc>
      </w:tr>
      <w:tr w:rsidR="00510A96" w:rsidRPr="00C80761" w:rsidTr="00CF01AE">
        <w:tc>
          <w:tcPr>
            <w:tcW w:w="1428" w:type="dxa"/>
          </w:tcPr>
          <w:p w:rsidR="00510A96" w:rsidRDefault="00510A96" w:rsidP="00510A96">
            <w:pPr>
              <w:rPr>
                <w:sz w:val="20"/>
                <w:szCs w:val="20"/>
              </w:rPr>
            </w:pPr>
            <w:r>
              <w:rPr>
                <w:sz w:val="20"/>
                <w:szCs w:val="20"/>
              </w:rPr>
              <w:t>ACP-EU Water Facility – Partnerships Initiative</w:t>
            </w:r>
          </w:p>
        </w:tc>
        <w:tc>
          <w:tcPr>
            <w:tcW w:w="1320" w:type="dxa"/>
          </w:tcPr>
          <w:p w:rsidR="00510A96" w:rsidRDefault="00510A96" w:rsidP="00510A96">
            <w:pPr>
              <w:rPr>
                <w:sz w:val="20"/>
                <w:szCs w:val="20"/>
              </w:rPr>
            </w:pPr>
            <w:r>
              <w:rPr>
                <w:sz w:val="20"/>
                <w:szCs w:val="20"/>
              </w:rPr>
              <w:t>2010 to 2017</w:t>
            </w:r>
          </w:p>
        </w:tc>
        <w:tc>
          <w:tcPr>
            <w:tcW w:w="1210" w:type="dxa"/>
          </w:tcPr>
          <w:p w:rsidR="00510A96" w:rsidRDefault="00510A96" w:rsidP="00510A96">
            <w:pPr>
              <w:rPr>
                <w:rFonts w:cs="Calibri"/>
                <w:sz w:val="20"/>
                <w:szCs w:val="20"/>
              </w:rPr>
            </w:pPr>
            <w:r>
              <w:rPr>
                <w:rFonts w:cs="Calibri"/>
                <w:sz w:val="20"/>
                <w:szCs w:val="20"/>
              </w:rPr>
              <w:t>€40 million</w:t>
            </w:r>
          </w:p>
        </w:tc>
        <w:tc>
          <w:tcPr>
            <w:tcW w:w="1210" w:type="dxa"/>
          </w:tcPr>
          <w:p w:rsidR="00510A96" w:rsidRDefault="00510A96" w:rsidP="00510A96">
            <w:pPr>
              <w:rPr>
                <w:rFonts w:cs="Calibri"/>
                <w:sz w:val="20"/>
                <w:szCs w:val="20"/>
              </w:rPr>
            </w:pPr>
            <w:r>
              <w:rPr>
                <w:rFonts w:cs="Calibri"/>
                <w:sz w:val="20"/>
                <w:szCs w:val="20"/>
              </w:rPr>
              <w:t>€23 million</w:t>
            </w:r>
          </w:p>
        </w:tc>
        <w:tc>
          <w:tcPr>
            <w:tcW w:w="1320" w:type="dxa"/>
          </w:tcPr>
          <w:p w:rsidR="00510A96" w:rsidRPr="005B355C" w:rsidRDefault="00510A96" w:rsidP="00510A96">
            <w:pPr>
              <w:rPr>
                <w:rFonts w:cs="Calibri"/>
                <w:sz w:val="20"/>
                <w:szCs w:val="20"/>
              </w:rPr>
            </w:pPr>
            <w:r>
              <w:rPr>
                <w:rFonts w:cs="Calibri"/>
                <w:sz w:val="20"/>
                <w:szCs w:val="20"/>
              </w:rPr>
              <w:t>€31.9 million</w:t>
            </w:r>
          </w:p>
        </w:tc>
        <w:tc>
          <w:tcPr>
            <w:tcW w:w="1984" w:type="dxa"/>
          </w:tcPr>
          <w:p w:rsidR="00510A96" w:rsidRDefault="00510A96" w:rsidP="00510A96">
            <w:pPr>
              <w:rPr>
                <w:sz w:val="20"/>
                <w:szCs w:val="20"/>
              </w:rPr>
            </w:pPr>
            <w:r>
              <w:rPr>
                <w:sz w:val="20"/>
                <w:szCs w:val="20"/>
              </w:rPr>
              <w:t>32</w:t>
            </w:r>
          </w:p>
        </w:tc>
        <w:tc>
          <w:tcPr>
            <w:tcW w:w="1417" w:type="dxa"/>
          </w:tcPr>
          <w:p w:rsidR="00510A96" w:rsidRPr="00942A2F" w:rsidRDefault="00AA43A8" w:rsidP="00510A96">
            <w:pPr>
              <w:rPr>
                <w:sz w:val="20"/>
                <w:szCs w:val="20"/>
              </w:rPr>
            </w:pPr>
            <w:r>
              <w:rPr>
                <w:sz w:val="20"/>
                <w:szCs w:val="20"/>
              </w:rPr>
              <w:t>24-60</w:t>
            </w:r>
            <w:r w:rsidR="004B7608">
              <w:rPr>
                <w:sz w:val="20"/>
                <w:szCs w:val="20"/>
              </w:rPr>
              <w:t xml:space="preserve"> months</w:t>
            </w:r>
          </w:p>
        </w:tc>
      </w:tr>
      <w:tr w:rsidR="00CF01AE" w:rsidRPr="00C80761" w:rsidTr="00CF01AE">
        <w:tc>
          <w:tcPr>
            <w:tcW w:w="1428" w:type="dxa"/>
          </w:tcPr>
          <w:p w:rsidR="00CF01AE" w:rsidRPr="00C80761" w:rsidRDefault="00CF01AE" w:rsidP="00510A96">
            <w:pPr>
              <w:rPr>
                <w:sz w:val="20"/>
                <w:szCs w:val="20"/>
              </w:rPr>
            </w:pPr>
            <w:r>
              <w:rPr>
                <w:sz w:val="20"/>
                <w:szCs w:val="20"/>
              </w:rPr>
              <w:t>WOP-Africa</w:t>
            </w:r>
          </w:p>
        </w:tc>
        <w:tc>
          <w:tcPr>
            <w:tcW w:w="1320" w:type="dxa"/>
          </w:tcPr>
          <w:p w:rsidR="00CF01AE" w:rsidRPr="00C80761" w:rsidRDefault="00CF01AE" w:rsidP="00510A96">
            <w:pPr>
              <w:rPr>
                <w:sz w:val="20"/>
                <w:szCs w:val="20"/>
              </w:rPr>
            </w:pPr>
            <w:r>
              <w:rPr>
                <w:sz w:val="20"/>
                <w:szCs w:val="20"/>
              </w:rPr>
              <w:t xml:space="preserve">2008 to </w:t>
            </w:r>
            <w:r w:rsidR="002146B8">
              <w:rPr>
                <w:sz w:val="20"/>
                <w:szCs w:val="20"/>
              </w:rPr>
              <w:t>2013</w:t>
            </w:r>
          </w:p>
        </w:tc>
        <w:tc>
          <w:tcPr>
            <w:tcW w:w="1210" w:type="dxa"/>
          </w:tcPr>
          <w:p w:rsidR="00CF01AE" w:rsidRPr="00C80761" w:rsidRDefault="00CF01AE" w:rsidP="00510A96">
            <w:pPr>
              <w:rPr>
                <w:sz w:val="20"/>
                <w:szCs w:val="20"/>
              </w:rPr>
            </w:pPr>
            <w:r>
              <w:rPr>
                <w:rFonts w:cs="Calibri"/>
                <w:sz w:val="20"/>
                <w:szCs w:val="20"/>
              </w:rPr>
              <w:t>€</w:t>
            </w:r>
            <w:r>
              <w:rPr>
                <w:sz w:val="20"/>
                <w:szCs w:val="20"/>
              </w:rPr>
              <w:t xml:space="preserve">9 million </w:t>
            </w:r>
          </w:p>
        </w:tc>
        <w:tc>
          <w:tcPr>
            <w:tcW w:w="1210" w:type="dxa"/>
          </w:tcPr>
          <w:p w:rsidR="00CF01AE" w:rsidRPr="005B355C" w:rsidRDefault="00CF01AE" w:rsidP="00EC3853">
            <w:pPr>
              <w:rPr>
                <w:sz w:val="20"/>
                <w:szCs w:val="20"/>
              </w:rPr>
            </w:pPr>
            <w:r>
              <w:rPr>
                <w:rFonts w:cs="Calibri"/>
                <w:sz w:val="20"/>
                <w:szCs w:val="20"/>
              </w:rPr>
              <w:t>€414</w:t>
            </w:r>
            <w:r w:rsidRPr="005B355C">
              <w:rPr>
                <w:rFonts w:cs="Calibri"/>
                <w:sz w:val="20"/>
                <w:szCs w:val="20"/>
              </w:rPr>
              <w:t>,</w:t>
            </w:r>
            <w:r>
              <w:rPr>
                <w:rFonts w:cs="Calibri"/>
                <w:sz w:val="20"/>
                <w:szCs w:val="20"/>
              </w:rPr>
              <w:t>000</w:t>
            </w:r>
          </w:p>
        </w:tc>
        <w:tc>
          <w:tcPr>
            <w:tcW w:w="1320" w:type="dxa"/>
          </w:tcPr>
          <w:p w:rsidR="00CF01AE" w:rsidRPr="00C80761" w:rsidRDefault="0053720D" w:rsidP="00CF01AE">
            <w:pPr>
              <w:rPr>
                <w:sz w:val="20"/>
                <w:szCs w:val="20"/>
              </w:rPr>
            </w:pPr>
            <w:r w:rsidRPr="005B355C">
              <w:rPr>
                <w:rFonts w:cs="Calibri"/>
                <w:sz w:val="20"/>
                <w:szCs w:val="20"/>
              </w:rPr>
              <w:t>€973,676</w:t>
            </w:r>
          </w:p>
        </w:tc>
        <w:tc>
          <w:tcPr>
            <w:tcW w:w="1984" w:type="dxa"/>
          </w:tcPr>
          <w:p w:rsidR="00CF01AE" w:rsidRPr="00C80761" w:rsidRDefault="00CF01AE" w:rsidP="00510A96">
            <w:pPr>
              <w:rPr>
                <w:sz w:val="20"/>
                <w:szCs w:val="20"/>
              </w:rPr>
            </w:pPr>
            <w:r>
              <w:rPr>
                <w:sz w:val="20"/>
                <w:szCs w:val="20"/>
              </w:rPr>
              <w:t>10</w:t>
            </w:r>
          </w:p>
        </w:tc>
        <w:tc>
          <w:tcPr>
            <w:tcW w:w="1417" w:type="dxa"/>
          </w:tcPr>
          <w:p w:rsidR="00CF01AE" w:rsidRPr="00C80761" w:rsidRDefault="00CF01AE" w:rsidP="00510A96">
            <w:pPr>
              <w:rPr>
                <w:sz w:val="20"/>
                <w:szCs w:val="20"/>
              </w:rPr>
            </w:pPr>
            <w:r>
              <w:rPr>
                <w:sz w:val="20"/>
                <w:szCs w:val="20"/>
              </w:rPr>
              <w:t>12 months</w:t>
            </w:r>
          </w:p>
        </w:tc>
      </w:tr>
      <w:tr w:rsidR="00EC3853" w:rsidRPr="00C80761" w:rsidTr="00CF01AE">
        <w:tc>
          <w:tcPr>
            <w:tcW w:w="1428" w:type="dxa"/>
          </w:tcPr>
          <w:p w:rsidR="00EC3853" w:rsidRDefault="00EC3853" w:rsidP="00510A96">
            <w:pPr>
              <w:rPr>
                <w:sz w:val="20"/>
                <w:szCs w:val="20"/>
              </w:rPr>
            </w:pPr>
            <w:r>
              <w:rPr>
                <w:sz w:val="20"/>
                <w:szCs w:val="20"/>
              </w:rPr>
              <w:t>WOP-LAC</w:t>
            </w:r>
          </w:p>
        </w:tc>
        <w:tc>
          <w:tcPr>
            <w:tcW w:w="1320" w:type="dxa"/>
          </w:tcPr>
          <w:p w:rsidR="00EC3853" w:rsidRPr="00C80761" w:rsidRDefault="00EC3853" w:rsidP="00510A96">
            <w:pPr>
              <w:rPr>
                <w:sz w:val="20"/>
                <w:szCs w:val="20"/>
              </w:rPr>
            </w:pPr>
            <w:r>
              <w:rPr>
                <w:sz w:val="20"/>
                <w:szCs w:val="20"/>
              </w:rPr>
              <w:t xml:space="preserve">2008 to </w:t>
            </w:r>
            <w:r w:rsidR="00FD5135">
              <w:rPr>
                <w:sz w:val="20"/>
                <w:szCs w:val="20"/>
              </w:rPr>
              <w:t>date</w:t>
            </w:r>
          </w:p>
        </w:tc>
        <w:tc>
          <w:tcPr>
            <w:tcW w:w="1210" w:type="dxa"/>
          </w:tcPr>
          <w:p w:rsidR="00EC3853" w:rsidRPr="00B56FD2" w:rsidRDefault="00B56FD2" w:rsidP="00510A96">
            <w:pPr>
              <w:rPr>
                <w:sz w:val="20"/>
                <w:szCs w:val="20"/>
              </w:rPr>
            </w:pPr>
            <w:r w:rsidRPr="00B56FD2">
              <w:rPr>
                <w:rFonts w:cs="Calibri"/>
                <w:sz w:val="20"/>
                <w:szCs w:val="20"/>
              </w:rPr>
              <w:t>€778,000</w:t>
            </w:r>
          </w:p>
        </w:tc>
        <w:tc>
          <w:tcPr>
            <w:tcW w:w="1210" w:type="dxa"/>
          </w:tcPr>
          <w:p w:rsidR="00EC3853" w:rsidRPr="00C80761" w:rsidRDefault="00B56FD2" w:rsidP="00510A96">
            <w:pPr>
              <w:rPr>
                <w:sz w:val="20"/>
                <w:szCs w:val="20"/>
              </w:rPr>
            </w:pPr>
            <w:r>
              <w:rPr>
                <w:sz w:val="20"/>
                <w:szCs w:val="20"/>
              </w:rPr>
              <w:t>N/a</w:t>
            </w:r>
          </w:p>
        </w:tc>
        <w:tc>
          <w:tcPr>
            <w:tcW w:w="1320" w:type="dxa"/>
          </w:tcPr>
          <w:p w:rsidR="00EC3853" w:rsidRPr="006B591D" w:rsidRDefault="006B591D" w:rsidP="00510A96">
            <w:pPr>
              <w:rPr>
                <w:sz w:val="20"/>
                <w:szCs w:val="20"/>
              </w:rPr>
            </w:pPr>
            <w:r w:rsidRPr="006B591D">
              <w:rPr>
                <w:rFonts w:cs="Calibri"/>
                <w:sz w:val="20"/>
                <w:szCs w:val="20"/>
              </w:rPr>
              <w:t>€1,081,000</w:t>
            </w:r>
          </w:p>
        </w:tc>
        <w:tc>
          <w:tcPr>
            <w:tcW w:w="1984" w:type="dxa"/>
          </w:tcPr>
          <w:p w:rsidR="00EC3853" w:rsidRPr="00C80761" w:rsidRDefault="00EC3853" w:rsidP="00510A96">
            <w:pPr>
              <w:rPr>
                <w:sz w:val="20"/>
                <w:szCs w:val="20"/>
              </w:rPr>
            </w:pPr>
            <w:r>
              <w:rPr>
                <w:sz w:val="20"/>
                <w:szCs w:val="20"/>
              </w:rPr>
              <w:t>15</w:t>
            </w:r>
          </w:p>
        </w:tc>
        <w:tc>
          <w:tcPr>
            <w:tcW w:w="1417" w:type="dxa"/>
          </w:tcPr>
          <w:p w:rsidR="00EC3853" w:rsidRPr="00AB48D6" w:rsidRDefault="00A77493" w:rsidP="00510A96">
            <w:pPr>
              <w:rPr>
                <w:sz w:val="20"/>
                <w:szCs w:val="20"/>
              </w:rPr>
            </w:pPr>
            <w:r>
              <w:rPr>
                <w:sz w:val="20"/>
                <w:szCs w:val="20"/>
              </w:rPr>
              <w:t>1-24 months</w:t>
            </w:r>
          </w:p>
        </w:tc>
      </w:tr>
      <w:tr w:rsidR="00EC3853" w:rsidRPr="00C80761" w:rsidTr="00CF01AE">
        <w:tc>
          <w:tcPr>
            <w:tcW w:w="1428" w:type="dxa"/>
          </w:tcPr>
          <w:p w:rsidR="00EC3853" w:rsidRPr="00C80761" w:rsidRDefault="00EC3853" w:rsidP="00510A96">
            <w:pPr>
              <w:rPr>
                <w:sz w:val="20"/>
                <w:szCs w:val="20"/>
              </w:rPr>
            </w:pPr>
            <w:r>
              <w:rPr>
                <w:sz w:val="20"/>
                <w:szCs w:val="20"/>
              </w:rPr>
              <w:t>WaterLinks</w:t>
            </w:r>
          </w:p>
        </w:tc>
        <w:tc>
          <w:tcPr>
            <w:tcW w:w="1320" w:type="dxa"/>
          </w:tcPr>
          <w:p w:rsidR="00EC3853" w:rsidRPr="00C80761" w:rsidRDefault="00EC3853" w:rsidP="00510A96">
            <w:pPr>
              <w:rPr>
                <w:sz w:val="20"/>
                <w:szCs w:val="20"/>
              </w:rPr>
            </w:pPr>
            <w:r>
              <w:rPr>
                <w:sz w:val="20"/>
                <w:szCs w:val="20"/>
              </w:rPr>
              <w:t>2008 to date</w:t>
            </w:r>
          </w:p>
        </w:tc>
        <w:tc>
          <w:tcPr>
            <w:tcW w:w="1210" w:type="dxa"/>
          </w:tcPr>
          <w:p w:rsidR="00EC3853" w:rsidRPr="00C80761" w:rsidRDefault="00EC3853" w:rsidP="00510A96">
            <w:pPr>
              <w:rPr>
                <w:sz w:val="20"/>
                <w:szCs w:val="20"/>
              </w:rPr>
            </w:pPr>
            <w:r>
              <w:rPr>
                <w:sz w:val="20"/>
                <w:szCs w:val="20"/>
              </w:rPr>
              <w:t>N/a</w:t>
            </w:r>
          </w:p>
        </w:tc>
        <w:tc>
          <w:tcPr>
            <w:tcW w:w="1210" w:type="dxa"/>
          </w:tcPr>
          <w:p w:rsidR="00EC3853" w:rsidRPr="00C80761" w:rsidRDefault="006B591D" w:rsidP="00510A96">
            <w:pPr>
              <w:rPr>
                <w:sz w:val="20"/>
                <w:szCs w:val="20"/>
              </w:rPr>
            </w:pPr>
            <w:r>
              <w:rPr>
                <w:sz w:val="20"/>
                <w:szCs w:val="20"/>
              </w:rPr>
              <w:t>N/a</w:t>
            </w:r>
          </w:p>
        </w:tc>
        <w:tc>
          <w:tcPr>
            <w:tcW w:w="1320" w:type="dxa"/>
          </w:tcPr>
          <w:p w:rsidR="00EC3853" w:rsidRPr="00BB4DBF" w:rsidRDefault="00EC3853" w:rsidP="00510A96">
            <w:pPr>
              <w:rPr>
                <w:sz w:val="20"/>
                <w:szCs w:val="20"/>
              </w:rPr>
            </w:pPr>
            <w:r w:rsidRPr="00BB4DBF">
              <w:rPr>
                <w:rFonts w:cs="Calibri"/>
                <w:sz w:val="20"/>
                <w:szCs w:val="20"/>
              </w:rPr>
              <w:t>€7.6 million</w:t>
            </w:r>
          </w:p>
        </w:tc>
        <w:tc>
          <w:tcPr>
            <w:tcW w:w="1984" w:type="dxa"/>
          </w:tcPr>
          <w:p w:rsidR="00EC3853" w:rsidRPr="00C80761" w:rsidRDefault="00EC3853" w:rsidP="00510A96">
            <w:pPr>
              <w:rPr>
                <w:sz w:val="20"/>
                <w:szCs w:val="20"/>
              </w:rPr>
            </w:pPr>
            <w:r>
              <w:rPr>
                <w:sz w:val="20"/>
                <w:szCs w:val="20"/>
              </w:rPr>
              <w:t>33</w:t>
            </w:r>
          </w:p>
        </w:tc>
        <w:tc>
          <w:tcPr>
            <w:tcW w:w="1417" w:type="dxa"/>
          </w:tcPr>
          <w:p w:rsidR="00EC3853" w:rsidRPr="00D23F85" w:rsidRDefault="00754400" w:rsidP="00510A96">
            <w:pPr>
              <w:rPr>
                <w:rFonts w:cs="Calibri"/>
                <w:sz w:val="20"/>
                <w:szCs w:val="20"/>
              </w:rPr>
            </w:pPr>
            <w:r>
              <w:rPr>
                <w:rFonts w:cs="Calibri"/>
                <w:sz w:val="20"/>
                <w:szCs w:val="20"/>
              </w:rPr>
              <w:t>12-18</w:t>
            </w:r>
            <w:r w:rsidR="004B7608">
              <w:rPr>
                <w:rFonts w:cs="Calibri"/>
                <w:sz w:val="20"/>
                <w:szCs w:val="20"/>
              </w:rPr>
              <w:t xml:space="preserve"> months</w:t>
            </w:r>
          </w:p>
        </w:tc>
      </w:tr>
      <w:tr w:rsidR="0084766E" w:rsidRPr="00C80761" w:rsidTr="00CF01AE">
        <w:tc>
          <w:tcPr>
            <w:tcW w:w="1428" w:type="dxa"/>
          </w:tcPr>
          <w:p w:rsidR="0084766E" w:rsidRDefault="0084766E" w:rsidP="00510A96">
            <w:pPr>
              <w:rPr>
                <w:sz w:val="20"/>
                <w:szCs w:val="20"/>
              </w:rPr>
            </w:pPr>
            <w:r>
              <w:rPr>
                <w:sz w:val="20"/>
                <w:szCs w:val="20"/>
              </w:rPr>
              <w:t>WOP-SEE</w:t>
            </w:r>
          </w:p>
        </w:tc>
        <w:tc>
          <w:tcPr>
            <w:tcW w:w="1320" w:type="dxa"/>
          </w:tcPr>
          <w:p w:rsidR="0084766E" w:rsidRPr="00C80761" w:rsidRDefault="0084766E" w:rsidP="00510A96">
            <w:pPr>
              <w:rPr>
                <w:sz w:val="20"/>
                <w:szCs w:val="20"/>
              </w:rPr>
            </w:pPr>
            <w:r>
              <w:rPr>
                <w:sz w:val="20"/>
                <w:szCs w:val="20"/>
              </w:rPr>
              <w:t>2010 to date</w:t>
            </w:r>
          </w:p>
        </w:tc>
        <w:tc>
          <w:tcPr>
            <w:tcW w:w="1210" w:type="dxa"/>
          </w:tcPr>
          <w:p w:rsidR="0084766E" w:rsidRPr="00C80761" w:rsidRDefault="0084766E" w:rsidP="00510A96">
            <w:pPr>
              <w:rPr>
                <w:sz w:val="20"/>
                <w:szCs w:val="20"/>
              </w:rPr>
            </w:pPr>
            <w:r>
              <w:rPr>
                <w:sz w:val="20"/>
                <w:szCs w:val="20"/>
              </w:rPr>
              <w:t>N/a</w:t>
            </w:r>
          </w:p>
        </w:tc>
        <w:tc>
          <w:tcPr>
            <w:tcW w:w="1210" w:type="dxa"/>
          </w:tcPr>
          <w:p w:rsidR="0084766E" w:rsidRPr="00C80761" w:rsidRDefault="0084766E" w:rsidP="00C16D13">
            <w:pPr>
              <w:rPr>
                <w:sz w:val="20"/>
                <w:szCs w:val="20"/>
              </w:rPr>
            </w:pPr>
            <w:r>
              <w:rPr>
                <w:sz w:val="20"/>
                <w:szCs w:val="20"/>
              </w:rPr>
              <w:t>N/a</w:t>
            </w:r>
          </w:p>
        </w:tc>
        <w:tc>
          <w:tcPr>
            <w:tcW w:w="1320" w:type="dxa"/>
          </w:tcPr>
          <w:p w:rsidR="0084766E" w:rsidRPr="00C80761" w:rsidRDefault="0084766E" w:rsidP="00510A96">
            <w:pPr>
              <w:rPr>
                <w:sz w:val="20"/>
                <w:szCs w:val="20"/>
              </w:rPr>
            </w:pPr>
            <w:r>
              <w:rPr>
                <w:sz w:val="20"/>
                <w:szCs w:val="20"/>
              </w:rPr>
              <w:t>N/a</w:t>
            </w:r>
          </w:p>
        </w:tc>
        <w:tc>
          <w:tcPr>
            <w:tcW w:w="1984" w:type="dxa"/>
          </w:tcPr>
          <w:p w:rsidR="0084766E" w:rsidRPr="00C80761" w:rsidRDefault="0084766E" w:rsidP="00510A96">
            <w:pPr>
              <w:rPr>
                <w:sz w:val="20"/>
                <w:szCs w:val="20"/>
              </w:rPr>
            </w:pPr>
            <w:r>
              <w:rPr>
                <w:sz w:val="20"/>
                <w:szCs w:val="20"/>
              </w:rPr>
              <w:t>13</w:t>
            </w:r>
          </w:p>
        </w:tc>
        <w:tc>
          <w:tcPr>
            <w:tcW w:w="1417" w:type="dxa"/>
          </w:tcPr>
          <w:p w:rsidR="0084766E" w:rsidRPr="00C80761" w:rsidRDefault="0084766E" w:rsidP="0084766E">
            <w:pPr>
              <w:rPr>
                <w:sz w:val="20"/>
                <w:szCs w:val="20"/>
              </w:rPr>
            </w:pPr>
            <w:r>
              <w:rPr>
                <w:sz w:val="20"/>
                <w:szCs w:val="20"/>
              </w:rPr>
              <w:t>N/a</w:t>
            </w:r>
          </w:p>
        </w:tc>
      </w:tr>
    </w:tbl>
    <w:p w:rsidR="00510A96" w:rsidRPr="004F5F93" w:rsidRDefault="00510A96" w:rsidP="00E350A6">
      <w:pPr>
        <w:pStyle w:val="NoSpacing"/>
        <w:jc w:val="both"/>
        <w:rPr>
          <w:rFonts w:ascii="Calibri" w:hAnsi="Calibri"/>
          <w:sz w:val="22"/>
          <w:szCs w:val="22"/>
        </w:rPr>
      </w:pPr>
      <w:r w:rsidRPr="004F5F93">
        <w:rPr>
          <w:rFonts w:ascii="Calibri" w:hAnsi="Calibri"/>
          <w:sz w:val="22"/>
          <w:szCs w:val="22"/>
        </w:rPr>
        <w:t>Sources:</w:t>
      </w:r>
      <w:r w:rsidR="00E350A6">
        <w:rPr>
          <w:rFonts w:ascii="Calibri" w:hAnsi="Calibri"/>
          <w:sz w:val="22"/>
          <w:szCs w:val="22"/>
        </w:rPr>
        <w:t xml:space="preserve"> Section 3</w:t>
      </w:r>
      <w:r w:rsidR="004F5F93" w:rsidRPr="004F5F93">
        <w:rPr>
          <w:rFonts w:ascii="Calibri" w:hAnsi="Calibri"/>
          <w:sz w:val="22"/>
          <w:szCs w:val="22"/>
        </w:rPr>
        <w:t xml:space="preserve">. </w:t>
      </w:r>
      <w:r w:rsidR="00E350A6">
        <w:rPr>
          <w:rFonts w:ascii="Calibri" w:hAnsi="Calibri"/>
          <w:sz w:val="22"/>
          <w:szCs w:val="22"/>
        </w:rPr>
        <w:t>ACP-EU Water Partnerships: Institutional features</w:t>
      </w:r>
      <w:r w:rsidR="004F5F93">
        <w:rPr>
          <w:rFonts w:ascii="Calibri" w:hAnsi="Calibri"/>
          <w:sz w:val="22"/>
          <w:szCs w:val="22"/>
        </w:rPr>
        <w:t>;</w:t>
      </w:r>
      <w:r w:rsidRPr="004F5F93">
        <w:rPr>
          <w:rFonts w:ascii="Calibri" w:hAnsi="Calibri"/>
          <w:sz w:val="22"/>
          <w:szCs w:val="22"/>
        </w:rPr>
        <w:t xml:space="preserve"> </w:t>
      </w:r>
      <w:r w:rsidR="004F5F93" w:rsidRPr="004F5F93">
        <w:rPr>
          <w:rFonts w:ascii="Calibri" w:hAnsi="Calibri"/>
          <w:sz w:val="22"/>
          <w:szCs w:val="22"/>
        </w:rPr>
        <w:t>Section 7. Other international programmes supporting not-for-profit partnerships for capacity development in the water and sanitation sector; Annex III; Annex V</w:t>
      </w:r>
      <w:r w:rsidRPr="004F5F93">
        <w:rPr>
          <w:rFonts w:ascii="Calibri" w:hAnsi="Calibri"/>
          <w:sz w:val="22"/>
          <w:szCs w:val="22"/>
        </w:rPr>
        <w:t>.</w:t>
      </w:r>
    </w:p>
    <w:p w:rsidR="00DD1D20" w:rsidRPr="004F5F93" w:rsidRDefault="00DD1D20" w:rsidP="00D5574C">
      <w:pPr>
        <w:jc w:val="both"/>
      </w:pPr>
    </w:p>
    <w:p w:rsidR="00C83353" w:rsidRPr="00261BEC" w:rsidRDefault="000C7B1A" w:rsidP="00D5574C">
      <w:pPr>
        <w:jc w:val="both"/>
        <w:rPr>
          <w:rStyle w:val="Strong"/>
          <w:b w:val="0"/>
          <w:bCs w:val="0"/>
        </w:rPr>
      </w:pPr>
      <w:r>
        <w:t>Table 5 below illustrates some of the main institutional characteristics of partnerships funded and facilitated by the ACP-EU Water Facility – Partnerships Initiative and the four regional WOPs platforms. The institutional characteristics of partn</w:t>
      </w:r>
      <w:r w:rsidR="00692896">
        <w:t>erships include</w:t>
      </w:r>
      <w:r w:rsidR="00880AF4">
        <w:t>:</w:t>
      </w:r>
      <w:r>
        <w:t xml:space="preserve"> the active involvement</w:t>
      </w:r>
      <w:r w:rsidR="00880AF4" w:rsidRPr="00880AF4">
        <w:t xml:space="preserve"> </w:t>
      </w:r>
      <w:r w:rsidR="00880AF4">
        <w:t>as partners</w:t>
      </w:r>
      <w:r>
        <w:t xml:space="preserve"> of Non State Actors other t</w:t>
      </w:r>
      <w:r w:rsidR="00692896">
        <w:t>han water utilities</w:t>
      </w:r>
      <w:r w:rsidR="00880AF4">
        <w:t>;</w:t>
      </w:r>
      <w:r>
        <w:t xml:space="preserve"> </w:t>
      </w:r>
      <w:r w:rsidR="00AD47D7">
        <w:t xml:space="preserve">the South-South component of </w:t>
      </w:r>
      <w:r w:rsidR="00EF1AD0">
        <w:t xml:space="preserve">partnerships, </w:t>
      </w:r>
      <w:r w:rsidR="00AD47D7">
        <w:t xml:space="preserve">as defined in Section 4. ACP-EU Water Partnerships: Overview of successful applications; </w:t>
      </w:r>
      <w:r w:rsidR="00A856E3">
        <w:t>provisions for the achievement of the equivalent of mandatory re</w:t>
      </w:r>
      <w:r w:rsidR="00A40C35">
        <w:t xml:space="preserve">sults, permanent results, and </w:t>
      </w:r>
      <w:r w:rsidR="00A856E3">
        <w:t>multiplier effect; and, provisions for the external evaluation of project results</w:t>
      </w:r>
      <w:r>
        <w:t>.</w:t>
      </w:r>
      <w:r w:rsidR="00342485">
        <w:t xml:space="preserve"> The table shows that the</w:t>
      </w:r>
      <w:r w:rsidR="00342485" w:rsidRPr="00342485">
        <w:rPr>
          <w:rFonts w:cs="Calibri"/>
        </w:rPr>
        <w:t xml:space="preserve"> </w:t>
      </w:r>
      <w:r w:rsidR="00342485">
        <w:rPr>
          <w:rFonts w:cs="Calibri"/>
        </w:rPr>
        <w:t xml:space="preserve">involvement of Non State Actors in </w:t>
      </w:r>
      <w:r w:rsidR="00342485" w:rsidRPr="00A469D0">
        <w:t>ACP-EU Water Partnerships</w:t>
      </w:r>
      <w:r w:rsidR="00342485" w:rsidRPr="00B25479">
        <w:t xml:space="preserve"> </w:t>
      </w:r>
      <w:r w:rsidR="00342485">
        <w:t xml:space="preserve">finds no equal in regional WOPs. Of 32 </w:t>
      </w:r>
      <w:r w:rsidR="00342485" w:rsidRPr="00A469D0">
        <w:t>ACP-EU Water Partnerships</w:t>
      </w:r>
      <w:r w:rsidR="00342485">
        <w:t xml:space="preserve">, 16 partnerships (or 50%) have one or more NSAs as partner. Of 15 WOP-LAC’s WOPs, only one (or 6.7%) has an NSA as a partner: </w:t>
      </w:r>
      <w:r w:rsidR="002A0EA7">
        <w:t xml:space="preserve">the </w:t>
      </w:r>
      <w:r w:rsidR="00342485">
        <w:t xml:space="preserve">Colombian </w:t>
      </w:r>
      <w:r w:rsidR="00342485">
        <w:lastRenderedPageBreak/>
        <w:t>research institute CINARA</w:t>
      </w:r>
      <w:r w:rsidR="002A0EA7">
        <w:t xml:space="preserve"> involved as mentor in </w:t>
      </w:r>
      <w:smartTag w:uri="urn:schemas-microsoft-com:office:smarttags" w:element="place">
        <w:smartTag w:uri="urn:schemas-microsoft-com:office:smarttags" w:element="country-region">
          <w:r w:rsidR="002A0EA7">
            <w:t>Chile</w:t>
          </w:r>
        </w:smartTag>
      </w:smartTag>
      <w:r w:rsidR="00342485">
        <w:t xml:space="preserve"> (see Table </w:t>
      </w:r>
      <w:r w:rsidR="00C83353">
        <w:t>2, Annex V</w:t>
      </w:r>
      <w:r w:rsidR="00342485">
        <w:t>).</w:t>
      </w:r>
      <w:r w:rsidR="00C83353" w:rsidRPr="00C83353">
        <w:t xml:space="preserve"> </w:t>
      </w:r>
      <w:r w:rsidR="00C83353">
        <w:t xml:space="preserve">Of 33 WaterLinks’s WOPs, only one (or 3%) has NSAs as partners: Chinese university </w:t>
      </w:r>
      <w:smartTag w:uri="urn:schemas-microsoft-com:office:smarttags" w:element="PlaceName">
        <w:r w:rsidR="00C83353" w:rsidRPr="008151A4">
          <w:rPr>
            <w:rStyle w:val="Strong"/>
            <w:b w:val="0"/>
          </w:rPr>
          <w:t>Chia</w:t>
        </w:r>
      </w:smartTag>
      <w:r w:rsidR="00C83353" w:rsidRPr="008151A4">
        <w:rPr>
          <w:rStyle w:val="Strong"/>
          <w:b w:val="0"/>
        </w:rPr>
        <w:t xml:space="preserve"> </w:t>
      </w:r>
      <w:smartTag w:uri="urn:schemas-microsoft-com:office:smarttags" w:element="PlaceName">
        <w:r w:rsidR="00C83353" w:rsidRPr="008151A4">
          <w:rPr>
            <w:rStyle w:val="Strong"/>
            <w:b w:val="0"/>
          </w:rPr>
          <w:t>Nan</w:t>
        </w:r>
      </w:smartTag>
      <w:r w:rsidR="00C83353" w:rsidRPr="008151A4">
        <w:rPr>
          <w:rStyle w:val="Strong"/>
          <w:b w:val="0"/>
        </w:rPr>
        <w:t xml:space="preserve"> </w:t>
      </w:r>
      <w:smartTag w:uri="urn:schemas-microsoft-com:office:smarttags" w:element="PlaceType">
        <w:r w:rsidR="00C83353" w:rsidRPr="008151A4">
          <w:rPr>
            <w:rStyle w:val="Strong"/>
            <w:b w:val="0"/>
          </w:rPr>
          <w:t>University</w:t>
        </w:r>
      </w:smartTag>
      <w:r w:rsidR="00C83353">
        <w:rPr>
          <w:rStyle w:val="Strong"/>
          <w:b w:val="0"/>
        </w:rPr>
        <w:t xml:space="preserve"> and the German NGO </w:t>
      </w:r>
      <w:r w:rsidR="00C83353" w:rsidRPr="008151A4">
        <w:t>BORDA</w:t>
      </w:r>
      <w:r w:rsidR="002A0EA7">
        <w:t xml:space="preserve"> involved in the </w:t>
      </w:r>
      <w:smartTag w:uri="urn:schemas-microsoft-com:office:smarttags" w:element="country-region">
        <w:smartTag w:uri="urn:schemas-microsoft-com:office:smarttags" w:element="place">
          <w:r w:rsidR="002A0EA7">
            <w:t>Philippines</w:t>
          </w:r>
        </w:smartTag>
      </w:smartTag>
      <w:r w:rsidR="00C83353">
        <w:t xml:space="preserve"> (see Table 2, Annex V).</w:t>
      </w:r>
      <w:r w:rsidR="00A40C35">
        <w:t xml:space="preserve"> Furthermore, the South-South component of</w:t>
      </w:r>
      <w:r w:rsidR="00FD3A70" w:rsidRPr="00FD3A70">
        <w:t xml:space="preserve"> </w:t>
      </w:r>
      <w:r w:rsidR="00FD3A70" w:rsidRPr="00A469D0">
        <w:t>ACP-EU Water Partnerships</w:t>
      </w:r>
      <w:r w:rsidR="00FD3A70">
        <w:t xml:space="preserve"> is limited compared to the four regional WOP platforms. Of 32</w:t>
      </w:r>
      <w:r w:rsidR="00FD3A70" w:rsidRPr="00FD3A70">
        <w:t xml:space="preserve"> </w:t>
      </w:r>
      <w:r w:rsidR="00FD3A70" w:rsidRPr="00A469D0">
        <w:t>ACP-EU Water Partnerships</w:t>
      </w:r>
      <w:r w:rsidR="00FD3A70">
        <w:t>, five (or 15.6%) have a South-South component as one implementing partner is national of an ACP country (</w:t>
      </w:r>
      <w:r w:rsidR="00964ECD">
        <w:t>see Table 7, Annex I</w:t>
      </w:r>
      <w:r w:rsidR="00FD3A70">
        <w:t>).</w:t>
      </w:r>
      <w:r w:rsidR="00964ECD">
        <w:t xml:space="preserve"> All the ten WOP-Africa utility-to-utility learning partnerships, and all the 13 WOP-SEE-facilitated WOPs have a South-South component. Of the 15 WOP-LAC partnerships, 14 (or 93.3%) have a South-South component. Of the 33 WaterLinks WOPs</w:t>
      </w:r>
      <w:r w:rsidR="00D73F13">
        <w:t>, 26</w:t>
      </w:r>
      <w:r w:rsidR="00964ECD">
        <w:t xml:space="preserve"> (</w:t>
      </w:r>
      <w:r w:rsidR="00D73F13">
        <w:t>or 78</w:t>
      </w:r>
      <w:r w:rsidR="00964ECD">
        <w:t>.</w:t>
      </w:r>
      <w:r w:rsidR="00D73F13">
        <w:t>8</w:t>
      </w:r>
      <w:r w:rsidR="00964ECD">
        <w:t>%) have a South-South component (see Tables 1-3, 5, Annex V).</w:t>
      </w:r>
      <w:r w:rsidR="00A40C35">
        <w:t xml:space="preserve"> </w:t>
      </w:r>
      <w:r w:rsidR="00C83353">
        <w:rPr>
          <w:rStyle w:val="Strong"/>
          <w:b w:val="0"/>
        </w:rPr>
        <w:t xml:space="preserve"> </w:t>
      </w:r>
    </w:p>
    <w:p w:rsidR="00C83353" w:rsidRDefault="00C83353" w:rsidP="00D5574C">
      <w:pPr>
        <w:jc w:val="both"/>
        <w:rPr>
          <w:rStyle w:val="Strong"/>
          <w:b w:val="0"/>
        </w:rPr>
      </w:pPr>
    </w:p>
    <w:p w:rsidR="00DA00FF" w:rsidRDefault="003D6208" w:rsidP="00D5574C">
      <w:pPr>
        <w:jc w:val="both"/>
      </w:pPr>
      <w:r>
        <w:rPr>
          <w:rStyle w:val="Strong"/>
          <w:b w:val="0"/>
        </w:rPr>
        <w:t>Table 5 below also compares</w:t>
      </w:r>
      <w:r w:rsidRPr="003D6208">
        <w:t xml:space="preserve"> </w:t>
      </w:r>
      <w:r>
        <w:t>ACP-EU Water Partnerships and the WOP projects supported by the fou</w:t>
      </w:r>
      <w:r w:rsidR="006B49E8">
        <w:t>r regional platforms in terms of</w:t>
      </w:r>
      <w:r>
        <w:t xml:space="preserve"> the nu</w:t>
      </w:r>
      <w:r w:rsidR="006B49E8">
        <w:t>mber of projects aiming to achieve</w:t>
      </w:r>
      <w:r>
        <w:t xml:space="preserve"> tangible and mandatory results, permanent results, a mul</w:t>
      </w:r>
      <w:r w:rsidR="006B49E8">
        <w:t>tiplier effect, and that envisage</w:t>
      </w:r>
      <w:r>
        <w:t xml:space="preserve"> the external evaluation of results.</w:t>
      </w:r>
      <w:r w:rsidR="006B49E8">
        <w:t xml:space="preserve"> </w:t>
      </w:r>
      <w:r w:rsidR="003379D5">
        <w:t>All the 32 ACP-EU Water Partnerships (</w:t>
      </w:r>
      <w:r w:rsidR="00826BFC">
        <w:t xml:space="preserve">or </w:t>
      </w:r>
      <w:r w:rsidR="003379D5">
        <w:t>100%</w:t>
      </w:r>
      <w:r w:rsidR="00826BFC">
        <w:t xml:space="preserve"> of ACP-EU Water Partnerships</w:t>
      </w:r>
      <w:r w:rsidR="003379D5">
        <w:t>) are aimed at achieving mandatory results</w:t>
      </w:r>
      <w:r w:rsidR="00826BFC">
        <w:t xml:space="preserve"> (see Table 2, Section </w:t>
      </w:r>
      <w:r w:rsidR="009264D9">
        <w:t>6. ACP-EU Water Partnerships: Fostering the impact of action</w:t>
      </w:r>
      <w:r w:rsidR="00826BFC">
        <w:t>)</w:t>
      </w:r>
      <w:r w:rsidR="003379D5">
        <w:t>. The same percentage applies to the ten WOP-Africa utility-to-utility partnerships, all</w:t>
      </w:r>
      <w:r w:rsidR="00826BFC">
        <w:t xml:space="preserve"> of which are under an</w:t>
      </w:r>
      <w:r w:rsidR="003379D5">
        <w:t xml:space="preserve"> obligation to realise mandatory results</w:t>
      </w:r>
      <w:r w:rsidR="00826BFC">
        <w:t xml:space="preserve"> (see Section 7.1 WOP-Africa)</w:t>
      </w:r>
      <w:r w:rsidR="003379D5">
        <w:t>.</w:t>
      </w:r>
      <w:r w:rsidR="00826BFC">
        <w:t xml:space="preserve"> Of the 33 Waterlinks’ WOP projects, 15 partnerships (or 45.4%) aim at achieving mandatory results as</w:t>
      </w:r>
      <w:r w:rsidR="00826BFC" w:rsidRPr="00826BFC">
        <w:t xml:space="preserve"> </w:t>
      </w:r>
      <w:r w:rsidR="00826BFC">
        <w:t xml:space="preserve">evidenced by project documentation (i.e. concept notes, memorandums of understanding, work plans – see Table 4, Annex V). </w:t>
      </w:r>
      <w:r w:rsidR="009264D9">
        <w:t xml:space="preserve">We could not find evidence of WOP projects supported by WOP-LAC and WOP-SEE that aim at achieving mandatory results. </w:t>
      </w:r>
    </w:p>
    <w:p w:rsidR="00DA00FF" w:rsidRDefault="00DA00FF" w:rsidP="00D5574C">
      <w:pPr>
        <w:jc w:val="both"/>
      </w:pPr>
    </w:p>
    <w:p w:rsidR="00DA00FF" w:rsidRDefault="000514E4" w:rsidP="00D5574C">
      <w:pPr>
        <w:jc w:val="both"/>
      </w:pPr>
      <w:r>
        <w:t>All the 32 ACP-EU Water Partnerships (or 100% of ACP-EU Water Partnerships) are aimed at achieving permanent results (see Table 2, Section 6. ACP-EU Water Partnerships: Fostering the impact of action). Of the 33 Waterlinks’ WOP projects, 11 partnerships (or 33.3%) aim at achieving permanent results as</w:t>
      </w:r>
      <w:r w:rsidRPr="00826BFC">
        <w:t xml:space="preserve"> </w:t>
      </w:r>
      <w:r>
        <w:t>evidenced by project documentation (i.e. concept notes, memorandums of understanding, work plans – see Table 4, Annex V).</w:t>
      </w:r>
      <w:r w:rsidRPr="000514E4">
        <w:t xml:space="preserve"> </w:t>
      </w:r>
      <w:r>
        <w:t xml:space="preserve">We could not find evidence of WOP projects supported by WOP-Africa, WOP-LAC and WOP-SEE that aim at achieving permanent results. </w:t>
      </w:r>
    </w:p>
    <w:p w:rsidR="00DA00FF" w:rsidRDefault="00DA00FF" w:rsidP="00D5574C">
      <w:pPr>
        <w:jc w:val="both"/>
      </w:pPr>
    </w:p>
    <w:p w:rsidR="000554E5" w:rsidRDefault="00200512" w:rsidP="00D5574C">
      <w:pPr>
        <w:jc w:val="both"/>
      </w:pPr>
      <w:r>
        <w:t xml:space="preserve">All the 32 ACP-EU Water Partnerships (or 100% of ACP-EU Water Partnerships) are aimed at achieving a multiplier effect in the form of replication and/or scaling up at national or regional level (see Table 2, Section 6. ACP-EU Water Partnerships: Fostering the impact of action). Of the 33 Waterlinks’ WOP projects, 11 partnerships (or 33.3%) aim at achieving </w:t>
      </w:r>
      <w:r w:rsidR="0077681E">
        <w:t>a multiplier effect</w:t>
      </w:r>
      <w:r>
        <w:t xml:space="preserve"> as</w:t>
      </w:r>
      <w:r w:rsidRPr="00826BFC">
        <w:t xml:space="preserve"> </w:t>
      </w:r>
      <w:r>
        <w:t>evidenced by project documentation (i.e. concept notes, memorandums of understanding, work plans – see Table 4, Annex V).</w:t>
      </w:r>
      <w:r w:rsidR="004C582F">
        <w:t xml:space="preserve"> None of the ten WOP-Africa utility-to-utility partnerships aim at achieving a multiplier effect as the </w:t>
      </w:r>
      <w:r w:rsidR="004C582F" w:rsidRPr="0004363C">
        <w:rPr>
          <w:rFonts w:cs="Calibri"/>
        </w:rPr>
        <w:t xml:space="preserve">up-scaling of </w:t>
      </w:r>
      <w:r w:rsidR="004C582F" w:rsidRPr="0004363C">
        <w:rPr>
          <w:rFonts w:eastAsia="Times New Roman" w:cs="Calibri"/>
          <w:lang w:eastAsia="en-GB"/>
        </w:rPr>
        <w:t xml:space="preserve">peer-to-peer </w:t>
      </w:r>
      <w:r w:rsidR="004C582F" w:rsidRPr="0004363C">
        <w:rPr>
          <w:rFonts w:cs="Calibri"/>
        </w:rPr>
        <w:t>learning partnerships</w:t>
      </w:r>
      <w:r w:rsidR="004C582F">
        <w:rPr>
          <w:rFonts w:cs="Calibri"/>
        </w:rPr>
        <w:t xml:space="preserve"> is only due to occur after completion of the ten WOP-Africa partnerships </w:t>
      </w:r>
      <w:r w:rsidR="004C582F">
        <w:t>(see Section 7.1 WOP-Africa).</w:t>
      </w:r>
      <w:r w:rsidR="00DA00FF" w:rsidRPr="00DA00FF">
        <w:t xml:space="preserve"> </w:t>
      </w:r>
      <w:r w:rsidR="00DA00FF">
        <w:t>We could not find evidence of WOP projects supported by WOP-LAC and WOP-SEE that aim at producing</w:t>
      </w:r>
      <w:r w:rsidR="00DA00FF" w:rsidRPr="00DA00FF">
        <w:t xml:space="preserve"> </w:t>
      </w:r>
      <w:r w:rsidR="00DA00FF">
        <w:t>a multiplier effect.</w:t>
      </w:r>
    </w:p>
    <w:p w:rsidR="000554E5" w:rsidRDefault="000554E5" w:rsidP="00D5574C">
      <w:pPr>
        <w:jc w:val="both"/>
      </w:pPr>
    </w:p>
    <w:p w:rsidR="009A7BF4" w:rsidRDefault="000554E5" w:rsidP="00D5574C">
      <w:pPr>
        <w:jc w:val="both"/>
      </w:pPr>
      <w:r>
        <w:t>28 of the 32 ACP-EU Water Partnerships (or 87.5% of ACP-EU Water Partnerships) contemplate the external evaluation of results (see Table 2, Section 6. ACP-EU Water Partnerships: Fostering the impact of action). This contrasts with 100% of the ten</w:t>
      </w:r>
      <w:r w:rsidRPr="000554E5">
        <w:t xml:space="preserve"> </w:t>
      </w:r>
      <w:r>
        <w:t>WOP-Africa utility-to-utility partnerships, all of which envisage the external evaluation of results (see Section 7.1 WOP-Africa).</w:t>
      </w:r>
      <w:r w:rsidRPr="000554E5">
        <w:t xml:space="preserve"> </w:t>
      </w:r>
      <w:r>
        <w:t>Of the 33 Waterlinks’ WOP projects, 3 partnerships (or 10%) envisage the external evaluation of results as</w:t>
      </w:r>
      <w:r w:rsidRPr="00826BFC">
        <w:t xml:space="preserve"> </w:t>
      </w:r>
      <w:r>
        <w:t xml:space="preserve">evidenced by project documentation (i.e. concept notes, memorandums of understanding, work plans – see Table 4, Annex V). We could not find evidence of WOP projects supported by WOP-LAC and WOP-SEE </w:t>
      </w:r>
      <w:r w:rsidR="009A7BF4">
        <w:t xml:space="preserve">that </w:t>
      </w:r>
      <w:r>
        <w:t xml:space="preserve">contemplate the external evaluation of results. </w:t>
      </w:r>
      <w:r w:rsidR="009A7BF4">
        <w:t xml:space="preserve">Whether </w:t>
      </w:r>
      <w:r w:rsidR="000D777A">
        <w:t xml:space="preserve">future </w:t>
      </w:r>
      <w:r w:rsidR="009A7BF4">
        <w:t xml:space="preserve">WOP projects eventually funded under the WOP-SEE umbrella are going </w:t>
      </w:r>
      <w:r w:rsidR="000D777A">
        <w:t xml:space="preserve">to be externally evaluated </w:t>
      </w:r>
      <w:r w:rsidR="009A7BF4">
        <w:t>depend</w:t>
      </w:r>
      <w:r w:rsidR="000D777A">
        <w:t>s</w:t>
      </w:r>
      <w:r w:rsidR="009A7BF4">
        <w:t xml:space="preserve"> on size</w:t>
      </w:r>
      <w:r w:rsidR="000D777A">
        <w:t>, as the transaction costs of independent evaluation might not be justified for partnerships with a limited budget</w:t>
      </w:r>
      <w:r w:rsidR="009A7BF4">
        <w:t>.</w:t>
      </w:r>
      <w:r w:rsidR="009A7BF4" w:rsidRPr="009A7BF4">
        <w:rPr>
          <w:rStyle w:val="EndnoteReference"/>
          <w:rFonts w:eastAsia="Times New Roman" w:cs="Calibri"/>
          <w:lang w:eastAsia="en-GB"/>
        </w:rPr>
        <w:t xml:space="preserve"> </w:t>
      </w:r>
      <w:r w:rsidR="009A7BF4" w:rsidRPr="007746B0">
        <w:rPr>
          <w:rStyle w:val="EndnoteReference"/>
          <w:rFonts w:eastAsia="Times New Roman" w:cs="Calibri"/>
          <w:lang w:eastAsia="en-GB"/>
        </w:rPr>
        <w:endnoteReference w:id="62"/>
      </w:r>
      <w:r w:rsidR="009A7BF4">
        <w:t xml:space="preserve">  </w:t>
      </w:r>
    </w:p>
    <w:p w:rsidR="00200512" w:rsidRDefault="00200512" w:rsidP="00200512">
      <w:pPr>
        <w:jc w:val="both"/>
      </w:pPr>
    </w:p>
    <w:p w:rsidR="00FE416A" w:rsidRDefault="00FE416A" w:rsidP="00200512">
      <w:pPr>
        <w:jc w:val="both"/>
      </w:pPr>
    </w:p>
    <w:p w:rsidR="00FE416A" w:rsidRDefault="00FE416A" w:rsidP="00200512">
      <w:pPr>
        <w:jc w:val="both"/>
      </w:pPr>
    </w:p>
    <w:p w:rsidR="00FE416A" w:rsidRPr="004F5F93" w:rsidRDefault="00FE416A" w:rsidP="00200512">
      <w:pPr>
        <w:jc w:val="both"/>
      </w:pPr>
    </w:p>
    <w:p w:rsidR="00200512" w:rsidRPr="00F26EB0" w:rsidRDefault="00200512" w:rsidP="008F019B">
      <w:pPr>
        <w:pStyle w:val="Heading7"/>
      </w:pPr>
      <w:bookmarkStart w:id="27" w:name="_Toc331783578"/>
      <w:r>
        <w:lastRenderedPageBreak/>
        <w:t>Institutional characteristics of ACP-EU Water Partnerships and Water Operators Partnerships supported by regional platforms</w:t>
      </w:r>
      <w:bookmarkEnd w:id="27"/>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559"/>
        <w:gridCol w:w="1276"/>
        <w:gridCol w:w="1417"/>
        <w:gridCol w:w="1418"/>
        <w:gridCol w:w="1417"/>
        <w:gridCol w:w="1276"/>
      </w:tblGrid>
      <w:tr w:rsidR="00200512" w:rsidRPr="00C80761" w:rsidTr="00A433A4">
        <w:tc>
          <w:tcPr>
            <w:tcW w:w="1526" w:type="dxa"/>
          </w:tcPr>
          <w:p w:rsidR="00200512" w:rsidRPr="00C80761" w:rsidRDefault="00200512" w:rsidP="00A433A4">
            <w:pPr>
              <w:rPr>
                <w:b/>
                <w:sz w:val="20"/>
                <w:szCs w:val="20"/>
              </w:rPr>
            </w:pPr>
            <w:r w:rsidRPr="00C80761">
              <w:rPr>
                <w:b/>
                <w:sz w:val="20"/>
                <w:szCs w:val="20"/>
              </w:rPr>
              <w:t>Programme</w:t>
            </w:r>
          </w:p>
        </w:tc>
        <w:tc>
          <w:tcPr>
            <w:tcW w:w="1559" w:type="dxa"/>
          </w:tcPr>
          <w:p w:rsidR="00200512" w:rsidRPr="00C80761" w:rsidRDefault="00200512" w:rsidP="00A433A4">
            <w:pPr>
              <w:rPr>
                <w:b/>
                <w:sz w:val="20"/>
                <w:szCs w:val="20"/>
              </w:rPr>
            </w:pPr>
            <w:r>
              <w:rPr>
                <w:b/>
                <w:sz w:val="20"/>
                <w:szCs w:val="20"/>
              </w:rPr>
              <w:t>Active NSA involvement</w:t>
            </w:r>
          </w:p>
        </w:tc>
        <w:tc>
          <w:tcPr>
            <w:tcW w:w="1276" w:type="dxa"/>
          </w:tcPr>
          <w:p w:rsidR="00200512" w:rsidRPr="00C80761" w:rsidRDefault="00200512" w:rsidP="00A433A4">
            <w:pPr>
              <w:rPr>
                <w:b/>
                <w:sz w:val="20"/>
                <w:szCs w:val="20"/>
              </w:rPr>
            </w:pPr>
            <w:r>
              <w:rPr>
                <w:b/>
                <w:sz w:val="20"/>
                <w:szCs w:val="20"/>
              </w:rPr>
              <w:t>South-South component</w:t>
            </w:r>
          </w:p>
        </w:tc>
        <w:tc>
          <w:tcPr>
            <w:tcW w:w="1417" w:type="dxa"/>
          </w:tcPr>
          <w:p w:rsidR="00200512" w:rsidRPr="00C80761" w:rsidRDefault="00200512" w:rsidP="00A433A4">
            <w:pPr>
              <w:rPr>
                <w:b/>
                <w:sz w:val="20"/>
                <w:szCs w:val="20"/>
              </w:rPr>
            </w:pPr>
            <w:r>
              <w:rPr>
                <w:b/>
                <w:sz w:val="20"/>
                <w:szCs w:val="20"/>
              </w:rPr>
              <w:t>Mandatory results</w:t>
            </w:r>
          </w:p>
        </w:tc>
        <w:tc>
          <w:tcPr>
            <w:tcW w:w="1418" w:type="dxa"/>
          </w:tcPr>
          <w:p w:rsidR="00200512" w:rsidRPr="00C80761" w:rsidRDefault="00200512" w:rsidP="00A433A4">
            <w:pPr>
              <w:rPr>
                <w:b/>
                <w:sz w:val="20"/>
                <w:szCs w:val="20"/>
              </w:rPr>
            </w:pPr>
            <w:r>
              <w:rPr>
                <w:b/>
                <w:sz w:val="20"/>
                <w:szCs w:val="20"/>
              </w:rPr>
              <w:t>Permanent results</w:t>
            </w:r>
          </w:p>
        </w:tc>
        <w:tc>
          <w:tcPr>
            <w:tcW w:w="1417" w:type="dxa"/>
          </w:tcPr>
          <w:p w:rsidR="00200512" w:rsidRPr="00C80761" w:rsidRDefault="00200512" w:rsidP="00A433A4">
            <w:pPr>
              <w:rPr>
                <w:b/>
                <w:sz w:val="20"/>
                <w:szCs w:val="20"/>
              </w:rPr>
            </w:pPr>
            <w:r>
              <w:rPr>
                <w:b/>
                <w:sz w:val="20"/>
                <w:szCs w:val="20"/>
              </w:rPr>
              <w:t>Multiplier effect</w:t>
            </w:r>
          </w:p>
        </w:tc>
        <w:tc>
          <w:tcPr>
            <w:tcW w:w="1276" w:type="dxa"/>
          </w:tcPr>
          <w:p w:rsidR="00200512" w:rsidRPr="00C80761" w:rsidRDefault="00200512" w:rsidP="00A433A4">
            <w:pPr>
              <w:rPr>
                <w:b/>
                <w:sz w:val="20"/>
                <w:szCs w:val="20"/>
              </w:rPr>
            </w:pPr>
            <w:r>
              <w:rPr>
                <w:b/>
                <w:sz w:val="20"/>
                <w:szCs w:val="20"/>
              </w:rPr>
              <w:t>External evaluation</w:t>
            </w:r>
          </w:p>
        </w:tc>
      </w:tr>
      <w:tr w:rsidR="00200512" w:rsidRPr="00C80761" w:rsidTr="00A433A4">
        <w:trPr>
          <w:trHeight w:val="977"/>
        </w:trPr>
        <w:tc>
          <w:tcPr>
            <w:tcW w:w="1526" w:type="dxa"/>
          </w:tcPr>
          <w:p w:rsidR="00200512" w:rsidRDefault="00200512" w:rsidP="00A433A4">
            <w:pPr>
              <w:rPr>
                <w:sz w:val="20"/>
                <w:szCs w:val="20"/>
              </w:rPr>
            </w:pPr>
            <w:r>
              <w:rPr>
                <w:sz w:val="20"/>
                <w:szCs w:val="20"/>
              </w:rPr>
              <w:t>ACP-EU Water Facility – Partnerships Initiative</w:t>
            </w:r>
          </w:p>
        </w:tc>
        <w:tc>
          <w:tcPr>
            <w:tcW w:w="1559" w:type="dxa"/>
          </w:tcPr>
          <w:p w:rsidR="00200512" w:rsidRDefault="00200512" w:rsidP="00A433A4">
            <w:pPr>
              <w:rPr>
                <w:sz w:val="20"/>
                <w:szCs w:val="20"/>
              </w:rPr>
            </w:pPr>
            <w:r>
              <w:rPr>
                <w:sz w:val="20"/>
                <w:szCs w:val="20"/>
              </w:rPr>
              <w:t xml:space="preserve">50% </w:t>
            </w:r>
          </w:p>
          <w:p w:rsidR="00200512" w:rsidRDefault="00200512" w:rsidP="00A433A4">
            <w:pPr>
              <w:rPr>
                <w:sz w:val="20"/>
                <w:szCs w:val="20"/>
              </w:rPr>
            </w:pPr>
            <w:r>
              <w:rPr>
                <w:sz w:val="20"/>
                <w:szCs w:val="20"/>
              </w:rPr>
              <w:t>(16/32)</w:t>
            </w:r>
          </w:p>
        </w:tc>
        <w:tc>
          <w:tcPr>
            <w:tcW w:w="1276" w:type="dxa"/>
          </w:tcPr>
          <w:p w:rsidR="00200512" w:rsidRDefault="00200512" w:rsidP="00A433A4">
            <w:pPr>
              <w:rPr>
                <w:rFonts w:cs="Calibri"/>
                <w:sz w:val="20"/>
                <w:szCs w:val="20"/>
              </w:rPr>
            </w:pPr>
            <w:r>
              <w:rPr>
                <w:rFonts w:cs="Calibri"/>
                <w:sz w:val="20"/>
                <w:szCs w:val="20"/>
              </w:rPr>
              <w:t xml:space="preserve">15.6% </w:t>
            </w:r>
          </w:p>
          <w:p w:rsidR="00200512" w:rsidRPr="005B355C" w:rsidRDefault="00200512" w:rsidP="00A433A4">
            <w:pPr>
              <w:rPr>
                <w:rFonts w:cs="Calibri"/>
                <w:sz w:val="20"/>
                <w:szCs w:val="20"/>
              </w:rPr>
            </w:pPr>
            <w:r>
              <w:rPr>
                <w:rFonts w:cs="Calibri"/>
                <w:sz w:val="20"/>
                <w:szCs w:val="20"/>
              </w:rPr>
              <w:t>(5/32)</w:t>
            </w:r>
          </w:p>
        </w:tc>
        <w:tc>
          <w:tcPr>
            <w:tcW w:w="1417" w:type="dxa"/>
          </w:tcPr>
          <w:p w:rsidR="00200512" w:rsidRDefault="00200512" w:rsidP="00A433A4">
            <w:pPr>
              <w:rPr>
                <w:rFonts w:cs="Calibri"/>
                <w:sz w:val="20"/>
                <w:szCs w:val="20"/>
              </w:rPr>
            </w:pPr>
            <w:r>
              <w:rPr>
                <w:rFonts w:cs="Calibri"/>
                <w:sz w:val="20"/>
                <w:szCs w:val="20"/>
              </w:rPr>
              <w:t xml:space="preserve">100% </w:t>
            </w:r>
          </w:p>
          <w:p w:rsidR="00200512" w:rsidRDefault="00200512" w:rsidP="00A433A4">
            <w:pPr>
              <w:rPr>
                <w:rFonts w:cs="Calibri"/>
                <w:sz w:val="20"/>
                <w:szCs w:val="20"/>
              </w:rPr>
            </w:pPr>
            <w:r>
              <w:rPr>
                <w:rFonts w:cs="Calibri"/>
                <w:sz w:val="20"/>
                <w:szCs w:val="20"/>
              </w:rPr>
              <w:t>(32/32)</w:t>
            </w:r>
          </w:p>
        </w:tc>
        <w:tc>
          <w:tcPr>
            <w:tcW w:w="1418" w:type="dxa"/>
          </w:tcPr>
          <w:p w:rsidR="00200512" w:rsidRDefault="00200512" w:rsidP="00A433A4">
            <w:pPr>
              <w:rPr>
                <w:rFonts w:cs="Calibri"/>
                <w:sz w:val="20"/>
                <w:szCs w:val="20"/>
              </w:rPr>
            </w:pPr>
            <w:r>
              <w:rPr>
                <w:rFonts w:cs="Calibri"/>
                <w:sz w:val="20"/>
                <w:szCs w:val="20"/>
              </w:rPr>
              <w:t xml:space="preserve">100% </w:t>
            </w:r>
          </w:p>
          <w:p w:rsidR="00200512" w:rsidRDefault="00200512" w:rsidP="00A433A4">
            <w:pPr>
              <w:rPr>
                <w:rFonts w:cs="Calibri"/>
                <w:sz w:val="20"/>
                <w:szCs w:val="20"/>
              </w:rPr>
            </w:pPr>
            <w:r>
              <w:rPr>
                <w:rFonts w:cs="Calibri"/>
                <w:sz w:val="20"/>
                <w:szCs w:val="20"/>
              </w:rPr>
              <w:t>(32/32)</w:t>
            </w:r>
          </w:p>
        </w:tc>
        <w:tc>
          <w:tcPr>
            <w:tcW w:w="1417" w:type="dxa"/>
          </w:tcPr>
          <w:p w:rsidR="00200512" w:rsidRDefault="00200512" w:rsidP="00A433A4">
            <w:pPr>
              <w:rPr>
                <w:rFonts w:cs="Calibri"/>
                <w:sz w:val="20"/>
                <w:szCs w:val="20"/>
              </w:rPr>
            </w:pPr>
            <w:r>
              <w:rPr>
                <w:rFonts w:cs="Calibri"/>
                <w:sz w:val="20"/>
                <w:szCs w:val="20"/>
              </w:rPr>
              <w:t xml:space="preserve">100% </w:t>
            </w:r>
          </w:p>
          <w:p w:rsidR="00200512" w:rsidRDefault="00200512" w:rsidP="00A433A4">
            <w:pPr>
              <w:rPr>
                <w:rFonts w:cs="Calibri"/>
                <w:sz w:val="20"/>
                <w:szCs w:val="20"/>
              </w:rPr>
            </w:pPr>
            <w:r>
              <w:rPr>
                <w:rFonts w:cs="Calibri"/>
                <w:sz w:val="20"/>
                <w:szCs w:val="20"/>
              </w:rPr>
              <w:t>(32/32)</w:t>
            </w:r>
          </w:p>
        </w:tc>
        <w:tc>
          <w:tcPr>
            <w:tcW w:w="1276" w:type="dxa"/>
          </w:tcPr>
          <w:p w:rsidR="00200512" w:rsidRDefault="00200512" w:rsidP="00A433A4">
            <w:pPr>
              <w:rPr>
                <w:rFonts w:cs="Calibri"/>
                <w:sz w:val="20"/>
                <w:szCs w:val="20"/>
              </w:rPr>
            </w:pPr>
            <w:r>
              <w:rPr>
                <w:rFonts w:cs="Calibri"/>
                <w:sz w:val="20"/>
                <w:szCs w:val="20"/>
              </w:rPr>
              <w:t>87.5%</w:t>
            </w:r>
          </w:p>
          <w:p w:rsidR="00200512" w:rsidRPr="005B355C" w:rsidRDefault="00200512" w:rsidP="00A433A4">
            <w:pPr>
              <w:rPr>
                <w:rFonts w:cs="Calibri"/>
                <w:sz w:val="20"/>
                <w:szCs w:val="20"/>
              </w:rPr>
            </w:pPr>
            <w:r>
              <w:rPr>
                <w:rFonts w:cs="Calibri"/>
                <w:sz w:val="20"/>
                <w:szCs w:val="20"/>
              </w:rPr>
              <w:t>(28/32)</w:t>
            </w:r>
          </w:p>
        </w:tc>
      </w:tr>
      <w:tr w:rsidR="00200512" w:rsidRPr="00C80761" w:rsidTr="00A433A4">
        <w:tc>
          <w:tcPr>
            <w:tcW w:w="1526" w:type="dxa"/>
          </w:tcPr>
          <w:p w:rsidR="00200512" w:rsidRPr="00C80761" w:rsidRDefault="00200512" w:rsidP="00A433A4">
            <w:pPr>
              <w:rPr>
                <w:sz w:val="20"/>
                <w:szCs w:val="20"/>
              </w:rPr>
            </w:pPr>
            <w:r>
              <w:rPr>
                <w:sz w:val="20"/>
                <w:szCs w:val="20"/>
              </w:rPr>
              <w:t>WOP-Africa</w:t>
            </w:r>
          </w:p>
        </w:tc>
        <w:tc>
          <w:tcPr>
            <w:tcW w:w="1559" w:type="dxa"/>
          </w:tcPr>
          <w:p w:rsidR="00200512" w:rsidRDefault="00200512" w:rsidP="00A433A4">
            <w:pPr>
              <w:rPr>
                <w:sz w:val="20"/>
                <w:szCs w:val="20"/>
              </w:rPr>
            </w:pPr>
            <w:r>
              <w:rPr>
                <w:sz w:val="20"/>
                <w:szCs w:val="20"/>
              </w:rPr>
              <w:t>-</w:t>
            </w:r>
          </w:p>
          <w:p w:rsidR="00200512" w:rsidRPr="00C80761" w:rsidRDefault="00200512" w:rsidP="00A433A4">
            <w:pPr>
              <w:rPr>
                <w:sz w:val="20"/>
                <w:szCs w:val="20"/>
              </w:rPr>
            </w:pPr>
            <w:r>
              <w:rPr>
                <w:sz w:val="20"/>
                <w:szCs w:val="20"/>
              </w:rPr>
              <w:t>(0/10)</w:t>
            </w:r>
          </w:p>
        </w:tc>
        <w:tc>
          <w:tcPr>
            <w:tcW w:w="1276" w:type="dxa"/>
          </w:tcPr>
          <w:p w:rsidR="00200512" w:rsidRPr="005B355C" w:rsidRDefault="00200512" w:rsidP="00A433A4">
            <w:pPr>
              <w:rPr>
                <w:sz w:val="20"/>
                <w:szCs w:val="20"/>
              </w:rPr>
            </w:pPr>
            <w:r>
              <w:rPr>
                <w:sz w:val="20"/>
                <w:szCs w:val="20"/>
              </w:rPr>
              <w:t>100% (10/10)</w:t>
            </w:r>
          </w:p>
        </w:tc>
        <w:tc>
          <w:tcPr>
            <w:tcW w:w="1417" w:type="dxa"/>
          </w:tcPr>
          <w:p w:rsidR="00200512" w:rsidRDefault="00200512" w:rsidP="00A433A4">
            <w:pPr>
              <w:rPr>
                <w:rFonts w:cs="Calibri"/>
                <w:sz w:val="20"/>
                <w:szCs w:val="20"/>
              </w:rPr>
            </w:pPr>
            <w:r>
              <w:rPr>
                <w:rFonts w:cs="Calibri"/>
                <w:sz w:val="20"/>
                <w:szCs w:val="20"/>
              </w:rPr>
              <w:t xml:space="preserve">100% </w:t>
            </w:r>
          </w:p>
          <w:p w:rsidR="00200512" w:rsidRDefault="00200512" w:rsidP="00A433A4">
            <w:pPr>
              <w:rPr>
                <w:rFonts w:cs="Calibri"/>
                <w:sz w:val="20"/>
                <w:szCs w:val="20"/>
              </w:rPr>
            </w:pPr>
            <w:r>
              <w:rPr>
                <w:rFonts w:cs="Calibri"/>
                <w:sz w:val="20"/>
                <w:szCs w:val="20"/>
              </w:rPr>
              <w:t>(10/10)</w:t>
            </w:r>
          </w:p>
        </w:tc>
        <w:tc>
          <w:tcPr>
            <w:tcW w:w="1418" w:type="dxa"/>
          </w:tcPr>
          <w:p w:rsidR="00200512" w:rsidRPr="00C80761" w:rsidRDefault="00200512" w:rsidP="00A433A4">
            <w:pPr>
              <w:rPr>
                <w:sz w:val="20"/>
                <w:szCs w:val="20"/>
              </w:rPr>
            </w:pPr>
            <w:r>
              <w:rPr>
                <w:sz w:val="20"/>
                <w:szCs w:val="20"/>
              </w:rPr>
              <w:t>N/a</w:t>
            </w:r>
          </w:p>
        </w:tc>
        <w:tc>
          <w:tcPr>
            <w:tcW w:w="1417" w:type="dxa"/>
          </w:tcPr>
          <w:p w:rsidR="00200512" w:rsidRDefault="00200512" w:rsidP="00A433A4">
            <w:pPr>
              <w:rPr>
                <w:sz w:val="20"/>
                <w:szCs w:val="20"/>
              </w:rPr>
            </w:pPr>
            <w:r>
              <w:rPr>
                <w:sz w:val="20"/>
                <w:szCs w:val="20"/>
              </w:rPr>
              <w:t>-</w:t>
            </w:r>
          </w:p>
          <w:p w:rsidR="00200512" w:rsidRPr="00C80761" w:rsidRDefault="00200512" w:rsidP="00A433A4">
            <w:pPr>
              <w:rPr>
                <w:sz w:val="20"/>
                <w:szCs w:val="20"/>
              </w:rPr>
            </w:pPr>
            <w:r>
              <w:rPr>
                <w:sz w:val="20"/>
                <w:szCs w:val="20"/>
              </w:rPr>
              <w:t>(0/10)</w:t>
            </w:r>
          </w:p>
        </w:tc>
        <w:tc>
          <w:tcPr>
            <w:tcW w:w="1276" w:type="dxa"/>
          </w:tcPr>
          <w:p w:rsidR="00200512" w:rsidRPr="005B355C" w:rsidRDefault="00200512" w:rsidP="00A433A4">
            <w:pPr>
              <w:rPr>
                <w:sz w:val="20"/>
                <w:szCs w:val="20"/>
              </w:rPr>
            </w:pPr>
            <w:r>
              <w:rPr>
                <w:sz w:val="20"/>
                <w:szCs w:val="20"/>
              </w:rPr>
              <w:t>100% (10/10)</w:t>
            </w:r>
          </w:p>
        </w:tc>
      </w:tr>
      <w:tr w:rsidR="00200512" w:rsidRPr="00C80761" w:rsidTr="00A433A4">
        <w:tc>
          <w:tcPr>
            <w:tcW w:w="1526" w:type="dxa"/>
          </w:tcPr>
          <w:p w:rsidR="00200512" w:rsidRDefault="00200512" w:rsidP="00A433A4">
            <w:pPr>
              <w:rPr>
                <w:sz w:val="20"/>
                <w:szCs w:val="20"/>
              </w:rPr>
            </w:pPr>
            <w:r>
              <w:rPr>
                <w:sz w:val="20"/>
                <w:szCs w:val="20"/>
              </w:rPr>
              <w:t>WOP-LAC</w:t>
            </w:r>
          </w:p>
        </w:tc>
        <w:tc>
          <w:tcPr>
            <w:tcW w:w="1559" w:type="dxa"/>
          </w:tcPr>
          <w:p w:rsidR="00200512" w:rsidRDefault="00200512" w:rsidP="00A433A4">
            <w:pPr>
              <w:rPr>
                <w:sz w:val="20"/>
                <w:szCs w:val="20"/>
              </w:rPr>
            </w:pPr>
            <w:r>
              <w:rPr>
                <w:sz w:val="20"/>
                <w:szCs w:val="20"/>
              </w:rPr>
              <w:t>6.7%</w:t>
            </w:r>
          </w:p>
          <w:p w:rsidR="00200512" w:rsidRPr="00C80761" w:rsidRDefault="00200512" w:rsidP="00A433A4">
            <w:pPr>
              <w:rPr>
                <w:sz w:val="20"/>
                <w:szCs w:val="20"/>
              </w:rPr>
            </w:pPr>
            <w:r>
              <w:rPr>
                <w:sz w:val="20"/>
                <w:szCs w:val="20"/>
              </w:rPr>
              <w:t>(1/15)</w:t>
            </w:r>
          </w:p>
        </w:tc>
        <w:tc>
          <w:tcPr>
            <w:tcW w:w="1276" w:type="dxa"/>
          </w:tcPr>
          <w:p w:rsidR="00200512" w:rsidRPr="005B355C" w:rsidRDefault="00200512" w:rsidP="00A433A4">
            <w:pPr>
              <w:rPr>
                <w:sz w:val="20"/>
                <w:szCs w:val="20"/>
              </w:rPr>
            </w:pPr>
            <w:r>
              <w:rPr>
                <w:sz w:val="20"/>
                <w:szCs w:val="20"/>
              </w:rPr>
              <w:t>93.3% (14/15)</w:t>
            </w:r>
          </w:p>
        </w:tc>
        <w:tc>
          <w:tcPr>
            <w:tcW w:w="1417" w:type="dxa"/>
          </w:tcPr>
          <w:p w:rsidR="00200512" w:rsidRPr="00C80761" w:rsidRDefault="00200512" w:rsidP="00A433A4">
            <w:pPr>
              <w:rPr>
                <w:sz w:val="20"/>
                <w:szCs w:val="20"/>
              </w:rPr>
            </w:pPr>
            <w:r>
              <w:rPr>
                <w:sz w:val="20"/>
                <w:szCs w:val="20"/>
              </w:rPr>
              <w:t>N/a</w:t>
            </w:r>
          </w:p>
        </w:tc>
        <w:tc>
          <w:tcPr>
            <w:tcW w:w="1418" w:type="dxa"/>
          </w:tcPr>
          <w:p w:rsidR="00200512" w:rsidRPr="00C80761" w:rsidRDefault="00200512" w:rsidP="00A433A4">
            <w:pPr>
              <w:rPr>
                <w:sz w:val="20"/>
                <w:szCs w:val="20"/>
              </w:rPr>
            </w:pPr>
            <w:r>
              <w:rPr>
                <w:sz w:val="20"/>
                <w:szCs w:val="20"/>
              </w:rPr>
              <w:t>N/a</w:t>
            </w:r>
          </w:p>
        </w:tc>
        <w:tc>
          <w:tcPr>
            <w:tcW w:w="1417" w:type="dxa"/>
          </w:tcPr>
          <w:p w:rsidR="00200512" w:rsidRPr="00C80761" w:rsidRDefault="00200512" w:rsidP="00A433A4">
            <w:pPr>
              <w:rPr>
                <w:sz w:val="20"/>
                <w:szCs w:val="20"/>
              </w:rPr>
            </w:pPr>
            <w:r>
              <w:rPr>
                <w:sz w:val="20"/>
                <w:szCs w:val="20"/>
              </w:rPr>
              <w:t>N/a</w:t>
            </w:r>
          </w:p>
        </w:tc>
        <w:tc>
          <w:tcPr>
            <w:tcW w:w="1276" w:type="dxa"/>
          </w:tcPr>
          <w:p w:rsidR="00200512" w:rsidRPr="00C80761" w:rsidRDefault="00200512" w:rsidP="00A433A4">
            <w:pPr>
              <w:rPr>
                <w:sz w:val="20"/>
                <w:szCs w:val="20"/>
              </w:rPr>
            </w:pPr>
            <w:r>
              <w:rPr>
                <w:sz w:val="20"/>
                <w:szCs w:val="20"/>
              </w:rPr>
              <w:t>N/a</w:t>
            </w:r>
          </w:p>
        </w:tc>
      </w:tr>
      <w:tr w:rsidR="00200512" w:rsidRPr="00C80761" w:rsidTr="00A433A4">
        <w:tc>
          <w:tcPr>
            <w:tcW w:w="1526" w:type="dxa"/>
          </w:tcPr>
          <w:p w:rsidR="00200512" w:rsidRPr="00C80761" w:rsidRDefault="00200512" w:rsidP="00A433A4">
            <w:pPr>
              <w:rPr>
                <w:sz w:val="20"/>
                <w:szCs w:val="20"/>
              </w:rPr>
            </w:pPr>
            <w:r>
              <w:rPr>
                <w:sz w:val="20"/>
                <w:szCs w:val="20"/>
              </w:rPr>
              <w:t>WaterLinks</w:t>
            </w:r>
          </w:p>
        </w:tc>
        <w:tc>
          <w:tcPr>
            <w:tcW w:w="1559" w:type="dxa"/>
          </w:tcPr>
          <w:p w:rsidR="00200512" w:rsidRDefault="00200512" w:rsidP="00A433A4">
            <w:pPr>
              <w:rPr>
                <w:sz w:val="20"/>
                <w:szCs w:val="20"/>
              </w:rPr>
            </w:pPr>
            <w:r>
              <w:rPr>
                <w:sz w:val="20"/>
                <w:szCs w:val="20"/>
              </w:rPr>
              <w:t>3%</w:t>
            </w:r>
          </w:p>
          <w:p w:rsidR="00200512" w:rsidRPr="00C80761" w:rsidRDefault="00200512" w:rsidP="00A433A4">
            <w:pPr>
              <w:rPr>
                <w:sz w:val="20"/>
                <w:szCs w:val="20"/>
              </w:rPr>
            </w:pPr>
            <w:r>
              <w:rPr>
                <w:sz w:val="20"/>
                <w:szCs w:val="20"/>
              </w:rPr>
              <w:t>(1/33)</w:t>
            </w:r>
          </w:p>
        </w:tc>
        <w:tc>
          <w:tcPr>
            <w:tcW w:w="1276" w:type="dxa"/>
          </w:tcPr>
          <w:p w:rsidR="00200512" w:rsidRPr="005B355C" w:rsidRDefault="00200512" w:rsidP="00A433A4">
            <w:pPr>
              <w:rPr>
                <w:sz w:val="20"/>
                <w:szCs w:val="20"/>
              </w:rPr>
            </w:pPr>
            <w:r>
              <w:rPr>
                <w:sz w:val="20"/>
                <w:szCs w:val="20"/>
              </w:rPr>
              <w:t>78.8% (26/33)</w:t>
            </w:r>
          </w:p>
        </w:tc>
        <w:tc>
          <w:tcPr>
            <w:tcW w:w="1417" w:type="dxa"/>
          </w:tcPr>
          <w:p w:rsidR="00200512" w:rsidRDefault="00200512" w:rsidP="00A433A4">
            <w:pPr>
              <w:rPr>
                <w:rFonts w:cs="Calibri"/>
                <w:sz w:val="20"/>
                <w:szCs w:val="20"/>
              </w:rPr>
            </w:pPr>
            <w:r>
              <w:rPr>
                <w:rFonts w:cs="Calibri"/>
                <w:sz w:val="20"/>
                <w:szCs w:val="20"/>
              </w:rPr>
              <w:t xml:space="preserve">45.4%% </w:t>
            </w:r>
          </w:p>
          <w:p w:rsidR="00200512" w:rsidRDefault="00200512" w:rsidP="00A433A4">
            <w:pPr>
              <w:rPr>
                <w:rFonts w:cs="Calibri"/>
                <w:sz w:val="20"/>
                <w:szCs w:val="20"/>
              </w:rPr>
            </w:pPr>
            <w:r>
              <w:rPr>
                <w:rFonts w:cs="Calibri"/>
                <w:sz w:val="20"/>
                <w:szCs w:val="20"/>
              </w:rPr>
              <w:t>(15/33)</w:t>
            </w:r>
          </w:p>
        </w:tc>
        <w:tc>
          <w:tcPr>
            <w:tcW w:w="1418" w:type="dxa"/>
          </w:tcPr>
          <w:p w:rsidR="00200512" w:rsidRDefault="00200512" w:rsidP="00A433A4">
            <w:pPr>
              <w:rPr>
                <w:rFonts w:cs="Calibri"/>
                <w:sz w:val="20"/>
                <w:szCs w:val="20"/>
              </w:rPr>
            </w:pPr>
            <w:r>
              <w:rPr>
                <w:rFonts w:cs="Calibri"/>
                <w:sz w:val="20"/>
                <w:szCs w:val="20"/>
              </w:rPr>
              <w:t xml:space="preserve">33.3% </w:t>
            </w:r>
          </w:p>
          <w:p w:rsidR="00200512" w:rsidRDefault="00200512" w:rsidP="00A433A4">
            <w:pPr>
              <w:rPr>
                <w:rFonts w:cs="Calibri"/>
                <w:sz w:val="20"/>
                <w:szCs w:val="20"/>
              </w:rPr>
            </w:pPr>
            <w:r>
              <w:rPr>
                <w:rFonts w:cs="Calibri"/>
                <w:sz w:val="20"/>
                <w:szCs w:val="20"/>
              </w:rPr>
              <w:t>(11/33)</w:t>
            </w:r>
          </w:p>
        </w:tc>
        <w:tc>
          <w:tcPr>
            <w:tcW w:w="1417" w:type="dxa"/>
          </w:tcPr>
          <w:p w:rsidR="00200512" w:rsidRDefault="00200512" w:rsidP="00A433A4">
            <w:pPr>
              <w:rPr>
                <w:rFonts w:cs="Calibri"/>
                <w:sz w:val="20"/>
                <w:szCs w:val="20"/>
              </w:rPr>
            </w:pPr>
            <w:r>
              <w:rPr>
                <w:rFonts w:cs="Calibri"/>
                <w:sz w:val="20"/>
                <w:szCs w:val="20"/>
              </w:rPr>
              <w:t xml:space="preserve">33.3% </w:t>
            </w:r>
          </w:p>
          <w:p w:rsidR="00200512" w:rsidRDefault="00200512" w:rsidP="00A433A4">
            <w:pPr>
              <w:rPr>
                <w:rFonts w:cs="Calibri"/>
                <w:sz w:val="20"/>
                <w:szCs w:val="20"/>
              </w:rPr>
            </w:pPr>
            <w:r>
              <w:rPr>
                <w:rFonts w:cs="Calibri"/>
                <w:sz w:val="20"/>
                <w:szCs w:val="20"/>
              </w:rPr>
              <w:t>(11/33)</w:t>
            </w:r>
          </w:p>
        </w:tc>
        <w:tc>
          <w:tcPr>
            <w:tcW w:w="1276" w:type="dxa"/>
          </w:tcPr>
          <w:p w:rsidR="00200512" w:rsidRDefault="00200512" w:rsidP="00A433A4">
            <w:pPr>
              <w:rPr>
                <w:rFonts w:cs="Calibri"/>
                <w:sz w:val="20"/>
                <w:szCs w:val="20"/>
              </w:rPr>
            </w:pPr>
            <w:r>
              <w:rPr>
                <w:rFonts w:cs="Calibri"/>
                <w:sz w:val="20"/>
                <w:szCs w:val="20"/>
              </w:rPr>
              <w:t xml:space="preserve">10% </w:t>
            </w:r>
          </w:p>
          <w:p w:rsidR="00200512" w:rsidRDefault="00200512" w:rsidP="00A433A4">
            <w:pPr>
              <w:rPr>
                <w:rFonts w:cs="Calibri"/>
                <w:sz w:val="20"/>
                <w:szCs w:val="20"/>
              </w:rPr>
            </w:pPr>
            <w:r>
              <w:rPr>
                <w:rFonts w:cs="Calibri"/>
                <w:sz w:val="20"/>
                <w:szCs w:val="20"/>
              </w:rPr>
              <w:t>(3/33)</w:t>
            </w:r>
          </w:p>
        </w:tc>
      </w:tr>
      <w:tr w:rsidR="00200512" w:rsidRPr="00C80761" w:rsidTr="00A433A4">
        <w:tc>
          <w:tcPr>
            <w:tcW w:w="1526" w:type="dxa"/>
          </w:tcPr>
          <w:p w:rsidR="00200512" w:rsidRDefault="00200512" w:rsidP="00A433A4">
            <w:pPr>
              <w:rPr>
                <w:sz w:val="20"/>
                <w:szCs w:val="20"/>
              </w:rPr>
            </w:pPr>
            <w:r>
              <w:rPr>
                <w:sz w:val="20"/>
                <w:szCs w:val="20"/>
              </w:rPr>
              <w:t>WOP-SEE</w:t>
            </w:r>
          </w:p>
        </w:tc>
        <w:tc>
          <w:tcPr>
            <w:tcW w:w="1559" w:type="dxa"/>
          </w:tcPr>
          <w:p w:rsidR="00200512" w:rsidRDefault="00200512" w:rsidP="00A433A4">
            <w:pPr>
              <w:rPr>
                <w:sz w:val="20"/>
                <w:szCs w:val="20"/>
              </w:rPr>
            </w:pPr>
            <w:r>
              <w:rPr>
                <w:sz w:val="20"/>
                <w:szCs w:val="20"/>
              </w:rPr>
              <w:t>-</w:t>
            </w:r>
          </w:p>
          <w:p w:rsidR="00200512" w:rsidRPr="00C80761" w:rsidRDefault="00200512" w:rsidP="00A433A4">
            <w:pPr>
              <w:rPr>
                <w:sz w:val="20"/>
                <w:szCs w:val="20"/>
              </w:rPr>
            </w:pPr>
            <w:r>
              <w:rPr>
                <w:sz w:val="20"/>
                <w:szCs w:val="20"/>
              </w:rPr>
              <w:t>(0/13)</w:t>
            </w:r>
          </w:p>
        </w:tc>
        <w:tc>
          <w:tcPr>
            <w:tcW w:w="1276" w:type="dxa"/>
          </w:tcPr>
          <w:p w:rsidR="00200512" w:rsidRPr="00C80761" w:rsidRDefault="00200512" w:rsidP="00A433A4">
            <w:pPr>
              <w:rPr>
                <w:sz w:val="20"/>
                <w:szCs w:val="20"/>
              </w:rPr>
            </w:pPr>
            <w:r>
              <w:rPr>
                <w:sz w:val="20"/>
                <w:szCs w:val="20"/>
              </w:rPr>
              <w:t>100% (13/13)</w:t>
            </w:r>
          </w:p>
        </w:tc>
        <w:tc>
          <w:tcPr>
            <w:tcW w:w="1417" w:type="dxa"/>
          </w:tcPr>
          <w:p w:rsidR="00200512" w:rsidRPr="00C80761" w:rsidRDefault="00200512" w:rsidP="00A433A4">
            <w:pPr>
              <w:rPr>
                <w:sz w:val="20"/>
                <w:szCs w:val="20"/>
              </w:rPr>
            </w:pPr>
            <w:r>
              <w:rPr>
                <w:sz w:val="20"/>
                <w:szCs w:val="20"/>
              </w:rPr>
              <w:t>N/a</w:t>
            </w:r>
          </w:p>
        </w:tc>
        <w:tc>
          <w:tcPr>
            <w:tcW w:w="1418" w:type="dxa"/>
          </w:tcPr>
          <w:p w:rsidR="00200512" w:rsidRPr="00C80761" w:rsidRDefault="00200512" w:rsidP="00A433A4">
            <w:pPr>
              <w:rPr>
                <w:sz w:val="20"/>
                <w:szCs w:val="20"/>
              </w:rPr>
            </w:pPr>
            <w:r>
              <w:rPr>
                <w:sz w:val="20"/>
                <w:szCs w:val="20"/>
              </w:rPr>
              <w:t>N/a</w:t>
            </w:r>
          </w:p>
        </w:tc>
        <w:tc>
          <w:tcPr>
            <w:tcW w:w="1417" w:type="dxa"/>
          </w:tcPr>
          <w:p w:rsidR="00200512" w:rsidRPr="00C80761" w:rsidRDefault="00200512" w:rsidP="00A433A4">
            <w:pPr>
              <w:rPr>
                <w:sz w:val="20"/>
                <w:szCs w:val="20"/>
              </w:rPr>
            </w:pPr>
            <w:r>
              <w:rPr>
                <w:sz w:val="20"/>
                <w:szCs w:val="20"/>
              </w:rPr>
              <w:t>N/a</w:t>
            </w:r>
          </w:p>
        </w:tc>
        <w:tc>
          <w:tcPr>
            <w:tcW w:w="1276" w:type="dxa"/>
          </w:tcPr>
          <w:p w:rsidR="00200512" w:rsidRPr="00C80761" w:rsidRDefault="00200512" w:rsidP="00A433A4">
            <w:pPr>
              <w:rPr>
                <w:sz w:val="20"/>
                <w:szCs w:val="20"/>
              </w:rPr>
            </w:pPr>
            <w:r>
              <w:rPr>
                <w:sz w:val="20"/>
                <w:szCs w:val="20"/>
              </w:rPr>
              <w:t>N/a</w:t>
            </w:r>
          </w:p>
        </w:tc>
      </w:tr>
    </w:tbl>
    <w:p w:rsidR="00D74947" w:rsidRPr="00D74947" w:rsidRDefault="00200512" w:rsidP="00D74947">
      <w:pPr>
        <w:jc w:val="both"/>
      </w:pPr>
      <w:r>
        <w:t xml:space="preserve">Sources: </w:t>
      </w:r>
      <w:r w:rsidR="00964ECD">
        <w:t xml:space="preserve">Table 7, Annex I; </w:t>
      </w:r>
      <w:r w:rsidR="00D74947">
        <w:t xml:space="preserve">Table 2, Section 6. ACP-EU Water Partnerships: Fostering the impact of action; Section 7. </w:t>
      </w:r>
      <w:r w:rsidR="00D74947" w:rsidRPr="00A433A4">
        <w:rPr>
          <w:rFonts w:cs="Calibri"/>
        </w:rPr>
        <w:t>Other international programmes supporting not-for-profit partnerships for capacity development in the water and sanitation sector; Annex V.</w:t>
      </w:r>
    </w:p>
    <w:p w:rsidR="00D74947" w:rsidRPr="00D74947" w:rsidRDefault="00D74947" w:rsidP="00D5574C">
      <w:pPr>
        <w:jc w:val="both"/>
        <w:rPr>
          <w:rStyle w:val="Strong"/>
          <w:b w:val="0"/>
          <w:lang w:val="x-none"/>
        </w:rPr>
      </w:pPr>
    </w:p>
    <w:p w:rsidR="007E31B1" w:rsidRPr="00696871" w:rsidRDefault="007E31B1" w:rsidP="007E31B1">
      <w:pPr>
        <w:pStyle w:val="Heading1"/>
      </w:pPr>
      <w:bookmarkStart w:id="28" w:name="_Toc331783579"/>
      <w:r w:rsidRPr="00696871">
        <w:t>ACP-EU Water Partnerships</w:t>
      </w:r>
      <w:r>
        <w:t>: a</w:t>
      </w:r>
      <w:r w:rsidRPr="00A47C65">
        <w:t xml:space="preserve"> </w:t>
      </w:r>
      <w:r>
        <w:t>SWOT analysis</w:t>
      </w:r>
      <w:bookmarkEnd w:id="28"/>
    </w:p>
    <w:p w:rsidR="007E31B1" w:rsidRPr="00984943" w:rsidRDefault="00694147" w:rsidP="00984943">
      <w:pPr>
        <w:pStyle w:val="NoSpacing"/>
        <w:jc w:val="both"/>
        <w:rPr>
          <w:rFonts w:ascii="Calibri" w:eastAsia="Calibri" w:hAnsi="Calibri"/>
          <w:sz w:val="22"/>
          <w:szCs w:val="22"/>
          <w:lang w:eastAsia="en-US"/>
        </w:rPr>
      </w:pPr>
      <w:r w:rsidRPr="00694147">
        <w:rPr>
          <w:rFonts w:ascii="Calibri" w:hAnsi="Calibri" w:cs="Calibri"/>
          <w:sz w:val="22"/>
          <w:szCs w:val="22"/>
        </w:rPr>
        <w:t xml:space="preserve">Our SWOT analysis </w:t>
      </w:r>
      <w:r w:rsidR="00911C47">
        <w:rPr>
          <w:rFonts w:ascii="Calibri" w:hAnsi="Calibri" w:cs="Calibri"/>
          <w:sz w:val="22"/>
          <w:szCs w:val="22"/>
        </w:rPr>
        <w:t>evaluat</w:t>
      </w:r>
      <w:r w:rsidRPr="00694147">
        <w:rPr>
          <w:rFonts w:ascii="Calibri" w:hAnsi="Calibri" w:cs="Calibri"/>
          <w:sz w:val="22"/>
          <w:szCs w:val="22"/>
        </w:rPr>
        <w:t xml:space="preserve">es the strengths and weaknesses of the </w:t>
      </w:r>
      <w:r w:rsidRPr="00694147">
        <w:rPr>
          <w:rFonts w:ascii="Calibri" w:hAnsi="Calibri"/>
          <w:sz w:val="22"/>
          <w:szCs w:val="22"/>
        </w:rPr>
        <w:t>ACP-EU Water Partnerships</w:t>
      </w:r>
      <w:r>
        <w:rPr>
          <w:rFonts w:ascii="Calibri" w:hAnsi="Calibri"/>
          <w:sz w:val="22"/>
          <w:szCs w:val="22"/>
        </w:rPr>
        <w:t xml:space="preserve"> relative to those of </w:t>
      </w:r>
      <w:r w:rsidR="00911C47">
        <w:rPr>
          <w:rFonts w:ascii="Calibri" w:hAnsi="Calibri"/>
          <w:sz w:val="22"/>
          <w:szCs w:val="22"/>
        </w:rPr>
        <w:t xml:space="preserve">other programmes supporting not-for-profit partnerships in the water and sanitation sector, and in consideration of external opportunities and threats. </w:t>
      </w:r>
      <w:r w:rsidR="00984943">
        <w:rPr>
          <w:rFonts w:ascii="Calibri" w:hAnsi="Calibri"/>
          <w:sz w:val="22"/>
          <w:szCs w:val="22"/>
        </w:rPr>
        <w:t>This</w:t>
      </w:r>
      <w:r w:rsidR="00911C47" w:rsidRPr="00694147">
        <w:rPr>
          <w:rFonts w:ascii="Calibri" w:hAnsi="Calibri" w:cs="Calibri"/>
          <w:sz w:val="22"/>
          <w:szCs w:val="22"/>
        </w:rPr>
        <w:t xml:space="preserve"> analysis</w:t>
      </w:r>
      <w:r w:rsidR="00911C47">
        <w:rPr>
          <w:rFonts w:ascii="Calibri" w:hAnsi="Calibri"/>
          <w:sz w:val="22"/>
          <w:szCs w:val="22"/>
        </w:rPr>
        <w:t xml:space="preserve"> </w:t>
      </w:r>
      <w:r w:rsidR="00984943">
        <w:rPr>
          <w:rFonts w:ascii="Calibri" w:hAnsi="Calibri"/>
          <w:sz w:val="22"/>
          <w:szCs w:val="22"/>
        </w:rPr>
        <w:t xml:space="preserve">aims to identify policy recommendations </w:t>
      </w:r>
      <w:r w:rsidR="00984943" w:rsidRPr="00984943">
        <w:rPr>
          <w:rFonts w:ascii="Calibri" w:hAnsi="Calibri"/>
          <w:sz w:val="22"/>
          <w:szCs w:val="22"/>
        </w:rPr>
        <w:t xml:space="preserve">for the international water community on how to achieve a critical mass of capacity and sustainable water development through not-for-profit partnerships for capacity development. </w:t>
      </w:r>
      <w:r w:rsidR="00B77767">
        <w:rPr>
          <w:rFonts w:ascii="Calibri" w:hAnsi="Calibri"/>
          <w:sz w:val="22"/>
          <w:szCs w:val="22"/>
        </w:rPr>
        <w:t xml:space="preserve">The analysed strengths and weaknesses are the attributes of the </w:t>
      </w:r>
      <w:r w:rsidR="00B77767" w:rsidRPr="00694147">
        <w:rPr>
          <w:rFonts w:ascii="Calibri" w:hAnsi="Calibri"/>
          <w:sz w:val="22"/>
          <w:szCs w:val="22"/>
        </w:rPr>
        <w:t>ACP-EU Water Partnerships</w:t>
      </w:r>
      <w:r w:rsidR="00B77767">
        <w:rPr>
          <w:rFonts w:ascii="Calibri" w:hAnsi="Calibri"/>
          <w:sz w:val="22"/>
          <w:szCs w:val="22"/>
        </w:rPr>
        <w:t xml:space="preserve"> that are respectively help</w:t>
      </w:r>
      <w:r w:rsidR="0005223D">
        <w:rPr>
          <w:rFonts w:ascii="Calibri" w:hAnsi="Calibri"/>
          <w:sz w:val="22"/>
          <w:szCs w:val="22"/>
        </w:rPr>
        <w:t>ful and harmful to achieving a</w:t>
      </w:r>
      <w:r w:rsidR="00B77767">
        <w:rPr>
          <w:rFonts w:ascii="Calibri" w:hAnsi="Calibri"/>
          <w:sz w:val="22"/>
          <w:szCs w:val="22"/>
        </w:rPr>
        <w:t xml:space="preserve"> critical mass of capacity functional to attaining sustainable water development. The analysed opportunities and threats are the external conditions that could facilitate or undermine the achievement of a critical mass of capacity in the water and sanitation sector. </w:t>
      </w:r>
      <w:r w:rsidR="0010643D" w:rsidRPr="00984943">
        <w:rPr>
          <w:rFonts w:ascii="Calibri" w:hAnsi="Calibri"/>
          <w:sz w:val="22"/>
          <w:szCs w:val="22"/>
        </w:rPr>
        <w:t xml:space="preserve">The figure below summarises </w:t>
      </w:r>
      <w:r w:rsidR="001D410C" w:rsidRPr="00984943">
        <w:rPr>
          <w:rFonts w:ascii="Calibri" w:hAnsi="Calibri"/>
          <w:sz w:val="22"/>
          <w:szCs w:val="22"/>
        </w:rPr>
        <w:t xml:space="preserve">the </w:t>
      </w:r>
      <w:r w:rsidR="00FC26A0">
        <w:rPr>
          <w:rFonts w:ascii="Calibri" w:hAnsi="Calibri"/>
          <w:sz w:val="22"/>
          <w:szCs w:val="22"/>
        </w:rPr>
        <w:t>findings of our</w:t>
      </w:r>
      <w:r w:rsidR="001D410C" w:rsidRPr="00984943">
        <w:rPr>
          <w:rFonts w:ascii="Calibri" w:hAnsi="Calibri"/>
          <w:sz w:val="22"/>
          <w:szCs w:val="22"/>
        </w:rPr>
        <w:t xml:space="preserve"> </w:t>
      </w:r>
      <w:r w:rsidR="0010643D" w:rsidRPr="00984943">
        <w:rPr>
          <w:rFonts w:ascii="Calibri" w:hAnsi="Calibri"/>
          <w:sz w:val="22"/>
          <w:szCs w:val="22"/>
        </w:rPr>
        <w:t xml:space="preserve">SWOT </w:t>
      </w:r>
      <w:r w:rsidR="00FC26A0">
        <w:rPr>
          <w:rFonts w:ascii="Calibri" w:hAnsi="Calibri"/>
          <w:sz w:val="22"/>
          <w:szCs w:val="22"/>
        </w:rPr>
        <w:t>analysis</w:t>
      </w:r>
      <w:r w:rsidR="0010643D" w:rsidRPr="00984943">
        <w:rPr>
          <w:rFonts w:ascii="Calibri" w:hAnsi="Calibri"/>
          <w:sz w:val="22"/>
          <w:szCs w:val="22"/>
        </w:rPr>
        <w:t xml:space="preserve">. </w:t>
      </w:r>
    </w:p>
    <w:p w:rsidR="007E31B1" w:rsidRPr="0010643D" w:rsidRDefault="007E31B1" w:rsidP="007E31B1"/>
    <w:tbl>
      <w:tblPr>
        <w:tblW w:w="0" w:type="auto"/>
        <w:jc w:val="center"/>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7"/>
        <w:gridCol w:w="3644"/>
      </w:tblGrid>
      <w:tr w:rsidR="007E31B1" w:rsidRPr="00C6144D" w:rsidTr="003E5565">
        <w:trPr>
          <w:jc w:val="center"/>
        </w:trPr>
        <w:tc>
          <w:tcPr>
            <w:tcW w:w="3627" w:type="dxa"/>
          </w:tcPr>
          <w:p w:rsidR="007E31B1" w:rsidRPr="00C6144D" w:rsidRDefault="007E31B1" w:rsidP="003E5565">
            <w:pPr>
              <w:jc w:val="center"/>
              <w:rPr>
                <w:b/>
              </w:rPr>
            </w:pPr>
            <w:r w:rsidRPr="00C6144D">
              <w:rPr>
                <w:b/>
              </w:rPr>
              <w:t>Strengths</w:t>
            </w:r>
          </w:p>
          <w:p w:rsidR="007E31B1" w:rsidRDefault="00984943" w:rsidP="004A724D">
            <w:pPr>
              <w:numPr>
                <w:ilvl w:val="0"/>
                <w:numId w:val="15"/>
              </w:numPr>
            </w:pPr>
            <w:r>
              <w:rPr>
                <w:rFonts w:cs="Calibri"/>
              </w:rPr>
              <w:t>Significant resources</w:t>
            </w:r>
          </w:p>
          <w:p w:rsidR="007E31B1" w:rsidRDefault="00984943" w:rsidP="004A724D">
            <w:pPr>
              <w:numPr>
                <w:ilvl w:val="0"/>
                <w:numId w:val="15"/>
              </w:numPr>
            </w:pPr>
            <w:r>
              <w:rPr>
                <w:rFonts w:cs="Calibri"/>
              </w:rPr>
              <w:t>Coherent evaluation framework</w:t>
            </w:r>
          </w:p>
          <w:p w:rsidR="00697403" w:rsidRPr="00C6144D" w:rsidRDefault="00984943" w:rsidP="00C7152E">
            <w:pPr>
              <w:numPr>
                <w:ilvl w:val="0"/>
                <w:numId w:val="15"/>
              </w:numPr>
            </w:pPr>
            <w:r>
              <w:rPr>
                <w:rFonts w:cs="Calibri"/>
              </w:rPr>
              <w:t>Involvement of Non State Actors</w:t>
            </w:r>
            <w:r w:rsidR="007E31B1">
              <w:t xml:space="preserve"> </w:t>
            </w:r>
          </w:p>
        </w:tc>
        <w:tc>
          <w:tcPr>
            <w:tcW w:w="3644" w:type="dxa"/>
          </w:tcPr>
          <w:p w:rsidR="007E31B1" w:rsidRPr="00C6144D" w:rsidRDefault="007E31B1" w:rsidP="003E5565">
            <w:pPr>
              <w:jc w:val="center"/>
              <w:rPr>
                <w:b/>
              </w:rPr>
            </w:pPr>
            <w:r w:rsidRPr="00C6144D">
              <w:rPr>
                <w:b/>
              </w:rPr>
              <w:t>Weaknesses</w:t>
            </w:r>
          </w:p>
          <w:p w:rsidR="007E31B1" w:rsidRPr="00C6144D" w:rsidRDefault="004D7323" w:rsidP="004A724D">
            <w:pPr>
              <w:numPr>
                <w:ilvl w:val="0"/>
                <w:numId w:val="16"/>
              </w:numPr>
            </w:pPr>
            <w:r>
              <w:t>Limited time horizon</w:t>
            </w:r>
          </w:p>
          <w:p w:rsidR="007E31B1" w:rsidRDefault="00410CAB" w:rsidP="00426A89">
            <w:pPr>
              <w:numPr>
                <w:ilvl w:val="0"/>
                <w:numId w:val="16"/>
              </w:numPr>
            </w:pPr>
            <w:r>
              <w:t>Partial</w:t>
            </w:r>
            <w:r w:rsidR="007E31B1">
              <w:t xml:space="preserve"> disbursement of available resources</w:t>
            </w:r>
          </w:p>
          <w:p w:rsidR="00C7152E" w:rsidRPr="00C6144D" w:rsidRDefault="004D7323" w:rsidP="00BD7CCB">
            <w:pPr>
              <w:numPr>
                <w:ilvl w:val="0"/>
                <w:numId w:val="16"/>
              </w:numPr>
            </w:pPr>
            <w:r>
              <w:t>Limited South-South component</w:t>
            </w:r>
          </w:p>
        </w:tc>
      </w:tr>
      <w:tr w:rsidR="007E31B1" w:rsidRPr="00C6144D" w:rsidTr="003E5565">
        <w:trPr>
          <w:jc w:val="center"/>
        </w:trPr>
        <w:tc>
          <w:tcPr>
            <w:tcW w:w="3627" w:type="dxa"/>
          </w:tcPr>
          <w:p w:rsidR="007E31B1" w:rsidRPr="00C6144D" w:rsidRDefault="007E31B1" w:rsidP="003E5565">
            <w:pPr>
              <w:jc w:val="center"/>
              <w:rPr>
                <w:b/>
              </w:rPr>
            </w:pPr>
            <w:r w:rsidRPr="00C6144D">
              <w:rPr>
                <w:b/>
              </w:rPr>
              <w:t>Opportunities</w:t>
            </w:r>
          </w:p>
          <w:p w:rsidR="00B77767" w:rsidRDefault="00B77767" w:rsidP="004A724D">
            <w:pPr>
              <w:numPr>
                <w:ilvl w:val="0"/>
                <w:numId w:val="17"/>
              </w:numPr>
            </w:pPr>
            <w:r>
              <w:t>Available not-for-profit capacity</w:t>
            </w:r>
          </w:p>
          <w:p w:rsidR="00B77767" w:rsidRDefault="00B77767" w:rsidP="004A724D">
            <w:pPr>
              <w:numPr>
                <w:ilvl w:val="0"/>
                <w:numId w:val="17"/>
              </w:numPr>
            </w:pPr>
            <w:r>
              <w:t>Growing demand for not-for-profit partnerships</w:t>
            </w:r>
          </w:p>
          <w:p w:rsidR="007E31B1" w:rsidRPr="00C6144D" w:rsidRDefault="007E31B1" w:rsidP="00B77767">
            <w:pPr>
              <w:numPr>
                <w:ilvl w:val="0"/>
                <w:numId w:val="17"/>
              </w:numPr>
            </w:pPr>
            <w:r>
              <w:t xml:space="preserve">Growing interest in </w:t>
            </w:r>
            <w:r w:rsidR="002043B6">
              <w:t xml:space="preserve">funding </w:t>
            </w:r>
            <w:r w:rsidR="00833846">
              <w:t>not-for-profit partnerships</w:t>
            </w:r>
          </w:p>
        </w:tc>
        <w:tc>
          <w:tcPr>
            <w:tcW w:w="3644" w:type="dxa"/>
          </w:tcPr>
          <w:p w:rsidR="007E31B1" w:rsidRPr="00C6144D" w:rsidRDefault="007E31B1" w:rsidP="003E5565">
            <w:pPr>
              <w:jc w:val="center"/>
              <w:rPr>
                <w:b/>
              </w:rPr>
            </w:pPr>
            <w:r w:rsidRPr="00C6144D">
              <w:rPr>
                <w:b/>
              </w:rPr>
              <w:t>Threats</w:t>
            </w:r>
          </w:p>
          <w:p w:rsidR="007E31B1" w:rsidRDefault="00267FDC" w:rsidP="004A724D">
            <w:pPr>
              <w:numPr>
                <w:ilvl w:val="0"/>
                <w:numId w:val="18"/>
              </w:numPr>
            </w:pPr>
            <w:r>
              <w:t>Inadequate resources to match the scale of need</w:t>
            </w:r>
          </w:p>
          <w:p w:rsidR="007E31B1" w:rsidRPr="00C6144D" w:rsidRDefault="00267FDC" w:rsidP="000C3890">
            <w:pPr>
              <w:numPr>
                <w:ilvl w:val="0"/>
                <w:numId w:val="18"/>
              </w:numPr>
            </w:pPr>
            <w:r>
              <w:t xml:space="preserve">Long term </w:t>
            </w:r>
            <w:r w:rsidR="000C3890">
              <w:t>donors’ commitment</w:t>
            </w:r>
            <w:r>
              <w:t xml:space="preserve"> to support not-for-profit partnerships</w:t>
            </w:r>
            <w:r w:rsidR="0015069A">
              <w:t xml:space="preserve"> </w:t>
            </w:r>
          </w:p>
        </w:tc>
      </w:tr>
    </w:tbl>
    <w:p w:rsidR="00C7152E" w:rsidRPr="00806819" w:rsidRDefault="00C7152E" w:rsidP="007E31B1">
      <w:pPr>
        <w:pStyle w:val="NoSpacing"/>
        <w:jc w:val="both"/>
        <w:rPr>
          <w:rFonts w:ascii="Calibri" w:hAnsi="Calibri" w:cs="Calibri"/>
          <w:sz w:val="22"/>
          <w:szCs w:val="22"/>
        </w:rPr>
      </w:pPr>
    </w:p>
    <w:p w:rsidR="00C7152E" w:rsidRPr="00C7152E" w:rsidRDefault="00C7152E" w:rsidP="00C7152E">
      <w:pPr>
        <w:pStyle w:val="Heading2"/>
      </w:pPr>
      <w:bookmarkStart w:id="29" w:name="_Toc331783580"/>
      <w:r w:rsidRPr="00C7152E">
        <w:t xml:space="preserve">Strengths: </w:t>
      </w:r>
      <w:r w:rsidR="00984943">
        <w:rPr>
          <w:lang w:val="en-GB"/>
        </w:rPr>
        <w:t>Significant resources</w:t>
      </w:r>
      <w:bookmarkEnd w:id="29"/>
    </w:p>
    <w:p w:rsidR="00C7152E" w:rsidRPr="00806819" w:rsidRDefault="00490709" w:rsidP="007E31B1">
      <w:pPr>
        <w:pStyle w:val="NoSpacing"/>
        <w:jc w:val="both"/>
        <w:rPr>
          <w:rFonts w:ascii="Calibri" w:hAnsi="Calibri" w:cs="Calibri"/>
          <w:sz w:val="22"/>
          <w:szCs w:val="22"/>
        </w:rPr>
      </w:pPr>
      <w:r>
        <w:rPr>
          <w:rFonts w:ascii="Calibri" w:hAnsi="Calibri"/>
          <w:sz w:val="22"/>
          <w:szCs w:val="22"/>
        </w:rPr>
        <w:t xml:space="preserve">The financial resources made available by the </w:t>
      </w:r>
      <w:r w:rsidRPr="00A469D0">
        <w:rPr>
          <w:rFonts w:ascii="Calibri" w:hAnsi="Calibri"/>
          <w:sz w:val="22"/>
          <w:szCs w:val="22"/>
        </w:rPr>
        <w:t>ACP-EU Water Facility</w:t>
      </w:r>
      <w:r>
        <w:rPr>
          <w:rFonts w:ascii="Calibri" w:hAnsi="Calibri"/>
          <w:sz w:val="22"/>
          <w:szCs w:val="22"/>
        </w:rPr>
        <w:t xml:space="preserve"> for </w:t>
      </w:r>
      <w:r w:rsidRPr="00A469D0">
        <w:rPr>
          <w:rFonts w:ascii="Calibri" w:hAnsi="Calibri"/>
          <w:sz w:val="22"/>
          <w:szCs w:val="22"/>
        </w:rPr>
        <w:t>ACP-EU Water Partnerships</w:t>
      </w:r>
      <w:r w:rsidR="000507B4">
        <w:rPr>
          <w:rFonts w:ascii="Calibri" w:hAnsi="Calibri"/>
          <w:sz w:val="22"/>
          <w:szCs w:val="22"/>
        </w:rPr>
        <w:t xml:space="preserve"> represent</w:t>
      </w:r>
      <w:r>
        <w:rPr>
          <w:rFonts w:ascii="Calibri" w:hAnsi="Calibri"/>
          <w:sz w:val="22"/>
          <w:szCs w:val="22"/>
        </w:rPr>
        <w:t xml:space="preserve"> a significant contribution to capacity for development in the ACP water and sanitation sector. These resources are significant compared to the resources that a number of donors have made available for</w:t>
      </w:r>
      <w:r w:rsidR="000507B4">
        <w:rPr>
          <w:rFonts w:ascii="Calibri" w:hAnsi="Calibri"/>
          <w:sz w:val="22"/>
          <w:szCs w:val="22"/>
        </w:rPr>
        <w:t xml:space="preserve"> WOPs in Africa, Latin America and</w:t>
      </w:r>
      <w:r>
        <w:rPr>
          <w:rFonts w:ascii="Calibri" w:hAnsi="Calibri"/>
          <w:sz w:val="22"/>
          <w:szCs w:val="22"/>
        </w:rPr>
        <w:t xml:space="preserve"> the Caribbean, Asia and Pacific</w:t>
      </w:r>
      <w:r w:rsidR="000E03C5">
        <w:rPr>
          <w:rFonts w:ascii="Calibri" w:hAnsi="Calibri"/>
          <w:sz w:val="22"/>
          <w:szCs w:val="22"/>
        </w:rPr>
        <w:t xml:space="preserve">, and </w:t>
      </w:r>
      <w:smartTag w:uri="urn:schemas-microsoft-com:office:smarttags" w:element="place">
        <w:r w:rsidR="000E03C5">
          <w:rPr>
            <w:rFonts w:ascii="Calibri" w:hAnsi="Calibri"/>
            <w:sz w:val="22"/>
            <w:szCs w:val="22"/>
          </w:rPr>
          <w:t>South-East Europe</w:t>
        </w:r>
      </w:smartTag>
      <w:r>
        <w:rPr>
          <w:rFonts w:ascii="Calibri" w:hAnsi="Calibri"/>
          <w:sz w:val="22"/>
          <w:szCs w:val="22"/>
        </w:rPr>
        <w:t xml:space="preserve">. These resources </w:t>
      </w:r>
      <w:r w:rsidRPr="0010643D">
        <w:rPr>
          <w:rFonts w:ascii="Calibri" w:hAnsi="Calibri"/>
          <w:sz w:val="22"/>
          <w:szCs w:val="22"/>
        </w:rPr>
        <w:t xml:space="preserve">enable </w:t>
      </w:r>
      <w:r w:rsidRPr="00A469D0">
        <w:rPr>
          <w:rFonts w:ascii="Calibri" w:hAnsi="Calibri"/>
          <w:sz w:val="22"/>
          <w:szCs w:val="22"/>
        </w:rPr>
        <w:t>ACP-EU Water Partnerships</w:t>
      </w:r>
      <w:r w:rsidRPr="0010643D">
        <w:rPr>
          <w:rFonts w:ascii="Calibri" w:hAnsi="Calibri"/>
          <w:sz w:val="22"/>
          <w:szCs w:val="22"/>
        </w:rPr>
        <w:t xml:space="preserve"> to make </w:t>
      </w:r>
      <w:r>
        <w:rPr>
          <w:rFonts w:ascii="Calibri" w:hAnsi="Calibri"/>
          <w:sz w:val="22"/>
          <w:szCs w:val="22"/>
        </w:rPr>
        <w:t xml:space="preserve">a tangible </w:t>
      </w:r>
      <w:r w:rsidRPr="000553FF">
        <w:rPr>
          <w:rFonts w:ascii="Calibri" w:hAnsi="Calibri"/>
          <w:sz w:val="22"/>
          <w:szCs w:val="22"/>
        </w:rPr>
        <w:t xml:space="preserve">impact </w:t>
      </w:r>
      <w:r w:rsidR="00BD7CCB">
        <w:rPr>
          <w:rFonts w:ascii="Calibri" w:hAnsi="Calibri"/>
          <w:sz w:val="22"/>
          <w:szCs w:val="22"/>
        </w:rPr>
        <w:t>which – considering the number of partnerships together with their duration, total mobilised funds, and the breadth of themes addressed by actions – is not paralleled by other programmes</w:t>
      </w:r>
      <w:r w:rsidRPr="000553FF">
        <w:rPr>
          <w:rFonts w:ascii="Calibri" w:hAnsi="Calibri"/>
          <w:sz w:val="22"/>
          <w:szCs w:val="22"/>
        </w:rPr>
        <w:t>.</w:t>
      </w:r>
    </w:p>
    <w:p w:rsidR="00C7152E" w:rsidRPr="00806819" w:rsidRDefault="00C7152E" w:rsidP="007E31B1">
      <w:pPr>
        <w:pStyle w:val="NoSpacing"/>
        <w:jc w:val="both"/>
        <w:rPr>
          <w:rFonts w:ascii="Calibri" w:hAnsi="Calibri" w:cs="Calibri"/>
          <w:sz w:val="22"/>
          <w:szCs w:val="22"/>
        </w:rPr>
      </w:pPr>
    </w:p>
    <w:p w:rsidR="00C7152E" w:rsidRDefault="00A346C0" w:rsidP="00C7152E">
      <w:pPr>
        <w:pStyle w:val="Heading2"/>
      </w:pPr>
      <w:bookmarkStart w:id="30" w:name="_Toc331783581"/>
      <w:r>
        <w:rPr>
          <w:lang w:val="en-GB"/>
        </w:rPr>
        <w:t xml:space="preserve">Strengths: </w:t>
      </w:r>
      <w:r w:rsidR="00984943">
        <w:rPr>
          <w:lang w:val="en-GB"/>
        </w:rPr>
        <w:t>Coherent evaluation framework</w:t>
      </w:r>
      <w:bookmarkEnd w:id="30"/>
    </w:p>
    <w:p w:rsidR="00C7152E" w:rsidRPr="00426E92" w:rsidRDefault="0081196E" w:rsidP="007E31B1">
      <w:pPr>
        <w:pStyle w:val="NoSpacing"/>
        <w:jc w:val="both"/>
        <w:rPr>
          <w:rFonts w:ascii="Calibri" w:hAnsi="Calibri"/>
          <w:sz w:val="22"/>
          <w:szCs w:val="22"/>
        </w:rPr>
      </w:pPr>
      <w:r>
        <w:rPr>
          <w:rFonts w:ascii="Calibri" w:hAnsi="Calibri"/>
          <w:sz w:val="22"/>
          <w:szCs w:val="22"/>
        </w:rPr>
        <w:t xml:space="preserve">The selection of </w:t>
      </w:r>
      <w:r w:rsidRPr="00A469D0">
        <w:rPr>
          <w:rFonts w:ascii="Calibri" w:hAnsi="Calibri"/>
          <w:sz w:val="22"/>
          <w:szCs w:val="22"/>
        </w:rPr>
        <w:t>ACP-EU Water Partnerships</w:t>
      </w:r>
      <w:r>
        <w:rPr>
          <w:rFonts w:ascii="Calibri" w:hAnsi="Calibri"/>
          <w:sz w:val="22"/>
          <w:szCs w:val="22"/>
        </w:rPr>
        <w:t xml:space="preserve"> has been informed by a coherent evaluation framework, consisting of eligibility </w:t>
      </w:r>
      <w:r w:rsidR="00735533">
        <w:rPr>
          <w:rFonts w:ascii="Calibri" w:hAnsi="Calibri"/>
          <w:sz w:val="22"/>
          <w:szCs w:val="22"/>
        </w:rPr>
        <w:t xml:space="preserve">and selection </w:t>
      </w:r>
      <w:r>
        <w:rPr>
          <w:rFonts w:ascii="Calibri" w:hAnsi="Calibri"/>
          <w:sz w:val="22"/>
          <w:szCs w:val="22"/>
        </w:rPr>
        <w:t>criteria</w:t>
      </w:r>
      <w:r w:rsidR="00735533">
        <w:rPr>
          <w:rFonts w:ascii="Calibri" w:hAnsi="Calibri"/>
          <w:sz w:val="22"/>
          <w:szCs w:val="22"/>
        </w:rPr>
        <w:t xml:space="preserve"> applicable to all applicants and specifically aimed at achieving a critical mass of capacity. This evaluation framework </w:t>
      </w:r>
      <w:r w:rsidR="00426E92">
        <w:rPr>
          <w:rFonts w:ascii="Calibri" w:hAnsi="Calibri"/>
          <w:sz w:val="22"/>
          <w:szCs w:val="22"/>
        </w:rPr>
        <w:t>addresses crucial factors of sustainable development (e.g. good water governance, Integrated Water Resources Management, participatory governance, institutional support, awareness raising) in a way that other programmes primarily focused on</w:t>
      </w:r>
      <w:r w:rsidR="000E03C5">
        <w:rPr>
          <w:rFonts w:ascii="Calibri" w:hAnsi="Calibri"/>
          <w:sz w:val="22"/>
          <w:szCs w:val="22"/>
        </w:rPr>
        <w:t xml:space="preserve"> traditional</w:t>
      </w:r>
      <w:r w:rsidR="00426E92">
        <w:rPr>
          <w:rFonts w:ascii="Calibri" w:hAnsi="Calibri"/>
          <w:sz w:val="22"/>
          <w:szCs w:val="22"/>
        </w:rPr>
        <w:t xml:space="preserve"> operational </w:t>
      </w:r>
      <w:r w:rsidR="000E03C5">
        <w:rPr>
          <w:rFonts w:ascii="Calibri" w:hAnsi="Calibri"/>
          <w:sz w:val="22"/>
          <w:szCs w:val="22"/>
        </w:rPr>
        <w:t>and managerial them</w:t>
      </w:r>
      <w:r w:rsidR="00426E92">
        <w:rPr>
          <w:rFonts w:ascii="Calibri" w:hAnsi="Calibri"/>
          <w:sz w:val="22"/>
          <w:szCs w:val="22"/>
        </w:rPr>
        <w:t xml:space="preserve">es do not. The </w:t>
      </w:r>
      <w:r w:rsidR="00426E92" w:rsidRPr="00A469D0">
        <w:rPr>
          <w:rFonts w:ascii="Calibri" w:hAnsi="Calibri"/>
          <w:sz w:val="22"/>
          <w:szCs w:val="22"/>
        </w:rPr>
        <w:t>ACP-EU Water Partnerships</w:t>
      </w:r>
      <w:r w:rsidR="00426E92">
        <w:rPr>
          <w:rFonts w:ascii="Calibri" w:hAnsi="Calibri"/>
          <w:sz w:val="22"/>
          <w:szCs w:val="22"/>
        </w:rPr>
        <w:t xml:space="preserve"> evaluation framework also </w:t>
      </w:r>
      <w:r w:rsidR="00165A6D">
        <w:rPr>
          <w:rFonts w:ascii="Calibri" w:hAnsi="Calibri"/>
          <w:sz w:val="22"/>
          <w:szCs w:val="22"/>
        </w:rPr>
        <w:t>harmonises</w:t>
      </w:r>
      <w:r w:rsidR="00735533">
        <w:rPr>
          <w:rFonts w:ascii="Calibri" w:hAnsi="Calibri"/>
          <w:sz w:val="22"/>
          <w:szCs w:val="22"/>
        </w:rPr>
        <w:t xml:space="preserve"> the </w:t>
      </w:r>
      <w:r w:rsidR="00165A6D">
        <w:rPr>
          <w:rFonts w:ascii="Calibri" w:hAnsi="Calibri"/>
          <w:sz w:val="22"/>
          <w:szCs w:val="22"/>
        </w:rPr>
        <w:t>direction of actions by emphasising the achievement of tangible and sustained results locally, and the production of efforts to replicate and up-scale local capacity development processes.</w:t>
      </w:r>
      <w:r w:rsidR="005B389F">
        <w:rPr>
          <w:rFonts w:ascii="Calibri" w:hAnsi="Calibri"/>
          <w:sz w:val="22"/>
          <w:szCs w:val="22"/>
        </w:rPr>
        <w:t xml:space="preserve"> Other programmes do not require partnerships to produce</w:t>
      </w:r>
      <w:r w:rsidR="00523714">
        <w:rPr>
          <w:rFonts w:ascii="Calibri" w:hAnsi="Calibri"/>
          <w:sz w:val="22"/>
          <w:szCs w:val="22"/>
        </w:rPr>
        <w:t xml:space="preserve"> permanent results or</w:t>
      </w:r>
      <w:r w:rsidR="005B389F">
        <w:rPr>
          <w:rFonts w:ascii="Calibri" w:hAnsi="Calibri"/>
          <w:sz w:val="22"/>
          <w:szCs w:val="22"/>
        </w:rPr>
        <w:t xml:space="preserve"> a multiplier effect</w:t>
      </w:r>
      <w:r w:rsidR="00373D7A">
        <w:rPr>
          <w:rFonts w:ascii="Calibri" w:hAnsi="Calibri"/>
          <w:sz w:val="22"/>
          <w:szCs w:val="22"/>
        </w:rPr>
        <w:t xml:space="preserve">, although </w:t>
      </w:r>
      <w:r w:rsidR="00523714">
        <w:rPr>
          <w:rFonts w:ascii="Calibri" w:hAnsi="Calibri"/>
          <w:sz w:val="22"/>
          <w:szCs w:val="22"/>
        </w:rPr>
        <w:t>their principles might include res</w:t>
      </w:r>
      <w:r w:rsidR="000E03C5">
        <w:rPr>
          <w:rFonts w:ascii="Calibri" w:hAnsi="Calibri"/>
          <w:sz w:val="22"/>
          <w:szCs w:val="22"/>
        </w:rPr>
        <w:t xml:space="preserve">ult-orientation and replication and </w:t>
      </w:r>
      <w:r w:rsidR="00523714">
        <w:rPr>
          <w:rFonts w:ascii="Calibri" w:hAnsi="Calibri"/>
          <w:sz w:val="22"/>
          <w:szCs w:val="22"/>
        </w:rPr>
        <w:t>scaling-up (e.g. WaterLinks),</w:t>
      </w:r>
      <w:r w:rsidR="00523714" w:rsidRPr="007746B0">
        <w:rPr>
          <w:rStyle w:val="EndnoteReference"/>
          <w:rFonts w:cs="Calibri"/>
        </w:rPr>
        <w:endnoteReference w:id="63"/>
      </w:r>
      <w:r w:rsidR="00523714">
        <w:rPr>
          <w:rFonts w:ascii="Calibri" w:hAnsi="Calibri"/>
          <w:sz w:val="22"/>
          <w:szCs w:val="22"/>
        </w:rPr>
        <w:t xml:space="preserve"> or </w:t>
      </w:r>
      <w:r w:rsidR="00373D7A">
        <w:rPr>
          <w:rFonts w:ascii="Calibri" w:hAnsi="Calibri"/>
          <w:sz w:val="22"/>
          <w:szCs w:val="22"/>
        </w:rPr>
        <w:t>they might plan to adopt s</w:t>
      </w:r>
      <w:r w:rsidR="000E03C5">
        <w:rPr>
          <w:rFonts w:ascii="Calibri" w:hAnsi="Calibri"/>
          <w:sz w:val="22"/>
          <w:szCs w:val="22"/>
        </w:rPr>
        <w:t>eparate initiatives towards scaling-up</w:t>
      </w:r>
      <w:r w:rsidR="00373D7A">
        <w:rPr>
          <w:rFonts w:ascii="Calibri" w:hAnsi="Calibri"/>
          <w:sz w:val="22"/>
          <w:szCs w:val="22"/>
        </w:rPr>
        <w:t xml:space="preserve"> (e.g. WOP-Africa).</w:t>
      </w:r>
      <w:r w:rsidR="00426E92">
        <w:rPr>
          <w:rFonts w:ascii="Calibri" w:hAnsi="Calibri"/>
          <w:sz w:val="22"/>
          <w:szCs w:val="22"/>
        </w:rPr>
        <w:t xml:space="preserve"> Finally, the emphasis placed by </w:t>
      </w:r>
      <w:r w:rsidR="00426E92" w:rsidRPr="00A469D0">
        <w:rPr>
          <w:rFonts w:ascii="Calibri" w:hAnsi="Calibri"/>
          <w:sz w:val="22"/>
          <w:szCs w:val="22"/>
        </w:rPr>
        <w:t>ACP-EU Water Partnerships</w:t>
      </w:r>
      <w:r w:rsidR="00426E92">
        <w:rPr>
          <w:rFonts w:ascii="Calibri" w:hAnsi="Calibri"/>
          <w:sz w:val="22"/>
          <w:szCs w:val="22"/>
        </w:rPr>
        <w:t xml:space="preserve"> on locking-in the impact of action </w:t>
      </w:r>
      <w:r w:rsidR="005B389F">
        <w:rPr>
          <w:rFonts w:ascii="Calibri" w:hAnsi="Calibri"/>
          <w:sz w:val="22"/>
          <w:szCs w:val="22"/>
        </w:rPr>
        <w:t xml:space="preserve">as a result of the evaluation and monitoring of partnerships projects finds no equal in other programmes, with the exception of WOP-Africa.   </w:t>
      </w:r>
      <w:r w:rsidR="00426E92">
        <w:rPr>
          <w:rFonts w:ascii="Calibri" w:hAnsi="Calibri"/>
          <w:sz w:val="22"/>
          <w:szCs w:val="22"/>
        </w:rPr>
        <w:t xml:space="preserve"> </w:t>
      </w:r>
      <w:r w:rsidR="00165A6D">
        <w:rPr>
          <w:rFonts w:ascii="Calibri" w:hAnsi="Calibri"/>
          <w:sz w:val="22"/>
          <w:szCs w:val="22"/>
        </w:rPr>
        <w:t xml:space="preserve">     </w:t>
      </w:r>
      <w:r w:rsidR="00735533">
        <w:rPr>
          <w:rFonts w:ascii="Calibri" w:hAnsi="Calibri"/>
          <w:sz w:val="22"/>
          <w:szCs w:val="22"/>
        </w:rPr>
        <w:t xml:space="preserve">  </w:t>
      </w:r>
    </w:p>
    <w:p w:rsidR="000D777A" w:rsidRDefault="000D777A" w:rsidP="007E31B1">
      <w:pPr>
        <w:pStyle w:val="NoSpacing"/>
        <w:jc w:val="both"/>
        <w:rPr>
          <w:rFonts w:ascii="Calibri" w:hAnsi="Calibri" w:cs="Calibri"/>
          <w:sz w:val="22"/>
          <w:szCs w:val="22"/>
        </w:rPr>
      </w:pPr>
    </w:p>
    <w:p w:rsidR="00C7152E" w:rsidRDefault="00A346C0" w:rsidP="00C7152E">
      <w:pPr>
        <w:pStyle w:val="Heading2"/>
      </w:pPr>
      <w:bookmarkStart w:id="31" w:name="_Toc331783582"/>
      <w:r>
        <w:rPr>
          <w:lang w:val="en-GB"/>
        </w:rPr>
        <w:t xml:space="preserve">Strengths: </w:t>
      </w:r>
      <w:r w:rsidR="00984943">
        <w:rPr>
          <w:rFonts w:cs="Calibri"/>
        </w:rPr>
        <w:t>Involvement of Non State Actors</w:t>
      </w:r>
      <w:bookmarkEnd w:id="31"/>
    </w:p>
    <w:p w:rsidR="00C7152E" w:rsidRPr="00667985" w:rsidRDefault="00667985" w:rsidP="007E31B1">
      <w:pPr>
        <w:pStyle w:val="NoSpacing"/>
        <w:jc w:val="both"/>
        <w:rPr>
          <w:rFonts w:ascii="Calibri" w:hAnsi="Calibri" w:cs="Calibri"/>
          <w:sz w:val="22"/>
          <w:szCs w:val="22"/>
        </w:rPr>
      </w:pPr>
      <w:r>
        <w:rPr>
          <w:rFonts w:ascii="Calibri" w:hAnsi="Calibri" w:cs="Calibri"/>
          <w:sz w:val="22"/>
          <w:szCs w:val="22"/>
        </w:rPr>
        <w:t xml:space="preserve">The involvement of Non State Actors in </w:t>
      </w:r>
      <w:r w:rsidRPr="00A469D0">
        <w:rPr>
          <w:rFonts w:ascii="Calibri" w:hAnsi="Calibri"/>
          <w:sz w:val="22"/>
          <w:szCs w:val="22"/>
        </w:rPr>
        <w:t>ACP-EU Water Partnerships</w:t>
      </w:r>
      <w:r w:rsidR="00B25479" w:rsidRPr="00B25479">
        <w:rPr>
          <w:rFonts w:ascii="Calibri" w:hAnsi="Calibri"/>
          <w:sz w:val="22"/>
          <w:szCs w:val="22"/>
        </w:rPr>
        <w:t xml:space="preserve"> </w:t>
      </w:r>
      <w:r w:rsidR="00B25479">
        <w:rPr>
          <w:rFonts w:ascii="Calibri" w:hAnsi="Calibri"/>
          <w:sz w:val="22"/>
          <w:szCs w:val="22"/>
        </w:rPr>
        <w:t xml:space="preserve">finds no equal in other programmes which are </w:t>
      </w:r>
      <w:r w:rsidR="009061C3">
        <w:rPr>
          <w:rFonts w:ascii="Calibri" w:hAnsi="Calibri"/>
          <w:sz w:val="22"/>
          <w:szCs w:val="22"/>
        </w:rPr>
        <w:t xml:space="preserve">either </w:t>
      </w:r>
      <w:r w:rsidR="00B25479">
        <w:rPr>
          <w:rFonts w:ascii="Calibri" w:hAnsi="Calibri"/>
          <w:sz w:val="22"/>
          <w:szCs w:val="22"/>
        </w:rPr>
        <w:t>limited to</w:t>
      </w:r>
      <w:r w:rsidR="009061C3">
        <w:rPr>
          <w:rFonts w:ascii="Calibri" w:hAnsi="Calibri"/>
          <w:sz w:val="22"/>
          <w:szCs w:val="22"/>
        </w:rPr>
        <w:t xml:space="preserve"> or primarily focused on</w:t>
      </w:r>
      <w:r w:rsidR="00B25479">
        <w:rPr>
          <w:rFonts w:ascii="Calibri" w:hAnsi="Calibri"/>
          <w:sz w:val="22"/>
          <w:szCs w:val="22"/>
        </w:rPr>
        <w:t xml:space="preserve"> supporting utility-to-utility partnerships and which do not systematically address </w:t>
      </w:r>
      <w:r w:rsidR="003B32DD">
        <w:rPr>
          <w:rFonts w:ascii="Calibri" w:hAnsi="Calibri"/>
          <w:sz w:val="22"/>
          <w:szCs w:val="22"/>
        </w:rPr>
        <w:t>good water governance</w:t>
      </w:r>
      <w:r w:rsidR="009061C3">
        <w:rPr>
          <w:rFonts w:ascii="Calibri" w:hAnsi="Calibri"/>
          <w:sz w:val="22"/>
          <w:szCs w:val="22"/>
        </w:rPr>
        <w:t xml:space="preserve"> and sustainable water development</w:t>
      </w:r>
      <w:r w:rsidR="003B32DD">
        <w:rPr>
          <w:rFonts w:ascii="Calibri" w:hAnsi="Calibri"/>
          <w:sz w:val="22"/>
          <w:szCs w:val="22"/>
        </w:rPr>
        <w:t xml:space="preserve">. </w:t>
      </w:r>
      <w:r w:rsidR="003B32DD">
        <w:rPr>
          <w:rFonts w:ascii="Calibri" w:hAnsi="Calibri" w:cs="Calibri"/>
          <w:sz w:val="22"/>
          <w:szCs w:val="22"/>
        </w:rPr>
        <w:t xml:space="preserve">The involvement of Non State Actors is important to support institution-building and entrench institutional capacity. Both these aspects are important factors of sustainable water development. </w:t>
      </w:r>
      <w:r w:rsidR="00CB5C7F">
        <w:rPr>
          <w:rFonts w:ascii="Calibri" w:hAnsi="Calibri" w:cs="Calibri"/>
          <w:sz w:val="22"/>
          <w:szCs w:val="22"/>
        </w:rPr>
        <w:t xml:space="preserve">The </w:t>
      </w:r>
      <w:r w:rsidR="00CB5C7F" w:rsidRPr="00A469D0">
        <w:rPr>
          <w:rFonts w:ascii="Calibri" w:hAnsi="Calibri"/>
          <w:sz w:val="22"/>
          <w:szCs w:val="22"/>
        </w:rPr>
        <w:t>ACP-EU Water Partnerships</w:t>
      </w:r>
      <w:r w:rsidR="00CB5C7F">
        <w:rPr>
          <w:rFonts w:ascii="Calibri" w:hAnsi="Calibri"/>
          <w:sz w:val="22"/>
          <w:szCs w:val="22"/>
        </w:rPr>
        <w:t xml:space="preserve"> evaluation framework </w:t>
      </w:r>
      <w:r w:rsidR="003B32DD">
        <w:rPr>
          <w:rFonts w:ascii="Calibri" w:hAnsi="Calibri"/>
          <w:sz w:val="22"/>
          <w:szCs w:val="22"/>
        </w:rPr>
        <w:t xml:space="preserve">obtained this level of involvement by explicitly encouraging the involvement of local </w:t>
      </w:r>
      <w:r w:rsidR="003B32DD">
        <w:rPr>
          <w:rFonts w:ascii="Calibri" w:hAnsi="Calibri" w:cs="Calibri"/>
          <w:sz w:val="22"/>
          <w:szCs w:val="22"/>
        </w:rPr>
        <w:t>Non State Actors and by addressing themes such as</w:t>
      </w:r>
      <w:r w:rsidR="003B32DD" w:rsidRPr="003B32DD">
        <w:rPr>
          <w:rFonts w:ascii="Calibri" w:hAnsi="Calibri"/>
          <w:sz w:val="22"/>
          <w:szCs w:val="22"/>
        </w:rPr>
        <w:t xml:space="preserve"> </w:t>
      </w:r>
      <w:r w:rsidR="003B32DD">
        <w:rPr>
          <w:rFonts w:ascii="Calibri" w:hAnsi="Calibri"/>
          <w:sz w:val="22"/>
          <w:szCs w:val="22"/>
        </w:rPr>
        <w:t>participatory governance and awareness raising.</w:t>
      </w:r>
      <w:r>
        <w:rPr>
          <w:rFonts w:ascii="Calibri" w:hAnsi="Calibri"/>
          <w:sz w:val="22"/>
          <w:szCs w:val="22"/>
        </w:rPr>
        <w:t xml:space="preserve"> </w:t>
      </w:r>
    </w:p>
    <w:p w:rsidR="00891C03" w:rsidRDefault="00891C03" w:rsidP="0010643D">
      <w:pPr>
        <w:pStyle w:val="NoSpacing"/>
        <w:jc w:val="both"/>
        <w:rPr>
          <w:rFonts w:ascii="Calibri" w:hAnsi="Calibri"/>
          <w:sz w:val="22"/>
          <w:szCs w:val="22"/>
        </w:rPr>
      </w:pPr>
    </w:p>
    <w:p w:rsidR="00891C03" w:rsidRDefault="004D7323" w:rsidP="004D7323">
      <w:pPr>
        <w:pStyle w:val="Heading2"/>
      </w:pPr>
      <w:bookmarkStart w:id="32" w:name="_Toc331783583"/>
      <w:r>
        <w:t>Weaknesses: Limited time horizon</w:t>
      </w:r>
      <w:bookmarkEnd w:id="32"/>
    </w:p>
    <w:p w:rsidR="00891C03" w:rsidRDefault="0037033A" w:rsidP="0010643D">
      <w:pPr>
        <w:pStyle w:val="NoSpacing"/>
        <w:jc w:val="both"/>
        <w:rPr>
          <w:rFonts w:ascii="Calibri" w:hAnsi="Calibri"/>
          <w:sz w:val="22"/>
          <w:szCs w:val="22"/>
        </w:rPr>
      </w:pPr>
      <w:r>
        <w:rPr>
          <w:rFonts w:ascii="Calibri" w:hAnsi="Calibri"/>
          <w:sz w:val="22"/>
          <w:szCs w:val="22"/>
        </w:rPr>
        <w:t xml:space="preserve">While the </w:t>
      </w:r>
      <w:r w:rsidRPr="00A469D0">
        <w:rPr>
          <w:rFonts w:ascii="Calibri" w:hAnsi="Calibri"/>
          <w:sz w:val="22"/>
          <w:szCs w:val="22"/>
        </w:rPr>
        <w:t>ACP-EU Water Partnerships</w:t>
      </w:r>
      <w:r>
        <w:rPr>
          <w:rFonts w:ascii="Calibri" w:hAnsi="Calibri"/>
          <w:sz w:val="22"/>
          <w:szCs w:val="22"/>
        </w:rPr>
        <w:t xml:space="preserve"> initiative has a well defined time horizon, other programmes’ timeframe is undefined</w:t>
      </w:r>
      <w:r w:rsidR="005A6940">
        <w:rPr>
          <w:rFonts w:ascii="Calibri" w:hAnsi="Calibri"/>
          <w:sz w:val="22"/>
          <w:szCs w:val="22"/>
        </w:rPr>
        <w:t xml:space="preserve"> </w:t>
      </w:r>
      <w:r w:rsidR="00E92BC0">
        <w:rPr>
          <w:rFonts w:ascii="Calibri" w:hAnsi="Calibri"/>
          <w:sz w:val="22"/>
          <w:szCs w:val="22"/>
        </w:rPr>
        <w:t xml:space="preserve">(e.g. </w:t>
      </w:r>
      <w:r w:rsidR="001960F2">
        <w:rPr>
          <w:rFonts w:ascii="Calibri" w:hAnsi="Calibri"/>
          <w:sz w:val="22"/>
          <w:szCs w:val="22"/>
        </w:rPr>
        <w:t>WOP-LAC, WOP-SEE</w:t>
      </w:r>
      <w:r w:rsidR="00E92BC0">
        <w:rPr>
          <w:rFonts w:ascii="Calibri" w:hAnsi="Calibri"/>
          <w:sz w:val="22"/>
          <w:szCs w:val="22"/>
        </w:rPr>
        <w:t>)</w:t>
      </w:r>
      <w:r>
        <w:rPr>
          <w:rFonts w:ascii="Calibri" w:hAnsi="Calibri"/>
          <w:sz w:val="22"/>
          <w:szCs w:val="22"/>
        </w:rPr>
        <w:t xml:space="preserve">. Although </w:t>
      </w:r>
      <w:r w:rsidRPr="00A469D0">
        <w:rPr>
          <w:rFonts w:ascii="Calibri" w:hAnsi="Calibri"/>
          <w:sz w:val="22"/>
          <w:szCs w:val="22"/>
        </w:rPr>
        <w:t>ACP-EU Water Partnerships</w:t>
      </w:r>
      <w:r>
        <w:rPr>
          <w:rFonts w:ascii="Calibri" w:hAnsi="Calibri"/>
          <w:sz w:val="22"/>
          <w:szCs w:val="22"/>
        </w:rPr>
        <w:t xml:space="preserve"> rely on more significant financial resources than regional WOP platforms, </w:t>
      </w:r>
      <w:r w:rsidRPr="00A469D0">
        <w:rPr>
          <w:rFonts w:ascii="Calibri" w:hAnsi="Calibri"/>
          <w:sz w:val="22"/>
          <w:szCs w:val="22"/>
        </w:rPr>
        <w:t>ACP-EU Water Partnerships</w:t>
      </w:r>
      <w:r>
        <w:rPr>
          <w:rFonts w:ascii="Calibri" w:hAnsi="Calibri"/>
          <w:sz w:val="22"/>
          <w:szCs w:val="22"/>
        </w:rPr>
        <w:t xml:space="preserve"> will cease in five years’ time. </w:t>
      </w:r>
      <w:r w:rsidR="00193B9C">
        <w:rPr>
          <w:rFonts w:ascii="Calibri" w:hAnsi="Calibri"/>
          <w:sz w:val="22"/>
          <w:szCs w:val="22"/>
        </w:rPr>
        <w:t>Considering the scale of the need for capacity development in ACP</w:t>
      </w:r>
      <w:r>
        <w:rPr>
          <w:rFonts w:ascii="Calibri" w:hAnsi="Calibri"/>
          <w:sz w:val="22"/>
          <w:szCs w:val="22"/>
        </w:rPr>
        <w:t xml:space="preserve"> </w:t>
      </w:r>
      <w:r w:rsidR="00193B9C">
        <w:rPr>
          <w:rFonts w:ascii="Calibri" w:hAnsi="Calibri"/>
          <w:sz w:val="22"/>
          <w:szCs w:val="22"/>
        </w:rPr>
        <w:t xml:space="preserve">countries and particularly in </w:t>
      </w:r>
      <w:smartTag w:uri="urn:schemas-microsoft-com:office:smarttags" w:element="place">
        <w:r w:rsidR="00193B9C">
          <w:rPr>
            <w:rFonts w:ascii="Calibri" w:hAnsi="Calibri"/>
            <w:sz w:val="22"/>
            <w:szCs w:val="22"/>
          </w:rPr>
          <w:t>Africa</w:t>
        </w:r>
      </w:smartTag>
      <w:r w:rsidR="00193B9C">
        <w:rPr>
          <w:rFonts w:ascii="Calibri" w:hAnsi="Calibri"/>
          <w:sz w:val="22"/>
          <w:szCs w:val="22"/>
        </w:rPr>
        <w:t xml:space="preserve">, it is unlikely that </w:t>
      </w:r>
      <w:r w:rsidR="00020A43">
        <w:rPr>
          <w:rFonts w:ascii="Calibri" w:hAnsi="Calibri"/>
          <w:sz w:val="22"/>
          <w:szCs w:val="22"/>
        </w:rPr>
        <w:t xml:space="preserve">its duration </w:t>
      </w:r>
      <w:r w:rsidR="003F5C4F">
        <w:rPr>
          <w:rFonts w:ascii="Calibri" w:hAnsi="Calibri"/>
          <w:sz w:val="22"/>
          <w:szCs w:val="22"/>
        </w:rPr>
        <w:t xml:space="preserve">and the available resources </w:t>
      </w:r>
      <w:r w:rsidR="00020A43">
        <w:rPr>
          <w:rFonts w:ascii="Calibri" w:hAnsi="Calibri"/>
          <w:sz w:val="22"/>
          <w:szCs w:val="22"/>
        </w:rPr>
        <w:t xml:space="preserve">will allow the </w:t>
      </w:r>
      <w:r w:rsidR="00020A43" w:rsidRPr="00A469D0">
        <w:rPr>
          <w:rFonts w:ascii="Calibri" w:hAnsi="Calibri"/>
          <w:sz w:val="22"/>
          <w:szCs w:val="22"/>
        </w:rPr>
        <w:t>ACP-EU Water Partnerships</w:t>
      </w:r>
      <w:r w:rsidR="00020A43">
        <w:rPr>
          <w:rFonts w:ascii="Calibri" w:hAnsi="Calibri"/>
          <w:sz w:val="22"/>
          <w:szCs w:val="22"/>
        </w:rPr>
        <w:t xml:space="preserve"> initiative</w:t>
      </w:r>
      <w:r w:rsidR="003F5C4F">
        <w:rPr>
          <w:rFonts w:ascii="Calibri" w:hAnsi="Calibri"/>
          <w:sz w:val="22"/>
          <w:szCs w:val="22"/>
        </w:rPr>
        <w:t xml:space="preserve"> alone</w:t>
      </w:r>
      <w:r w:rsidR="0005223D">
        <w:rPr>
          <w:rFonts w:ascii="Calibri" w:hAnsi="Calibri"/>
          <w:sz w:val="22"/>
          <w:szCs w:val="22"/>
        </w:rPr>
        <w:t xml:space="preserve"> to achieve a</w:t>
      </w:r>
      <w:r w:rsidR="00020A43">
        <w:rPr>
          <w:rFonts w:ascii="Calibri" w:hAnsi="Calibri"/>
          <w:sz w:val="22"/>
          <w:szCs w:val="22"/>
        </w:rPr>
        <w:t xml:space="preserve"> critical mass of capacity.</w:t>
      </w:r>
      <w:r w:rsidR="00193B9C">
        <w:rPr>
          <w:rFonts w:ascii="Calibri" w:hAnsi="Calibri"/>
          <w:sz w:val="22"/>
          <w:szCs w:val="22"/>
        </w:rPr>
        <w:t xml:space="preserve"> </w:t>
      </w:r>
      <w:r>
        <w:rPr>
          <w:rFonts w:ascii="Calibri" w:hAnsi="Calibri"/>
          <w:sz w:val="22"/>
          <w:szCs w:val="22"/>
        </w:rPr>
        <w:t xml:space="preserve">In the eventuality that other programmes of not-for-profit capacity were to continue </w:t>
      </w:r>
      <w:r w:rsidR="00020A43">
        <w:rPr>
          <w:rFonts w:ascii="Calibri" w:hAnsi="Calibri"/>
          <w:sz w:val="22"/>
          <w:szCs w:val="22"/>
        </w:rPr>
        <w:t xml:space="preserve">their activities </w:t>
      </w:r>
      <w:r>
        <w:rPr>
          <w:rFonts w:ascii="Calibri" w:hAnsi="Calibri"/>
          <w:sz w:val="22"/>
          <w:szCs w:val="22"/>
        </w:rPr>
        <w:t xml:space="preserve">beyond 2017, they could in principle exceed the impact of </w:t>
      </w:r>
      <w:r w:rsidRPr="00A469D0">
        <w:rPr>
          <w:rFonts w:ascii="Calibri" w:hAnsi="Calibri"/>
          <w:sz w:val="22"/>
          <w:szCs w:val="22"/>
        </w:rPr>
        <w:t>ACP-EU Water Partnerships</w:t>
      </w:r>
      <w:r>
        <w:rPr>
          <w:rFonts w:ascii="Calibri" w:hAnsi="Calibri"/>
          <w:sz w:val="22"/>
          <w:szCs w:val="22"/>
        </w:rPr>
        <w:t xml:space="preserve"> and offer a more important contribution to achieving a critical mass of capacity.   </w:t>
      </w:r>
    </w:p>
    <w:p w:rsidR="004D7323" w:rsidRDefault="004D7323" w:rsidP="0010643D">
      <w:pPr>
        <w:pStyle w:val="NoSpacing"/>
        <w:jc w:val="both"/>
        <w:rPr>
          <w:rFonts w:ascii="Calibri" w:hAnsi="Calibri"/>
          <w:sz w:val="22"/>
          <w:szCs w:val="22"/>
        </w:rPr>
      </w:pPr>
    </w:p>
    <w:p w:rsidR="004D7323" w:rsidRDefault="004D7323" w:rsidP="004D7323">
      <w:pPr>
        <w:pStyle w:val="Heading2"/>
      </w:pPr>
      <w:bookmarkStart w:id="33" w:name="_Toc331783584"/>
      <w:r>
        <w:t>Weaknesses: Partial disbursement of available resources</w:t>
      </w:r>
      <w:bookmarkEnd w:id="33"/>
    </w:p>
    <w:p w:rsidR="00891C03" w:rsidRPr="00EE3E92" w:rsidRDefault="00FD46ED" w:rsidP="0010643D">
      <w:pPr>
        <w:pStyle w:val="NoSpacing"/>
        <w:jc w:val="both"/>
        <w:rPr>
          <w:rFonts w:ascii="Calibri" w:hAnsi="Calibri"/>
          <w:sz w:val="22"/>
          <w:szCs w:val="22"/>
        </w:rPr>
      </w:pPr>
      <w:r>
        <w:rPr>
          <w:rFonts w:ascii="Calibri" w:hAnsi="Calibri"/>
          <w:sz w:val="22"/>
          <w:szCs w:val="22"/>
        </w:rPr>
        <w:t>The ACP-EU Water Facility funds allocated to the financing of ACP-EU Water Partnerships by far exceed the total funds allocated to WOPs supported by the regional platform for which we were able to gather evidence (i.e. WOP-Africa)</w:t>
      </w:r>
      <w:r w:rsidR="00EE3E92">
        <w:rPr>
          <w:rFonts w:ascii="Calibri" w:hAnsi="Calibri"/>
          <w:sz w:val="22"/>
          <w:szCs w:val="22"/>
        </w:rPr>
        <w:t>.</w:t>
      </w:r>
      <w:r>
        <w:rPr>
          <w:rFonts w:ascii="Calibri" w:hAnsi="Calibri"/>
          <w:sz w:val="22"/>
          <w:szCs w:val="22"/>
        </w:rPr>
        <w:t xml:space="preserve"> Th</w:t>
      </w:r>
      <w:r w:rsidR="00E70FB9">
        <w:rPr>
          <w:rFonts w:ascii="Calibri" w:hAnsi="Calibri"/>
          <w:sz w:val="22"/>
          <w:szCs w:val="22"/>
        </w:rPr>
        <w:t>ey are also by far superior to</w:t>
      </w:r>
      <w:r w:rsidR="00F24D19">
        <w:rPr>
          <w:rFonts w:ascii="Calibri" w:hAnsi="Calibri"/>
          <w:sz w:val="22"/>
          <w:szCs w:val="22"/>
        </w:rPr>
        <w:t xml:space="preserve"> the </w:t>
      </w:r>
      <w:r w:rsidR="0059426D">
        <w:rPr>
          <w:rFonts w:ascii="Calibri" w:hAnsi="Calibri"/>
          <w:sz w:val="22"/>
          <w:szCs w:val="22"/>
        </w:rPr>
        <w:t>total funds mobilised by any of the regional WOP platforms for which we were able to gather evidence (i.e. WOP-Africa, WOP-LAC, WaterLinks). However, the total funds allocated to the financing of ACP-EU Water Partnerships</w:t>
      </w:r>
      <w:r w:rsidR="00AF3C12">
        <w:rPr>
          <w:rFonts w:ascii="Calibri" w:hAnsi="Calibri"/>
          <w:sz w:val="22"/>
          <w:szCs w:val="22"/>
        </w:rPr>
        <w:t xml:space="preserve"> are about half </w:t>
      </w:r>
      <w:r w:rsidR="0059426D">
        <w:rPr>
          <w:rFonts w:ascii="Calibri" w:hAnsi="Calibri"/>
          <w:sz w:val="22"/>
          <w:szCs w:val="22"/>
        </w:rPr>
        <w:t xml:space="preserve">the </w:t>
      </w:r>
      <w:r w:rsidR="00AF3C12">
        <w:rPr>
          <w:rFonts w:ascii="Calibri" w:hAnsi="Calibri"/>
          <w:sz w:val="22"/>
          <w:szCs w:val="22"/>
        </w:rPr>
        <w:t>budget approved for</w:t>
      </w:r>
      <w:r w:rsidR="0059426D">
        <w:rPr>
          <w:rFonts w:ascii="Calibri" w:hAnsi="Calibri"/>
          <w:sz w:val="22"/>
          <w:szCs w:val="22"/>
        </w:rPr>
        <w:t xml:space="preserve"> the ACP-EU Water Facility – Partnerships Initiative.</w:t>
      </w:r>
      <w:r w:rsidR="00AF3C12">
        <w:rPr>
          <w:rFonts w:ascii="Calibri" w:hAnsi="Calibri"/>
          <w:sz w:val="22"/>
          <w:szCs w:val="22"/>
        </w:rPr>
        <w:t xml:space="preserve"> This suggests that the partial disbursement of available resources has prevented the realisation of the full developmental potential of the initiative.</w:t>
      </w:r>
      <w:r w:rsidR="0059426D">
        <w:rPr>
          <w:rFonts w:ascii="Calibri" w:hAnsi="Calibri"/>
          <w:sz w:val="22"/>
          <w:szCs w:val="22"/>
        </w:rPr>
        <w:t xml:space="preserve">  </w:t>
      </w:r>
    </w:p>
    <w:p w:rsidR="004D7323" w:rsidRDefault="004D7323" w:rsidP="0010643D">
      <w:pPr>
        <w:pStyle w:val="NoSpacing"/>
        <w:jc w:val="both"/>
        <w:rPr>
          <w:rFonts w:ascii="Calibri" w:hAnsi="Calibri"/>
          <w:sz w:val="22"/>
          <w:szCs w:val="22"/>
        </w:rPr>
      </w:pPr>
    </w:p>
    <w:p w:rsidR="004D7323" w:rsidRDefault="004D7323" w:rsidP="004D7323">
      <w:pPr>
        <w:pStyle w:val="Heading2"/>
      </w:pPr>
      <w:bookmarkStart w:id="34" w:name="_Toc331783585"/>
      <w:r>
        <w:t>Weaknesses: Limited South-South component</w:t>
      </w:r>
      <w:bookmarkEnd w:id="34"/>
    </w:p>
    <w:p w:rsidR="00891C03" w:rsidRDefault="00B57E86" w:rsidP="0035322E">
      <w:pPr>
        <w:pStyle w:val="NoSpacing"/>
        <w:jc w:val="both"/>
        <w:rPr>
          <w:rFonts w:ascii="Calibri" w:hAnsi="Calibri"/>
          <w:sz w:val="22"/>
          <w:szCs w:val="22"/>
        </w:rPr>
      </w:pPr>
      <w:r w:rsidRPr="0035322E">
        <w:rPr>
          <w:rFonts w:ascii="Calibri" w:hAnsi="Calibri"/>
          <w:sz w:val="22"/>
          <w:szCs w:val="22"/>
        </w:rPr>
        <w:t xml:space="preserve">The South-South component of ACP-EU Water Partnerships is limited to </w:t>
      </w:r>
      <w:r w:rsidR="00AB476A" w:rsidRPr="0035322E">
        <w:rPr>
          <w:rFonts w:ascii="Calibri" w:hAnsi="Calibri"/>
          <w:sz w:val="22"/>
          <w:szCs w:val="22"/>
        </w:rPr>
        <w:t>15.6%</w:t>
      </w:r>
      <w:r w:rsidR="001665CC" w:rsidRPr="0035322E">
        <w:rPr>
          <w:rFonts w:ascii="Calibri" w:hAnsi="Calibri"/>
          <w:sz w:val="22"/>
          <w:szCs w:val="22"/>
        </w:rPr>
        <w:t xml:space="preserve"> of the approved partnership projects</w:t>
      </w:r>
      <w:r w:rsidRPr="0035322E">
        <w:rPr>
          <w:rFonts w:ascii="Calibri" w:hAnsi="Calibri"/>
          <w:sz w:val="22"/>
          <w:szCs w:val="22"/>
        </w:rPr>
        <w:t xml:space="preserve">. This is a limited </w:t>
      </w:r>
      <w:r w:rsidR="00AB476A" w:rsidRPr="0035322E">
        <w:rPr>
          <w:rFonts w:ascii="Calibri" w:hAnsi="Calibri"/>
          <w:sz w:val="22"/>
          <w:szCs w:val="22"/>
        </w:rPr>
        <w:t>percentage</w:t>
      </w:r>
      <w:r w:rsidRPr="0035322E">
        <w:rPr>
          <w:rFonts w:ascii="Calibri" w:hAnsi="Calibri"/>
          <w:sz w:val="22"/>
          <w:szCs w:val="22"/>
        </w:rPr>
        <w:t xml:space="preserve"> compared to the regional WOP platforms. These support partnerships </w:t>
      </w:r>
      <w:r w:rsidRPr="0035322E">
        <w:rPr>
          <w:rFonts w:ascii="Calibri" w:hAnsi="Calibri"/>
          <w:sz w:val="22"/>
          <w:szCs w:val="22"/>
        </w:rPr>
        <w:lastRenderedPageBreak/>
        <w:t>that are South-South in their entirety</w:t>
      </w:r>
      <w:r w:rsidR="00AB476A" w:rsidRPr="0035322E">
        <w:rPr>
          <w:rFonts w:ascii="Calibri" w:hAnsi="Calibri"/>
          <w:sz w:val="22"/>
          <w:szCs w:val="22"/>
        </w:rPr>
        <w:t xml:space="preserve"> (WOP-Africa and WOP-SEE)</w:t>
      </w:r>
      <w:r w:rsidRPr="0035322E">
        <w:rPr>
          <w:rFonts w:ascii="Calibri" w:hAnsi="Calibri"/>
          <w:sz w:val="22"/>
          <w:szCs w:val="22"/>
        </w:rPr>
        <w:t xml:space="preserve"> or, as in the case of </w:t>
      </w:r>
      <w:r w:rsidR="00AB476A" w:rsidRPr="0035322E">
        <w:rPr>
          <w:rFonts w:ascii="Calibri" w:hAnsi="Calibri"/>
          <w:sz w:val="22"/>
          <w:szCs w:val="22"/>
        </w:rPr>
        <w:t xml:space="preserve">WOP-LAC and </w:t>
      </w:r>
      <w:r w:rsidRPr="0035322E">
        <w:rPr>
          <w:rFonts w:ascii="Calibri" w:hAnsi="Calibri"/>
          <w:sz w:val="22"/>
          <w:szCs w:val="22"/>
        </w:rPr>
        <w:t>WaterLinks, in their majority.</w:t>
      </w:r>
      <w:r w:rsidR="0035322E" w:rsidRPr="0035322E">
        <w:rPr>
          <w:rFonts w:ascii="Calibri" w:hAnsi="Calibri"/>
          <w:sz w:val="22"/>
          <w:szCs w:val="22"/>
        </w:rPr>
        <w:t xml:space="preserve"> The limited South-South component of</w:t>
      </w:r>
      <w:r w:rsidR="0035322E">
        <w:rPr>
          <w:rFonts w:ascii="Calibri" w:hAnsi="Calibri"/>
          <w:sz w:val="22"/>
          <w:szCs w:val="22"/>
        </w:rPr>
        <w:t xml:space="preserve"> </w:t>
      </w:r>
      <w:r w:rsidR="0035322E" w:rsidRPr="0035322E">
        <w:rPr>
          <w:rFonts w:ascii="Calibri" w:hAnsi="Calibri"/>
          <w:sz w:val="22"/>
          <w:szCs w:val="22"/>
        </w:rPr>
        <w:t xml:space="preserve">ACP-EU Water Partnerships </w:t>
      </w:r>
      <w:r w:rsidR="0035322E">
        <w:rPr>
          <w:rFonts w:ascii="Calibri" w:hAnsi="Calibri"/>
          <w:sz w:val="22"/>
          <w:szCs w:val="22"/>
        </w:rPr>
        <w:t>might lead to difficulties in knowledge transfer due to the cultural barriers between ACP and EU partners.</w:t>
      </w:r>
    </w:p>
    <w:p w:rsidR="0035322E" w:rsidRPr="0035322E" w:rsidRDefault="0035322E" w:rsidP="0035322E">
      <w:pPr>
        <w:pStyle w:val="NoSpacing"/>
        <w:jc w:val="both"/>
        <w:rPr>
          <w:rFonts w:ascii="Calibri" w:hAnsi="Calibri"/>
          <w:sz w:val="22"/>
          <w:szCs w:val="22"/>
        </w:rPr>
      </w:pPr>
    </w:p>
    <w:p w:rsidR="004D7323" w:rsidRDefault="004D7323" w:rsidP="004D7323">
      <w:pPr>
        <w:pStyle w:val="Heading2"/>
      </w:pPr>
      <w:bookmarkStart w:id="35" w:name="_Toc331783586"/>
      <w:r>
        <w:t>Opportunities: Available not-for-profit capacity</w:t>
      </w:r>
      <w:bookmarkEnd w:id="35"/>
    </w:p>
    <w:p w:rsidR="003F5C4F" w:rsidRDefault="00B57E86" w:rsidP="0010643D">
      <w:pPr>
        <w:pStyle w:val="NoSpacing"/>
        <w:jc w:val="both"/>
        <w:rPr>
          <w:rFonts w:ascii="Calibri" w:hAnsi="Calibri"/>
          <w:sz w:val="22"/>
          <w:szCs w:val="22"/>
        </w:rPr>
      </w:pPr>
      <w:r w:rsidRPr="003F5C4F">
        <w:rPr>
          <w:rFonts w:ascii="Calibri" w:hAnsi="Calibri"/>
          <w:sz w:val="22"/>
          <w:szCs w:val="22"/>
        </w:rPr>
        <w:t xml:space="preserve">The available not-for-profit capacity </w:t>
      </w:r>
      <w:r w:rsidR="00DA483E" w:rsidRPr="003F5C4F">
        <w:rPr>
          <w:rFonts w:ascii="Calibri" w:hAnsi="Calibri"/>
          <w:sz w:val="22"/>
          <w:szCs w:val="22"/>
        </w:rPr>
        <w:t>that could</w:t>
      </w:r>
      <w:r w:rsidRPr="003F5C4F">
        <w:rPr>
          <w:rFonts w:ascii="Calibri" w:hAnsi="Calibri"/>
          <w:sz w:val="22"/>
          <w:szCs w:val="22"/>
        </w:rPr>
        <w:t xml:space="preserve"> be </w:t>
      </w:r>
      <w:r w:rsidR="00DA483E" w:rsidRPr="003F5C4F">
        <w:rPr>
          <w:rFonts w:ascii="Calibri" w:hAnsi="Calibri"/>
          <w:sz w:val="22"/>
          <w:szCs w:val="22"/>
        </w:rPr>
        <w:t>mobilis</w:t>
      </w:r>
      <w:r w:rsidRPr="003F5C4F">
        <w:rPr>
          <w:rFonts w:ascii="Calibri" w:hAnsi="Calibri"/>
          <w:sz w:val="22"/>
          <w:szCs w:val="22"/>
        </w:rPr>
        <w:t xml:space="preserve">ed by </w:t>
      </w:r>
      <w:r w:rsidR="00DA483E" w:rsidRPr="003F5C4F">
        <w:rPr>
          <w:rFonts w:ascii="Calibri" w:hAnsi="Calibri"/>
          <w:sz w:val="22"/>
          <w:szCs w:val="22"/>
        </w:rPr>
        <w:t xml:space="preserve">initiatives for capacity development in the water and sanitation sector is far greater than what has </w:t>
      </w:r>
      <w:r w:rsidR="003F5C4F">
        <w:rPr>
          <w:rFonts w:ascii="Calibri" w:hAnsi="Calibri"/>
          <w:sz w:val="22"/>
          <w:szCs w:val="22"/>
        </w:rPr>
        <w:t xml:space="preserve">been </w:t>
      </w:r>
      <w:r w:rsidR="00DA483E" w:rsidRPr="003F5C4F">
        <w:rPr>
          <w:rFonts w:ascii="Calibri" w:hAnsi="Calibri"/>
          <w:sz w:val="22"/>
          <w:szCs w:val="22"/>
        </w:rPr>
        <w:t>mobilised thus far</w:t>
      </w:r>
      <w:r w:rsidR="003F5C4F">
        <w:rPr>
          <w:rFonts w:ascii="Calibri" w:hAnsi="Calibri"/>
          <w:sz w:val="22"/>
          <w:szCs w:val="22"/>
        </w:rPr>
        <w:t xml:space="preserve"> by various initiatives</w:t>
      </w:r>
      <w:r w:rsidR="00DA483E" w:rsidRPr="003F5C4F">
        <w:rPr>
          <w:rFonts w:ascii="Calibri" w:hAnsi="Calibri"/>
          <w:sz w:val="22"/>
          <w:szCs w:val="22"/>
        </w:rPr>
        <w:t xml:space="preserve">. </w:t>
      </w:r>
      <w:r w:rsidR="003F5C4F" w:rsidRPr="003F5C4F">
        <w:rPr>
          <w:rFonts w:ascii="Calibri" w:hAnsi="Calibri"/>
          <w:sz w:val="22"/>
          <w:szCs w:val="22"/>
        </w:rPr>
        <w:t>This is due to the preponderance of public sector undertakings worldwide, which is acknowledged by the Hashimoto Action Plan</w:t>
      </w:r>
      <w:r w:rsidR="003F5C4F">
        <w:rPr>
          <w:rStyle w:val="EndnoteReference"/>
          <w:rFonts w:ascii="Calibri" w:hAnsi="Calibri"/>
          <w:sz w:val="22"/>
          <w:szCs w:val="22"/>
        </w:rPr>
        <w:endnoteReference w:id="64"/>
      </w:r>
      <w:r w:rsidR="003F5C4F" w:rsidRPr="003F5C4F">
        <w:rPr>
          <w:rFonts w:ascii="Calibri" w:hAnsi="Calibri"/>
          <w:sz w:val="22"/>
          <w:szCs w:val="22"/>
        </w:rPr>
        <w:t xml:space="preserve"> and which also obtains in EU and ACP countries.</w:t>
      </w:r>
      <w:r w:rsidR="003F5C4F">
        <w:rPr>
          <w:rStyle w:val="EndnoteReference"/>
          <w:rFonts w:ascii="Calibri" w:hAnsi="Calibri"/>
          <w:sz w:val="22"/>
          <w:szCs w:val="22"/>
        </w:rPr>
        <w:endnoteReference w:id="65"/>
      </w:r>
    </w:p>
    <w:p w:rsidR="003F5C4F" w:rsidRDefault="003F5C4F" w:rsidP="0010643D">
      <w:pPr>
        <w:pStyle w:val="NoSpacing"/>
        <w:jc w:val="both"/>
        <w:rPr>
          <w:rFonts w:ascii="Calibri" w:hAnsi="Calibri"/>
          <w:sz w:val="22"/>
          <w:szCs w:val="22"/>
        </w:rPr>
      </w:pPr>
    </w:p>
    <w:p w:rsidR="004D7323" w:rsidRDefault="004D7323" w:rsidP="004D7323">
      <w:pPr>
        <w:pStyle w:val="Heading2"/>
      </w:pPr>
      <w:bookmarkStart w:id="36" w:name="_Toc331783587"/>
      <w:r>
        <w:t>Opportunities: Growing demand for not-for-profit partnerships for capacity development</w:t>
      </w:r>
      <w:bookmarkEnd w:id="36"/>
      <w:r>
        <w:t xml:space="preserve"> </w:t>
      </w:r>
    </w:p>
    <w:p w:rsidR="00891C03" w:rsidRPr="002712AD" w:rsidRDefault="002712AD" w:rsidP="0010643D">
      <w:pPr>
        <w:pStyle w:val="NoSpacing"/>
        <w:jc w:val="both"/>
        <w:rPr>
          <w:rFonts w:ascii="Calibri" w:hAnsi="Calibri"/>
          <w:sz w:val="22"/>
          <w:szCs w:val="22"/>
        </w:rPr>
      </w:pPr>
      <w:r>
        <w:rPr>
          <w:rFonts w:ascii="Calibri" w:hAnsi="Calibri"/>
          <w:sz w:val="22"/>
          <w:szCs w:val="22"/>
        </w:rPr>
        <w:t xml:space="preserve">Water and sanitation utilities and other stakeholders are increasingly showing interest in participating in not-for-profit partnerships for capacity development. This growing demand for not-for-profit partnerships is demonstrated by: </w:t>
      </w:r>
      <w:r w:rsidR="002D2962">
        <w:rPr>
          <w:rFonts w:ascii="Calibri" w:hAnsi="Calibri"/>
          <w:sz w:val="22"/>
          <w:szCs w:val="22"/>
        </w:rPr>
        <w:t xml:space="preserve">a) </w:t>
      </w:r>
      <w:r>
        <w:rPr>
          <w:rFonts w:ascii="Calibri" w:hAnsi="Calibri"/>
          <w:sz w:val="22"/>
          <w:szCs w:val="22"/>
        </w:rPr>
        <w:t xml:space="preserve">the 300 Concept Notes submitted to the ACP-EU Water Facility in the first stage of the selection process for </w:t>
      </w:r>
      <w:r w:rsidRPr="00A469D0">
        <w:rPr>
          <w:rFonts w:ascii="Calibri" w:hAnsi="Calibri"/>
          <w:sz w:val="22"/>
          <w:szCs w:val="22"/>
        </w:rPr>
        <w:t>ACP-EU Water Partnerships</w:t>
      </w:r>
      <w:r>
        <w:rPr>
          <w:rFonts w:ascii="Calibri" w:hAnsi="Calibri"/>
          <w:sz w:val="22"/>
          <w:szCs w:val="22"/>
        </w:rPr>
        <w:t xml:space="preserve">; </w:t>
      </w:r>
      <w:r w:rsidR="002D2962">
        <w:rPr>
          <w:rFonts w:ascii="Calibri" w:hAnsi="Calibri"/>
          <w:sz w:val="22"/>
          <w:szCs w:val="22"/>
        </w:rPr>
        <w:t>b) the number of WOPs implemented since 2008 by the four regional WOP platforms, which exceeds 70</w:t>
      </w:r>
      <w:r>
        <w:rPr>
          <w:rFonts w:ascii="Calibri" w:hAnsi="Calibri"/>
          <w:sz w:val="22"/>
          <w:szCs w:val="22"/>
        </w:rPr>
        <w:t xml:space="preserve">; </w:t>
      </w:r>
      <w:r w:rsidR="002D2962">
        <w:rPr>
          <w:rFonts w:ascii="Calibri" w:hAnsi="Calibri"/>
          <w:sz w:val="22"/>
          <w:szCs w:val="22"/>
        </w:rPr>
        <w:t>c) the 35 proposals received by WOP-Africa for the AfWA/African Water Facility-sponsored utility-to-utility learning partnerships</w:t>
      </w:r>
      <w:r>
        <w:rPr>
          <w:rFonts w:ascii="Calibri" w:hAnsi="Calibri"/>
          <w:sz w:val="22"/>
          <w:szCs w:val="22"/>
        </w:rPr>
        <w:t>.</w:t>
      </w:r>
      <w:r w:rsidR="00B974CB">
        <w:rPr>
          <w:rFonts w:ascii="Calibri" w:hAnsi="Calibri"/>
          <w:sz w:val="22"/>
          <w:szCs w:val="22"/>
        </w:rPr>
        <w:t xml:space="preserve"> </w:t>
      </w:r>
    </w:p>
    <w:p w:rsidR="004D7323" w:rsidRDefault="004D7323" w:rsidP="0010643D">
      <w:pPr>
        <w:pStyle w:val="NoSpacing"/>
        <w:jc w:val="both"/>
        <w:rPr>
          <w:rFonts w:ascii="Calibri" w:hAnsi="Calibri"/>
          <w:sz w:val="22"/>
          <w:szCs w:val="22"/>
        </w:rPr>
      </w:pPr>
    </w:p>
    <w:p w:rsidR="004D7323" w:rsidRDefault="004D7323" w:rsidP="004D7323">
      <w:pPr>
        <w:pStyle w:val="Heading2"/>
      </w:pPr>
      <w:bookmarkStart w:id="37" w:name="_Toc331783588"/>
      <w:r>
        <w:t xml:space="preserve">Opportunities: Growing interest in </w:t>
      </w:r>
      <w:r w:rsidR="002043B6">
        <w:rPr>
          <w:lang w:val="en-GB"/>
        </w:rPr>
        <w:t>fund</w:t>
      </w:r>
      <w:r>
        <w:t>ing not-for-profit partnerships for capacity development</w:t>
      </w:r>
      <w:bookmarkEnd w:id="37"/>
      <w:r>
        <w:t xml:space="preserve"> </w:t>
      </w:r>
    </w:p>
    <w:p w:rsidR="004D7323" w:rsidRPr="001D16B0" w:rsidRDefault="001D41B1" w:rsidP="0010643D">
      <w:pPr>
        <w:pStyle w:val="NoSpacing"/>
        <w:jc w:val="both"/>
        <w:rPr>
          <w:rFonts w:ascii="Calibri" w:hAnsi="Calibri"/>
          <w:sz w:val="22"/>
          <w:szCs w:val="22"/>
        </w:rPr>
      </w:pPr>
      <w:r>
        <w:rPr>
          <w:rFonts w:ascii="Calibri" w:hAnsi="Calibri"/>
          <w:sz w:val="22"/>
          <w:szCs w:val="22"/>
        </w:rPr>
        <w:t xml:space="preserve">There is a growing interest among donors in supporting not-for-profit partnerships for capacity development. This is demonstrated by the number of international programmes launched in the last few years, which include the </w:t>
      </w:r>
      <w:r w:rsidRPr="00A469D0">
        <w:rPr>
          <w:rFonts w:ascii="Calibri" w:hAnsi="Calibri"/>
          <w:sz w:val="22"/>
          <w:szCs w:val="22"/>
        </w:rPr>
        <w:t>ACP-EU Water Partnerships</w:t>
      </w:r>
      <w:r>
        <w:rPr>
          <w:rFonts w:ascii="Calibri" w:hAnsi="Calibri"/>
          <w:sz w:val="22"/>
          <w:szCs w:val="22"/>
        </w:rPr>
        <w:t xml:space="preserve"> initiative launched in 2010 and the four regional W</w:t>
      </w:r>
      <w:r w:rsidR="00636D22">
        <w:rPr>
          <w:rFonts w:ascii="Calibri" w:hAnsi="Calibri"/>
          <w:sz w:val="22"/>
          <w:szCs w:val="22"/>
        </w:rPr>
        <w:t>OP platforms launched since 2008</w:t>
      </w:r>
      <w:r>
        <w:rPr>
          <w:rFonts w:ascii="Calibri" w:hAnsi="Calibri"/>
          <w:sz w:val="22"/>
          <w:szCs w:val="22"/>
        </w:rPr>
        <w:t xml:space="preserve">. In addition to these, </w:t>
      </w:r>
      <w:r w:rsidR="00636D22">
        <w:rPr>
          <w:rFonts w:ascii="Calibri" w:hAnsi="Calibri"/>
          <w:sz w:val="22"/>
          <w:szCs w:val="22"/>
        </w:rPr>
        <w:t>GWOPA i</w:t>
      </w:r>
      <w:r w:rsidR="00B974CB">
        <w:rPr>
          <w:rFonts w:ascii="Calibri" w:hAnsi="Calibri"/>
          <w:sz w:val="22"/>
          <w:szCs w:val="22"/>
        </w:rPr>
        <w:t xml:space="preserve">s </w:t>
      </w:r>
      <w:r w:rsidR="00636D22">
        <w:rPr>
          <w:rFonts w:ascii="Calibri" w:hAnsi="Calibri"/>
          <w:sz w:val="22"/>
          <w:szCs w:val="22"/>
        </w:rPr>
        <w:t xml:space="preserve">increasing its </w:t>
      </w:r>
      <w:r w:rsidR="00B974CB">
        <w:rPr>
          <w:rFonts w:ascii="Calibri" w:hAnsi="Calibri"/>
          <w:sz w:val="22"/>
          <w:szCs w:val="22"/>
        </w:rPr>
        <w:t>activities in support of WOPs in</w:t>
      </w:r>
      <w:r>
        <w:rPr>
          <w:rFonts w:ascii="Calibri" w:hAnsi="Calibri"/>
          <w:sz w:val="22"/>
          <w:szCs w:val="22"/>
        </w:rPr>
        <w:t xml:space="preserve"> Arab countries.</w:t>
      </w:r>
      <w:r>
        <w:rPr>
          <w:rStyle w:val="EndnoteReference"/>
          <w:rFonts w:ascii="Calibri" w:hAnsi="Calibri"/>
          <w:sz w:val="22"/>
          <w:szCs w:val="22"/>
        </w:rPr>
        <w:endnoteReference w:id="66"/>
      </w:r>
      <w:r>
        <w:rPr>
          <w:rFonts w:ascii="Calibri" w:hAnsi="Calibri"/>
          <w:sz w:val="22"/>
          <w:szCs w:val="22"/>
        </w:rPr>
        <w:t xml:space="preserve"> </w:t>
      </w:r>
      <w:r w:rsidR="001D16B0" w:rsidRPr="001D16B0">
        <w:rPr>
          <w:rFonts w:ascii="Calibri" w:hAnsi="Calibri"/>
          <w:sz w:val="22"/>
          <w:szCs w:val="22"/>
        </w:rPr>
        <w:t>Finally, the Ministerial Declaration issued at the 6</w:t>
      </w:r>
      <w:r w:rsidR="001D16B0" w:rsidRPr="001D16B0">
        <w:rPr>
          <w:rFonts w:ascii="Calibri" w:hAnsi="Calibri"/>
          <w:sz w:val="22"/>
          <w:szCs w:val="22"/>
          <w:vertAlign w:val="superscript"/>
        </w:rPr>
        <w:t>th</w:t>
      </w:r>
      <w:r w:rsidR="001D16B0" w:rsidRPr="001D16B0">
        <w:rPr>
          <w:rFonts w:ascii="Calibri" w:hAnsi="Calibri"/>
          <w:sz w:val="22"/>
          <w:szCs w:val="22"/>
        </w:rPr>
        <w:t xml:space="preserve"> World Water Forum in Marseille, where 140 ministerial delegations gathered, contains a commitment to develop training solutions for water operators’ partnerships, water training</w:t>
      </w:r>
      <w:r w:rsidR="002D2962">
        <w:rPr>
          <w:rFonts w:ascii="Calibri" w:hAnsi="Calibri"/>
          <w:sz w:val="22"/>
          <w:szCs w:val="22"/>
        </w:rPr>
        <w:t xml:space="preserve"> centre</w:t>
      </w:r>
      <w:r w:rsidR="009255C1">
        <w:rPr>
          <w:rFonts w:ascii="Calibri" w:hAnsi="Calibri"/>
          <w:sz w:val="22"/>
          <w:szCs w:val="22"/>
        </w:rPr>
        <w:t xml:space="preserve"> networking and twinning</w:t>
      </w:r>
      <w:r w:rsidR="001D16B0" w:rsidRPr="001D16B0">
        <w:rPr>
          <w:rFonts w:ascii="Calibri" w:hAnsi="Calibri"/>
          <w:sz w:val="22"/>
          <w:szCs w:val="22"/>
        </w:rPr>
        <w:t>.</w:t>
      </w:r>
      <w:r w:rsidR="001D16B0">
        <w:rPr>
          <w:rStyle w:val="EndnoteReference"/>
          <w:rFonts w:ascii="Calibri" w:hAnsi="Calibri"/>
          <w:sz w:val="22"/>
          <w:szCs w:val="22"/>
        </w:rPr>
        <w:endnoteReference w:id="67"/>
      </w:r>
      <w:r w:rsidR="001D16B0" w:rsidRPr="001D16B0">
        <w:rPr>
          <w:rFonts w:ascii="Calibri" w:hAnsi="Calibri"/>
          <w:sz w:val="22"/>
          <w:szCs w:val="22"/>
        </w:rPr>
        <w:t xml:space="preserve">  </w:t>
      </w:r>
      <w:r w:rsidRPr="001D16B0">
        <w:rPr>
          <w:rFonts w:ascii="Calibri" w:hAnsi="Calibri"/>
          <w:sz w:val="22"/>
          <w:szCs w:val="22"/>
        </w:rPr>
        <w:t xml:space="preserve"> </w:t>
      </w:r>
    </w:p>
    <w:p w:rsidR="00891C03" w:rsidRDefault="00891C03" w:rsidP="0010643D">
      <w:pPr>
        <w:pStyle w:val="NoSpacing"/>
        <w:jc w:val="both"/>
        <w:rPr>
          <w:rFonts w:ascii="Calibri" w:hAnsi="Calibri"/>
          <w:sz w:val="22"/>
          <w:szCs w:val="22"/>
        </w:rPr>
      </w:pPr>
    </w:p>
    <w:p w:rsidR="004D7323" w:rsidRDefault="004D7323" w:rsidP="004D7323">
      <w:pPr>
        <w:pStyle w:val="Heading2"/>
      </w:pPr>
      <w:bookmarkStart w:id="38" w:name="_Toc331783589"/>
      <w:r>
        <w:t>Threats: Inadequate resources to match the scale of need</w:t>
      </w:r>
      <w:bookmarkEnd w:id="38"/>
      <w:r>
        <w:t xml:space="preserve"> </w:t>
      </w:r>
    </w:p>
    <w:p w:rsidR="004D7323" w:rsidRDefault="008D4838" w:rsidP="0010643D">
      <w:pPr>
        <w:pStyle w:val="NoSpacing"/>
        <w:jc w:val="both"/>
        <w:rPr>
          <w:rFonts w:ascii="Calibri" w:hAnsi="Calibri"/>
          <w:sz w:val="22"/>
          <w:szCs w:val="22"/>
        </w:rPr>
      </w:pPr>
      <w:r>
        <w:rPr>
          <w:rFonts w:ascii="Calibri" w:hAnsi="Calibri"/>
          <w:sz w:val="22"/>
          <w:szCs w:val="22"/>
        </w:rPr>
        <w:t xml:space="preserve">It </w:t>
      </w:r>
      <w:r w:rsidRPr="00AA57BE">
        <w:rPr>
          <w:rFonts w:ascii="Calibri" w:hAnsi="Calibri"/>
          <w:sz w:val="22"/>
          <w:szCs w:val="22"/>
        </w:rPr>
        <w:t xml:space="preserve">is unlikely that the financial resources made available thus far at global level for all programmes supporting not-for-profit partnerships will be sufficient to achieve a critical mass of capacity in the water and sanitation sector. This is due to the scale of the need, particularly in </w:t>
      </w:r>
      <w:smartTag w:uri="urn:schemas-microsoft-com:office:smarttags" w:element="place">
        <w:r w:rsidRPr="00AA57BE">
          <w:rPr>
            <w:rFonts w:ascii="Calibri" w:hAnsi="Calibri"/>
            <w:sz w:val="22"/>
            <w:szCs w:val="22"/>
          </w:rPr>
          <w:t>Africa</w:t>
        </w:r>
      </w:smartTag>
      <w:r w:rsidRPr="00AA57BE">
        <w:rPr>
          <w:rFonts w:ascii="Calibri" w:hAnsi="Calibri"/>
          <w:sz w:val="22"/>
          <w:szCs w:val="22"/>
        </w:rPr>
        <w:t xml:space="preserve">, but also in those countries that were to timely achieve the MDG targets on water and sanitation. </w:t>
      </w:r>
      <w:r w:rsidR="00AA57BE" w:rsidRPr="00AA57BE">
        <w:rPr>
          <w:rFonts w:ascii="Calibri" w:hAnsi="Calibri"/>
          <w:sz w:val="22"/>
          <w:szCs w:val="22"/>
        </w:rPr>
        <w:t>F</w:t>
      </w:r>
      <w:r w:rsidR="00690E93" w:rsidRPr="00AA57BE">
        <w:rPr>
          <w:rFonts w:ascii="Calibri" w:hAnsi="Calibri"/>
          <w:sz w:val="22"/>
          <w:szCs w:val="22"/>
        </w:rPr>
        <w:t>or these countries, the issue</w:t>
      </w:r>
      <w:r w:rsidR="00AA57BE" w:rsidRPr="00AA57BE">
        <w:rPr>
          <w:rFonts w:ascii="Calibri" w:hAnsi="Calibri"/>
          <w:sz w:val="22"/>
          <w:szCs w:val="22"/>
        </w:rPr>
        <w:t xml:space="preserve"> will remain </w:t>
      </w:r>
      <w:r w:rsidR="00AA57BE" w:rsidRPr="00AA57BE">
        <w:rPr>
          <w:rFonts w:ascii="Calibri" w:hAnsi="Calibri" w:cs="Calibri"/>
          <w:color w:val="211D1E"/>
          <w:sz w:val="22"/>
          <w:szCs w:val="22"/>
        </w:rPr>
        <w:t>sustaining progress.</w:t>
      </w:r>
      <w:r w:rsidR="00AA57BE" w:rsidRPr="00AA57BE">
        <w:rPr>
          <w:rStyle w:val="EndnoteReference"/>
          <w:rFonts w:ascii="Calibri" w:hAnsi="Calibri"/>
          <w:sz w:val="22"/>
          <w:szCs w:val="22"/>
          <w:lang w:val="en-ZA"/>
        </w:rPr>
        <w:t xml:space="preserve"> </w:t>
      </w:r>
      <w:r w:rsidR="00AA57BE" w:rsidRPr="00AA57BE">
        <w:rPr>
          <w:rStyle w:val="EndnoteReference"/>
          <w:rFonts w:ascii="Calibri" w:hAnsi="Calibri"/>
          <w:sz w:val="22"/>
          <w:szCs w:val="22"/>
          <w:lang w:val="en-ZA"/>
        </w:rPr>
        <w:endnoteReference w:id="68"/>
      </w:r>
      <w:r w:rsidR="00690E93">
        <w:rPr>
          <w:rFonts w:ascii="Calibri" w:hAnsi="Calibri"/>
          <w:sz w:val="22"/>
          <w:szCs w:val="22"/>
        </w:rPr>
        <w:t xml:space="preserve"> </w:t>
      </w:r>
      <w:r>
        <w:rPr>
          <w:rFonts w:ascii="Calibri" w:hAnsi="Calibri"/>
          <w:sz w:val="22"/>
          <w:szCs w:val="22"/>
        </w:rPr>
        <w:t xml:space="preserve"> </w:t>
      </w:r>
    </w:p>
    <w:p w:rsidR="004D7323" w:rsidRDefault="004D7323" w:rsidP="0010643D">
      <w:pPr>
        <w:pStyle w:val="NoSpacing"/>
        <w:jc w:val="both"/>
        <w:rPr>
          <w:rFonts w:ascii="Calibri" w:hAnsi="Calibri"/>
          <w:sz w:val="22"/>
          <w:szCs w:val="22"/>
        </w:rPr>
      </w:pPr>
    </w:p>
    <w:p w:rsidR="00891C03" w:rsidRDefault="004D7323" w:rsidP="004D7323">
      <w:pPr>
        <w:pStyle w:val="Heading2"/>
      </w:pPr>
      <w:bookmarkStart w:id="39" w:name="_Toc331783590"/>
      <w:r>
        <w:t xml:space="preserve">Threats: Long-term </w:t>
      </w:r>
      <w:r w:rsidR="000C3890">
        <w:rPr>
          <w:lang w:val="en-GB"/>
        </w:rPr>
        <w:t>donors’ commitment</w:t>
      </w:r>
      <w:r>
        <w:t xml:space="preserve"> to support not-for-profit partnerships for capacity development</w:t>
      </w:r>
      <w:bookmarkEnd w:id="39"/>
    </w:p>
    <w:p w:rsidR="004D7323" w:rsidRPr="000C3890" w:rsidRDefault="000C3890" w:rsidP="0010643D">
      <w:pPr>
        <w:pStyle w:val="NoSpacing"/>
        <w:jc w:val="both"/>
        <w:rPr>
          <w:rFonts w:ascii="Calibri" w:hAnsi="Calibri"/>
          <w:sz w:val="22"/>
          <w:szCs w:val="22"/>
        </w:rPr>
      </w:pPr>
      <w:r>
        <w:rPr>
          <w:rFonts w:ascii="Calibri" w:hAnsi="Calibri"/>
          <w:sz w:val="22"/>
          <w:szCs w:val="22"/>
        </w:rPr>
        <w:t>In case international programmes supporting not-for-profit partnerships failed to demonstrate the achievement of tangible results at scale, the commitment of donors to fund such initiatives might in the long term deteriorate. This would result in the reduction of resources available for not-for-profit partnerships and in greater obstacles to the achievement of a critical mass of capacity in the water and sanitation sector.</w:t>
      </w:r>
    </w:p>
    <w:p w:rsidR="004D7323" w:rsidRDefault="004D7323" w:rsidP="0010643D">
      <w:pPr>
        <w:pStyle w:val="NoSpacing"/>
        <w:jc w:val="both"/>
        <w:rPr>
          <w:rFonts w:ascii="Calibri" w:hAnsi="Calibri"/>
          <w:sz w:val="22"/>
          <w:szCs w:val="22"/>
        </w:rPr>
      </w:pPr>
    </w:p>
    <w:p w:rsidR="006A5D65" w:rsidRDefault="006A5D65" w:rsidP="007E31B1">
      <w:pPr>
        <w:pStyle w:val="Heading1"/>
      </w:pPr>
      <w:bookmarkStart w:id="40" w:name="_Toc331783591"/>
      <w:r>
        <w:lastRenderedPageBreak/>
        <w:t>Conclusions</w:t>
      </w:r>
      <w:r w:rsidR="007E31B1">
        <w:t xml:space="preserve"> </w:t>
      </w:r>
      <w:r w:rsidR="008C43B5">
        <w:t>and recommendations</w:t>
      </w:r>
      <w:bookmarkEnd w:id="40"/>
    </w:p>
    <w:p w:rsidR="007E31B1" w:rsidRDefault="007E31B1" w:rsidP="00996A6E">
      <w:pPr>
        <w:pStyle w:val="Heading2"/>
      </w:pPr>
      <w:bookmarkStart w:id="41" w:name="_Toc331783592"/>
      <w:r w:rsidRPr="00696871">
        <w:t>ACP-EU Water Partnerships</w:t>
      </w:r>
      <w:r w:rsidR="001D410C">
        <w:t>: a first assessment</w:t>
      </w:r>
      <w:bookmarkEnd w:id="41"/>
    </w:p>
    <w:p w:rsidR="00065ED9" w:rsidRDefault="000E5DB6" w:rsidP="000E5DB6">
      <w:pPr>
        <w:jc w:val="both"/>
      </w:pPr>
      <w:r>
        <w:t xml:space="preserve">The </w:t>
      </w:r>
      <w:r w:rsidRPr="00A469D0">
        <w:t>ACP-EU Water Partnerships</w:t>
      </w:r>
      <w:r>
        <w:t xml:space="preserve"> initiative appears as a distinctively </w:t>
      </w:r>
      <w:r w:rsidRPr="0061565E">
        <w:t xml:space="preserve">innovative attempt to </w:t>
      </w:r>
      <w:r>
        <w:t xml:space="preserve">develop </w:t>
      </w:r>
      <w:r w:rsidRPr="0061565E">
        <w:t>capacity in the water and sanitation sector.</w:t>
      </w:r>
      <w:r>
        <w:t xml:space="preserve"> Compared to other ongoing international programmes supporting not-for-profit partnerships for capacity development in </w:t>
      </w:r>
      <w:r w:rsidRPr="0061565E">
        <w:t>the water and sanitation sector</w:t>
      </w:r>
      <w:r>
        <w:t xml:space="preserve">, the innovation of </w:t>
      </w:r>
      <w:r w:rsidRPr="00A469D0">
        <w:t>ACP-EU Water Partnerships</w:t>
      </w:r>
      <w:r>
        <w:t xml:space="preserve"> consists in the </w:t>
      </w:r>
      <w:r w:rsidR="007F79D9">
        <w:t>alignment of significant financial resources and a coherent evaluation framework. In turn, the evaluation framework is composed of eligibility criteria on partners and actions, and of the criteria for the selection of applications. The effect of this alig</w:t>
      </w:r>
      <w:r w:rsidR="00065ED9">
        <w:t>nment is a promising formula to achieve</w:t>
      </w:r>
      <w:r w:rsidR="007F79D9">
        <w:t xml:space="preserve"> a critical mass of capacity </w:t>
      </w:r>
      <w:r w:rsidR="007F79D9" w:rsidRPr="0061565E">
        <w:t>in the water and sanitation sector</w:t>
      </w:r>
      <w:r w:rsidR="007F79D9">
        <w:t>, itself a precondition for sustainable water development</w:t>
      </w:r>
      <w:r w:rsidR="007F79D9" w:rsidRPr="0061565E">
        <w:t>.</w:t>
      </w:r>
    </w:p>
    <w:p w:rsidR="00065ED9" w:rsidRDefault="00065ED9" w:rsidP="000E5DB6">
      <w:pPr>
        <w:jc w:val="both"/>
      </w:pPr>
    </w:p>
    <w:p w:rsidR="00F93133" w:rsidRDefault="00B14F33" w:rsidP="000E5DB6">
      <w:pPr>
        <w:jc w:val="both"/>
      </w:pPr>
      <w:r>
        <w:t>Significant financial resources enable the implementation of actions allowing millions to benefit from improved water and sanitation services and improved water resources management. Significant financial resources also allow for a duration of actions which facilitates the absorption of capacity by beneficiary partners. The actions made possible by the allocated financial resources are directed by the eligibility criteria to address a wide range of themes – including</w:t>
      </w:r>
      <w:r w:rsidRPr="00897E74">
        <w:t xml:space="preserve"> </w:t>
      </w:r>
      <w:r>
        <w:t xml:space="preserve">good water governance as well as traditional operational and managerial issues – with the active involvement of local Non State Actors. These actions are also directed by the evaluation criteria to generate a sense of ownership among national governments due to the contribution to the implementation of national strategies, to produce tangible and sustained results for beneficiary partners, and to replicate and up-scale local capacity development processes. The evaluation and monitoring procedures envisaged for the funded </w:t>
      </w:r>
      <w:r w:rsidRPr="00A469D0">
        <w:t>ACP-EU Water Partnerships</w:t>
      </w:r>
      <w:r>
        <w:t xml:space="preserve"> are a credible guarantee for the translation of expected results into reality.</w:t>
      </w:r>
    </w:p>
    <w:p w:rsidR="00F93133" w:rsidRDefault="00F93133" w:rsidP="000E5DB6">
      <w:pPr>
        <w:jc w:val="both"/>
      </w:pPr>
    </w:p>
    <w:p w:rsidR="00B1055E" w:rsidRDefault="00B1055E" w:rsidP="000E5DB6">
      <w:pPr>
        <w:jc w:val="both"/>
      </w:pPr>
      <w:r>
        <w:t xml:space="preserve">The </w:t>
      </w:r>
      <w:r w:rsidRPr="00A469D0">
        <w:t>ACP-EU Water Partnerships</w:t>
      </w:r>
      <w:r>
        <w:t>’ contribution to achieving a critical mass of capacity</w:t>
      </w:r>
      <w:r w:rsidRPr="00B1055E">
        <w:t xml:space="preserve"> </w:t>
      </w:r>
      <w:r w:rsidRPr="0061565E">
        <w:t>in the water and sanitation sector</w:t>
      </w:r>
      <w:r>
        <w:t xml:space="preserve"> could be contained by the limited timeframe of the initiative, the partial disbursement of available financial resources and the relatively limited South-South componen</w:t>
      </w:r>
      <w:r w:rsidR="00FA0750">
        <w:t>t of the funded partnerships. Drawing on the empirical evidence analysed for this paper, in the following sub-section</w:t>
      </w:r>
      <w:r>
        <w:t xml:space="preserve"> </w:t>
      </w:r>
      <w:r w:rsidR="00FA0750">
        <w:t xml:space="preserve">we offer policy recommendations for the achievement of a critical mass of capacity in the global water and sanitation sector through not-for-profit partnerships for capacity development. These recommendations are aimed at the international water community and refer to the institutional design of any ongoing and future international programmes supporting not-for-profit partnerships for capacity development.  </w:t>
      </w:r>
      <w:r>
        <w:t xml:space="preserve"> </w:t>
      </w:r>
    </w:p>
    <w:p w:rsidR="0054422D" w:rsidRDefault="0054422D" w:rsidP="001D410C"/>
    <w:p w:rsidR="007E31B1" w:rsidRDefault="00C7152E" w:rsidP="00996A6E">
      <w:pPr>
        <w:pStyle w:val="Heading2"/>
      </w:pPr>
      <w:bookmarkStart w:id="42" w:name="_Toc331783593"/>
      <w:r>
        <w:rPr>
          <w:lang w:val="en-GB"/>
        </w:rPr>
        <w:t>Policy</w:t>
      </w:r>
      <w:r w:rsidR="001D410C">
        <w:t xml:space="preserve"> r</w:t>
      </w:r>
      <w:r w:rsidR="006A5D65">
        <w:t>ecommendations</w:t>
      </w:r>
      <w:r w:rsidR="001D410C">
        <w:t xml:space="preserve">: </w:t>
      </w:r>
      <w:r w:rsidR="008534EA">
        <w:rPr>
          <w:lang w:val="en-GB"/>
        </w:rPr>
        <w:t>towards a</w:t>
      </w:r>
      <w:r>
        <w:rPr>
          <w:lang w:val="en-GB"/>
        </w:rPr>
        <w:t xml:space="preserve"> critical mass of capacity</w:t>
      </w:r>
      <w:bookmarkEnd w:id="42"/>
      <w:r w:rsidR="006A5D65">
        <w:t xml:space="preserve"> </w:t>
      </w:r>
    </w:p>
    <w:p w:rsidR="005C0028" w:rsidRDefault="004563F7" w:rsidP="005C0028">
      <w:pPr>
        <w:jc w:val="both"/>
      </w:pPr>
      <w:r>
        <w:t>Significant financial resources should be made available to international programmes supporting not-for-profit partnerships for capacity development. These financial resources should be commensurate to the scale of the need</w:t>
      </w:r>
      <w:r w:rsidR="005C0028">
        <w:t xml:space="preserve"> </w:t>
      </w:r>
      <w:r>
        <w:t xml:space="preserve">across transition and developing countries, and made available </w:t>
      </w:r>
      <w:r w:rsidR="005C0028">
        <w:t>for the time required to meet such a challenging goal as attaining a critical mass of capacity. Strategies should be devised for the effective deployment of the financial resources made available through budget lines, so that concrete actions can be undertaken for capacity development.</w:t>
      </w:r>
    </w:p>
    <w:p w:rsidR="005C0028" w:rsidRDefault="005C0028" w:rsidP="005C0028">
      <w:pPr>
        <w:jc w:val="both"/>
      </w:pPr>
    </w:p>
    <w:p w:rsidR="008534EA" w:rsidRDefault="0068192C" w:rsidP="005C0028">
      <w:pPr>
        <w:jc w:val="both"/>
      </w:pPr>
      <w:r>
        <w:t>Appropriate incentives should be provided for not-for-profit partnerships to</w:t>
      </w:r>
      <w:r w:rsidR="00BA4CC7">
        <w:t xml:space="preserve"> do the following.</w:t>
      </w:r>
    </w:p>
    <w:p w:rsidR="00BA4CC7" w:rsidRDefault="00BA4CC7" w:rsidP="005C0028">
      <w:pPr>
        <w:jc w:val="both"/>
      </w:pPr>
      <w:r>
        <w:t xml:space="preserve"> </w:t>
      </w:r>
    </w:p>
    <w:p w:rsidR="00BA4CC7" w:rsidRDefault="00BA4CC7" w:rsidP="005C0028">
      <w:pPr>
        <w:jc w:val="both"/>
      </w:pPr>
      <w:r>
        <w:t>1) A</w:t>
      </w:r>
      <w:r w:rsidR="0068192C">
        <w:t>ddress a range of locally relevant themes that are key to achieving sustainable water development beyond operational and managerial issues</w:t>
      </w:r>
      <w:r>
        <w:t>. These additional themes, which include participatory governance and</w:t>
      </w:r>
      <w:r w:rsidR="0068192C">
        <w:t xml:space="preserve"> institutional support</w:t>
      </w:r>
      <w:r>
        <w:t xml:space="preserve">, are central to enhancing sustainable water development. </w:t>
      </w:r>
    </w:p>
    <w:p w:rsidR="00BA4CC7" w:rsidRDefault="00BA4CC7" w:rsidP="005C0028">
      <w:pPr>
        <w:jc w:val="both"/>
      </w:pPr>
      <w:r>
        <w:t>2) A</w:t>
      </w:r>
      <w:r w:rsidR="0068192C">
        <w:t xml:space="preserve">ctively involve actors with a role to play in addressing </w:t>
      </w:r>
      <w:r>
        <w:t>the whole range of</w:t>
      </w:r>
      <w:r w:rsidR="0068192C">
        <w:t xml:space="preserve"> themes</w:t>
      </w:r>
      <w:r>
        <w:t>, from operational and managerial matters to broader governance issues. The actors involved in not-for-profit partnerships</w:t>
      </w:r>
      <w:r w:rsidR="0068192C">
        <w:t xml:space="preserve"> </w:t>
      </w:r>
      <w:r>
        <w:t xml:space="preserve">should go </w:t>
      </w:r>
      <w:r w:rsidR="0068192C">
        <w:t>beyond</w:t>
      </w:r>
      <w:r>
        <w:t xml:space="preserve"> the traditional partnering of</w:t>
      </w:r>
      <w:r w:rsidR="0068192C">
        <w:t xml:space="preserve"> water utilities, local authorities and other water agencies</w:t>
      </w:r>
      <w:r>
        <w:t xml:space="preserve">, and should include less traditional partners such as Non State Actors and South-South partners. </w:t>
      </w:r>
    </w:p>
    <w:p w:rsidR="00266940" w:rsidRDefault="00BA4CC7" w:rsidP="005C0028">
      <w:pPr>
        <w:jc w:val="both"/>
      </w:pPr>
      <w:r>
        <w:t>3</w:t>
      </w:r>
      <w:r w:rsidR="0068192C">
        <w:t xml:space="preserve">) </w:t>
      </w:r>
      <w:r>
        <w:t>Produce tangib</w:t>
      </w:r>
      <w:r w:rsidR="00266940">
        <w:t xml:space="preserve">le and permanent results that develop the capacity of the beneficiary or recipient partners and translate in concrete progress towards sustainable water development in the benefitted </w:t>
      </w:r>
      <w:r w:rsidR="00266940">
        <w:lastRenderedPageBreak/>
        <w:t>location. Towards that aim, not-for-profit partnerships should go beyond classical training and provide inclusive and sustained opportunities for learning.</w:t>
      </w:r>
    </w:p>
    <w:p w:rsidR="008534EA" w:rsidRDefault="00266940" w:rsidP="005C0028">
      <w:pPr>
        <w:jc w:val="both"/>
      </w:pPr>
      <w:r>
        <w:t xml:space="preserve">4) Produce mechanisms for the replication </w:t>
      </w:r>
      <w:r w:rsidR="008534EA">
        <w:t xml:space="preserve">and up-scaling </w:t>
      </w:r>
      <w:r>
        <w:t>of</w:t>
      </w:r>
      <w:r w:rsidR="008534EA">
        <w:t xml:space="preserve"> local capacity development processes at country and regional level. These mechanisms could include concrete replication and up-scaling actions, but also actions that are in preparation for future replication and up-scaling. They should be mandatory results of funded partnerships and should be complemented and not supplemented by initiative towards replication and up-scaling undertaken by the sponsors of the partnerships or by third parties.</w:t>
      </w:r>
    </w:p>
    <w:p w:rsidR="008534EA" w:rsidRDefault="008534EA" w:rsidP="005C0028">
      <w:pPr>
        <w:jc w:val="both"/>
      </w:pPr>
      <w:r>
        <w:t xml:space="preserve">5) </w:t>
      </w:r>
      <w:r w:rsidR="0005223D">
        <w:t>Adopt thorough and transparent procedures for the internal and external evaluation and monitoring of partnership projects, so as to ensure the implementation of the proposed actions. These procedures are intended to strengthen the accountability of partners to their funders, but should also be seen as opportunities for strengthening the responsiveness of partnerships to</w:t>
      </w:r>
      <w:r w:rsidR="0023648D">
        <w:t xml:space="preserve"> the needs of benefitted communities.</w:t>
      </w:r>
      <w:r w:rsidR="0005223D">
        <w:t xml:space="preserve"> </w:t>
      </w:r>
      <w:r>
        <w:t xml:space="preserve">  </w:t>
      </w:r>
    </w:p>
    <w:p w:rsidR="008534EA" w:rsidRDefault="008534EA" w:rsidP="005C0028">
      <w:pPr>
        <w:jc w:val="both"/>
      </w:pPr>
    </w:p>
    <w:p w:rsidR="008534EA" w:rsidRDefault="009A6F5A" w:rsidP="005C0028">
      <w:pPr>
        <w:jc w:val="both"/>
      </w:pPr>
      <w:r>
        <w:t>International programmes supporting not-for-profit partnerships for capacity de</w:t>
      </w:r>
      <w:r w:rsidR="009B4038">
        <w:t>velopment should be designed as open and continued opportunities for learning on developing capacity for sustainable water development</w:t>
      </w:r>
      <w:r>
        <w:t>.</w:t>
      </w:r>
      <w:r w:rsidR="009B4038">
        <w:t xml:space="preserve"> Adequately resourced mechanisms should be adopted for sharing lessons on the merits of the institutional features of different programmes, and on the merits of the </w:t>
      </w:r>
      <w:r w:rsidR="00C63575">
        <w:t xml:space="preserve">intervention </w:t>
      </w:r>
      <w:r w:rsidR="009B4038">
        <w:t xml:space="preserve">strategies adopted by different not-for-profit partnerships. One expected result of such mechanisms is a stronger developmental impact of programmes and partnerships as good practice is shared and debated. Another is that donors and </w:t>
      </w:r>
      <w:r w:rsidR="00C85F03">
        <w:t>other funders will be in a position to make informed decisions on financing successful or promising programmes and partnerships. In turn, funders’ commitment towards financing programmes supporting not-for-profit partnerships for capacity development is expected to grow as tangible results are systematically documented and strategies for capacity development are systematically strengthened.</w:t>
      </w:r>
      <w:r w:rsidR="009B4038">
        <w:t xml:space="preserve">  </w:t>
      </w:r>
    </w:p>
    <w:p w:rsidR="008534EA" w:rsidRDefault="008534EA" w:rsidP="005C0028">
      <w:pPr>
        <w:jc w:val="both"/>
      </w:pPr>
    </w:p>
    <w:p w:rsidR="00293ACE" w:rsidRPr="00C421E4" w:rsidRDefault="00C421E4" w:rsidP="00C421E4">
      <w:pPr>
        <w:pStyle w:val="Heading1"/>
        <w:numPr>
          <w:ilvl w:val="0"/>
          <w:numId w:val="0"/>
        </w:numPr>
      </w:pPr>
      <w:bookmarkStart w:id="43" w:name="_Toc331783594"/>
      <w:r w:rsidRPr="00C421E4">
        <w:t>Notes</w:t>
      </w:r>
      <w:bookmarkEnd w:id="43"/>
    </w:p>
    <w:sectPr w:rsidR="00293ACE" w:rsidRPr="00C421E4" w:rsidSect="00DC0141">
      <w:headerReference w:type="default" r:id="rId12"/>
      <w:footerReference w:type="default" r:id="rId13"/>
      <w:headerReference w:type="first" r:id="rId14"/>
      <w:footerReference w:type="first" r:id="rId15"/>
      <w:footnotePr>
        <w:numFmt w:val="lowerRoman"/>
      </w:footnotePr>
      <w:endnotePr>
        <w:numFmt w:val="decimal"/>
      </w:endnotePr>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A6" w:rsidRDefault="00091AA6">
      <w:r>
        <w:separator/>
      </w:r>
    </w:p>
  </w:endnote>
  <w:endnote w:type="continuationSeparator" w:id="0">
    <w:p w:rsidR="00091AA6" w:rsidRDefault="00091AA6">
      <w:r>
        <w:continuationSeparator/>
      </w:r>
    </w:p>
  </w:endnote>
  <w:endnote w:id="1">
    <w:p w:rsidR="003D7611" w:rsidRPr="00E35246" w:rsidRDefault="003D7611" w:rsidP="00B94D15">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 5</w:t>
      </w:r>
      <w:r w:rsidRPr="00CE68A1">
        <w:rPr>
          <w:rFonts w:ascii="Arial" w:hAnsi="Arial" w:cs="Arial"/>
          <w:sz w:val="18"/>
          <w:szCs w:val="18"/>
        </w:rPr>
        <w:t>.</w:t>
      </w:r>
    </w:p>
  </w:endnote>
  <w:endnote w:id="2">
    <w:p w:rsidR="003D7611" w:rsidRPr="00625ED5" w:rsidRDefault="003D7611" w:rsidP="00B94D15">
      <w:pPr>
        <w:pStyle w:val="EndnoteText"/>
        <w:jc w:val="both"/>
        <w:rPr>
          <w:rStyle w:val="EndnoteReference"/>
        </w:rPr>
      </w:pPr>
      <w:r>
        <w:rPr>
          <w:rStyle w:val="EndnoteReference"/>
        </w:rPr>
        <w:endnoteRef/>
      </w:r>
      <w:r>
        <w:t xml:space="preserve"> </w:t>
      </w:r>
      <w:r w:rsidRPr="009400A5">
        <w:rPr>
          <w:rStyle w:val="personname"/>
          <w:rFonts w:ascii="Arial" w:hAnsi="Arial" w:cs="Arial"/>
          <w:sz w:val="18"/>
          <w:szCs w:val="18"/>
        </w:rPr>
        <w:t>Lobina, E.</w:t>
      </w:r>
      <w:r w:rsidRPr="009400A5">
        <w:rPr>
          <w:rFonts w:ascii="Arial" w:hAnsi="Arial" w:cs="Arial"/>
          <w:sz w:val="18"/>
          <w:szCs w:val="18"/>
        </w:rPr>
        <w:t xml:space="preserve"> (forthcoming, 2012) Urban </w:t>
      </w:r>
      <w:hyperlink r:id="rId1" w:history="1">
        <w:r w:rsidRPr="009400A5">
          <w:rPr>
            <w:rStyle w:val="Emphasis"/>
            <w:rFonts w:ascii="Arial" w:hAnsi="Arial" w:cs="Arial"/>
            <w:i w:val="0"/>
            <w:sz w:val="18"/>
            <w:szCs w:val="18"/>
          </w:rPr>
          <w:t>Water Governance, Technological Change and Paradigm Shifts, in</w:t>
        </w:r>
      </w:hyperlink>
      <w:r w:rsidRPr="009400A5">
        <w:rPr>
          <w:rFonts w:ascii="Arial" w:hAnsi="Arial" w:cs="Arial"/>
          <w:i/>
          <w:sz w:val="18"/>
          <w:szCs w:val="18"/>
        </w:rPr>
        <w:t xml:space="preserve"> International Journal of Water</w:t>
      </w:r>
      <w:r w:rsidRPr="009400A5">
        <w:rPr>
          <w:rFonts w:ascii="Arial" w:hAnsi="Arial" w:cs="Arial"/>
          <w:sz w:val="18"/>
          <w:szCs w:val="18"/>
        </w:rPr>
        <w:t>. Accepted for publication: 26 August 2011; expected publication date: early 2012.</w:t>
      </w:r>
      <w:r w:rsidRPr="009400A5">
        <w:rPr>
          <w:rStyle w:val="EndnoteReference"/>
        </w:rPr>
        <w:t xml:space="preserve"> </w:t>
      </w:r>
    </w:p>
  </w:endnote>
  <w:endnote w:id="3">
    <w:p w:rsidR="003D7611" w:rsidRPr="00625ED5" w:rsidRDefault="003D7611" w:rsidP="00B94D15">
      <w:pPr>
        <w:pStyle w:val="EndnoteText"/>
        <w:jc w:val="both"/>
        <w:rPr>
          <w:rStyle w:val="EndnoteReference"/>
        </w:rPr>
      </w:pPr>
      <w:r>
        <w:rPr>
          <w:rStyle w:val="EndnoteReference"/>
        </w:rPr>
        <w:endnoteRef/>
      </w:r>
      <w:r>
        <w:t xml:space="preserve"> </w:t>
      </w:r>
      <w:r w:rsidRPr="00923581">
        <w:rPr>
          <w:rFonts w:ascii="Arial" w:hAnsi="Arial" w:cs="Arial"/>
          <w:sz w:val="18"/>
          <w:szCs w:val="18"/>
        </w:rPr>
        <w:t xml:space="preserve">Dresner, S. (2008) </w:t>
      </w:r>
      <w:r w:rsidRPr="00923581">
        <w:rPr>
          <w:rFonts w:ascii="Arial" w:hAnsi="Arial" w:cs="Arial"/>
          <w:i/>
          <w:sz w:val="18"/>
          <w:szCs w:val="18"/>
        </w:rPr>
        <w:t>The principles of sustainability</w:t>
      </w:r>
      <w:r w:rsidRPr="00923581">
        <w:rPr>
          <w:rFonts w:ascii="Arial" w:hAnsi="Arial" w:cs="Arial"/>
          <w:sz w:val="18"/>
          <w:szCs w:val="18"/>
        </w:rPr>
        <w:t xml:space="preserve">. </w:t>
      </w:r>
      <w:smartTag w:uri="urn:schemas-microsoft-com:office:smarttags" w:element="place">
        <w:smartTag w:uri="urn:schemas-microsoft-com:office:smarttags" w:element="City">
          <w:r w:rsidRPr="00923581">
            <w:rPr>
              <w:rFonts w:ascii="Arial" w:hAnsi="Arial" w:cs="Arial"/>
              <w:sz w:val="18"/>
              <w:szCs w:val="18"/>
            </w:rPr>
            <w:t>London</w:t>
          </w:r>
        </w:smartTag>
      </w:smartTag>
      <w:r w:rsidRPr="00923581">
        <w:rPr>
          <w:rFonts w:ascii="Arial" w:hAnsi="Arial" w:cs="Arial"/>
          <w:sz w:val="18"/>
          <w:szCs w:val="18"/>
        </w:rPr>
        <w:t>: Earthscan.</w:t>
      </w:r>
      <w:r w:rsidRPr="009400A5">
        <w:rPr>
          <w:rStyle w:val="EndnoteReference"/>
        </w:rPr>
        <w:t xml:space="preserve"> </w:t>
      </w:r>
    </w:p>
  </w:endnote>
  <w:endnote w:id="4">
    <w:p w:rsidR="003D7611" w:rsidRPr="00625ED5" w:rsidRDefault="003D7611" w:rsidP="00B94D15">
      <w:pPr>
        <w:pStyle w:val="EndnoteText"/>
        <w:jc w:val="both"/>
        <w:rPr>
          <w:rStyle w:val="EndnoteReference"/>
        </w:rPr>
      </w:pPr>
      <w:r>
        <w:rPr>
          <w:rStyle w:val="EndnoteReference"/>
        </w:rPr>
        <w:endnoteRef/>
      </w:r>
      <w:r>
        <w:t xml:space="preserve"> </w:t>
      </w:r>
      <w:r w:rsidRPr="009400A5">
        <w:rPr>
          <w:rStyle w:val="personname"/>
          <w:rFonts w:ascii="Arial" w:hAnsi="Arial" w:cs="Arial"/>
          <w:sz w:val="18"/>
          <w:szCs w:val="18"/>
        </w:rPr>
        <w:t>Lobina, E.</w:t>
      </w:r>
      <w:r w:rsidRPr="009400A5">
        <w:rPr>
          <w:rFonts w:ascii="Arial" w:hAnsi="Arial" w:cs="Arial"/>
          <w:sz w:val="18"/>
          <w:szCs w:val="18"/>
        </w:rPr>
        <w:t xml:space="preserve"> (forthcoming, 2012) Urban </w:t>
      </w:r>
      <w:hyperlink r:id="rId2" w:history="1">
        <w:r w:rsidRPr="009400A5">
          <w:rPr>
            <w:rStyle w:val="Emphasis"/>
            <w:rFonts w:ascii="Arial" w:hAnsi="Arial" w:cs="Arial"/>
            <w:i w:val="0"/>
            <w:sz w:val="18"/>
            <w:szCs w:val="18"/>
          </w:rPr>
          <w:t>Water Governance, Technological Change and Paradigm Shifts, in</w:t>
        </w:r>
      </w:hyperlink>
      <w:r w:rsidRPr="009400A5">
        <w:rPr>
          <w:rFonts w:ascii="Arial" w:hAnsi="Arial" w:cs="Arial"/>
          <w:i/>
          <w:sz w:val="18"/>
          <w:szCs w:val="18"/>
        </w:rPr>
        <w:t xml:space="preserve"> International Journal of Water</w:t>
      </w:r>
      <w:r w:rsidRPr="009400A5">
        <w:rPr>
          <w:rFonts w:ascii="Arial" w:hAnsi="Arial" w:cs="Arial"/>
          <w:sz w:val="18"/>
          <w:szCs w:val="18"/>
        </w:rPr>
        <w:t>. Accepted for publication: 26 August 2011; expected publication date: early 2012.</w:t>
      </w:r>
      <w:r w:rsidRPr="009400A5">
        <w:rPr>
          <w:rStyle w:val="EndnoteReference"/>
        </w:rPr>
        <w:t xml:space="preserve"> </w:t>
      </w:r>
    </w:p>
  </w:endnote>
  <w:endnote w:id="5">
    <w:p w:rsidR="003D7611" w:rsidRPr="006A1EE2" w:rsidRDefault="003D7611" w:rsidP="00B94D15">
      <w:pPr>
        <w:pStyle w:val="Default"/>
        <w:rPr>
          <w:rStyle w:val="EndnoteReference"/>
          <w:rFonts w:ascii="Arial" w:hAnsi="Arial" w:cs="Arial"/>
          <w:vertAlign w:val="baseline"/>
        </w:rPr>
      </w:pPr>
      <w:r w:rsidRPr="00705E4F">
        <w:rPr>
          <w:rStyle w:val="EndnoteReference"/>
          <w:rFonts w:ascii="Calibri" w:hAnsi="Calibri" w:cs="Calibri"/>
          <w:sz w:val="20"/>
          <w:szCs w:val="20"/>
        </w:rPr>
        <w:endnoteRef/>
      </w:r>
      <w:r>
        <w:t xml:space="preserve"> </w:t>
      </w:r>
      <w:r>
        <w:rPr>
          <w:rFonts w:ascii="Arial" w:hAnsi="Arial" w:cs="Arial"/>
          <w:sz w:val="18"/>
          <w:szCs w:val="18"/>
        </w:rPr>
        <w:t xml:space="preserve">OECD (2006) </w:t>
      </w:r>
      <w:r w:rsidRPr="006A1EE2">
        <w:rPr>
          <w:rFonts w:ascii="Arial" w:hAnsi="Arial" w:cs="Arial"/>
          <w:iCs/>
          <w:sz w:val="18"/>
          <w:szCs w:val="18"/>
        </w:rPr>
        <w:t>The Challenge of Capacity Development: Working towards good practice</w:t>
      </w:r>
      <w:r w:rsidRPr="006A1EE2">
        <w:rPr>
          <w:rFonts w:ascii="Arial" w:hAnsi="Arial" w:cs="Arial"/>
          <w:sz w:val="18"/>
          <w:szCs w:val="18"/>
        </w:rPr>
        <w:t xml:space="preserve">, </w:t>
      </w:r>
      <w:r w:rsidRPr="006A1EE2">
        <w:rPr>
          <w:rFonts w:ascii="Arial" w:hAnsi="Arial" w:cs="Arial"/>
          <w:i/>
          <w:sz w:val="18"/>
          <w:szCs w:val="18"/>
        </w:rPr>
        <w:t>DAC Guidelines and Reference Series</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Paris</w:t>
          </w:r>
        </w:smartTag>
      </w:smartTag>
      <w:r>
        <w:rPr>
          <w:rFonts w:ascii="Arial" w:hAnsi="Arial" w:cs="Arial"/>
          <w:sz w:val="18"/>
          <w:szCs w:val="18"/>
        </w:rPr>
        <w:t xml:space="preserve">: Organisation for Economic Development and Co-operation, p. 12. </w:t>
      </w:r>
      <w:r w:rsidRPr="009400A5">
        <w:rPr>
          <w:rStyle w:val="EndnoteReference"/>
        </w:rPr>
        <w:t xml:space="preserve"> </w:t>
      </w:r>
    </w:p>
  </w:endnote>
  <w:endnote w:id="6">
    <w:p w:rsidR="003D7611" w:rsidRPr="006A1EE2" w:rsidRDefault="003D7611" w:rsidP="00B94D15">
      <w:pPr>
        <w:pStyle w:val="Default"/>
        <w:rPr>
          <w:rStyle w:val="EndnoteReference"/>
          <w:rFonts w:ascii="Arial" w:hAnsi="Arial" w:cs="Arial"/>
          <w:vertAlign w:val="baseline"/>
        </w:rPr>
      </w:pPr>
      <w:r w:rsidRPr="00705E4F">
        <w:rPr>
          <w:rStyle w:val="EndnoteReference"/>
          <w:rFonts w:ascii="Calibri" w:hAnsi="Calibri" w:cs="Calibri"/>
          <w:sz w:val="20"/>
          <w:szCs w:val="20"/>
        </w:rPr>
        <w:endnoteRef/>
      </w:r>
      <w:r>
        <w:t xml:space="preserve"> </w:t>
      </w:r>
      <w:r>
        <w:rPr>
          <w:rFonts w:ascii="Arial" w:hAnsi="Arial" w:cs="Arial"/>
          <w:sz w:val="18"/>
          <w:szCs w:val="18"/>
        </w:rPr>
        <w:t xml:space="preserve">European Commission (2005) </w:t>
      </w:r>
      <w:r>
        <w:rPr>
          <w:rFonts w:ascii="Arial" w:hAnsi="Arial" w:cs="Arial"/>
          <w:iCs/>
          <w:sz w:val="18"/>
          <w:szCs w:val="18"/>
        </w:rPr>
        <w:t>Institutional Assessment and Capacity Development: Why, what and how?</w:t>
      </w:r>
      <w:r w:rsidRPr="006A1EE2">
        <w:rPr>
          <w:rFonts w:ascii="Arial" w:hAnsi="Arial" w:cs="Arial"/>
          <w:sz w:val="18"/>
          <w:szCs w:val="18"/>
        </w:rPr>
        <w:t xml:space="preserve"> </w:t>
      </w:r>
      <w:r>
        <w:rPr>
          <w:rFonts w:ascii="Arial" w:hAnsi="Arial" w:cs="Arial"/>
          <w:i/>
          <w:sz w:val="18"/>
          <w:szCs w:val="18"/>
        </w:rPr>
        <w:t>EuropeAid Aid Delivery Methods concept paper – a contribution to development thinking</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Brussels</w:t>
          </w:r>
        </w:smartTag>
      </w:smartTag>
      <w:r>
        <w:rPr>
          <w:rFonts w:ascii="Arial" w:hAnsi="Arial" w:cs="Arial"/>
          <w:sz w:val="18"/>
          <w:szCs w:val="18"/>
        </w:rPr>
        <w:t xml:space="preserve">: European Commission, pp. 5, 17-18. </w:t>
      </w:r>
      <w:r w:rsidRPr="009400A5">
        <w:rPr>
          <w:rStyle w:val="EndnoteReference"/>
        </w:rPr>
        <w:t xml:space="preserve"> </w:t>
      </w:r>
    </w:p>
  </w:endnote>
  <w:endnote w:id="7">
    <w:p w:rsidR="003D7611" w:rsidRPr="00024A57" w:rsidRDefault="003D7611" w:rsidP="00B94D15">
      <w:pPr>
        <w:pStyle w:val="Default"/>
        <w:rPr>
          <w:rStyle w:val="EndnoteReference"/>
          <w:rFonts w:ascii="Gotham Narrow Book" w:hAnsi="Gotham Narrow Book" w:cs="Gotham Narrow Book"/>
          <w:vertAlign w:val="baseline"/>
        </w:rPr>
      </w:pPr>
      <w:r w:rsidRPr="00705E4F">
        <w:rPr>
          <w:rStyle w:val="EndnoteReference"/>
          <w:rFonts w:ascii="Calibri" w:hAnsi="Calibri" w:cs="Calibri"/>
          <w:sz w:val="20"/>
          <w:szCs w:val="20"/>
        </w:rPr>
        <w:endnoteRef/>
      </w:r>
      <w:r>
        <w:t xml:space="preserve"> </w:t>
      </w:r>
      <w:r w:rsidRPr="00024A57">
        <w:rPr>
          <w:rFonts w:ascii="Arial" w:hAnsi="Arial" w:cs="Arial"/>
          <w:sz w:val="18"/>
          <w:szCs w:val="18"/>
        </w:rPr>
        <w:t xml:space="preserve">UNESCO (2012) </w:t>
      </w:r>
      <w:r w:rsidRPr="00024A57">
        <w:rPr>
          <w:rFonts w:ascii="Arial" w:hAnsi="Arial" w:cs="Arial"/>
          <w:color w:val="auto"/>
          <w:sz w:val="18"/>
          <w:szCs w:val="18"/>
        </w:rPr>
        <w:t xml:space="preserve">The United Nations World Water Development Report 4: </w:t>
      </w:r>
      <w:r w:rsidRPr="00024A57">
        <w:rPr>
          <w:rFonts w:ascii="Arial" w:hAnsi="Arial" w:cs="Arial"/>
          <w:i/>
          <w:iCs/>
          <w:color w:val="auto"/>
          <w:sz w:val="18"/>
          <w:szCs w:val="18"/>
        </w:rPr>
        <w:t xml:space="preserve">Knowledge Base </w:t>
      </w:r>
      <w:r w:rsidRPr="00024A57">
        <w:rPr>
          <w:rFonts w:ascii="Arial" w:hAnsi="Arial" w:cs="Arial"/>
          <w:color w:val="auto"/>
          <w:sz w:val="18"/>
          <w:szCs w:val="18"/>
        </w:rPr>
        <w:t>(Vol. 2).</w:t>
      </w:r>
      <w:r w:rsidRPr="00024A57">
        <w:rPr>
          <w:rFonts w:ascii="Arial" w:hAnsi="Arial" w:cs="Arial"/>
          <w:sz w:val="18"/>
          <w:szCs w:val="18"/>
        </w:rPr>
        <w:t xml:space="preserve"> </w:t>
      </w:r>
      <w:smartTag w:uri="urn:schemas-microsoft-com:office:smarttags" w:element="place">
        <w:smartTag w:uri="urn:schemas-microsoft-com:office:smarttags" w:element="City">
          <w:r w:rsidRPr="00024A57">
            <w:rPr>
              <w:rFonts w:ascii="Arial" w:hAnsi="Arial" w:cs="Arial"/>
              <w:sz w:val="18"/>
              <w:szCs w:val="18"/>
            </w:rPr>
            <w:t>Paris</w:t>
          </w:r>
        </w:smartTag>
      </w:smartTag>
      <w:r w:rsidRPr="00024A57">
        <w:rPr>
          <w:rFonts w:ascii="Arial" w:hAnsi="Arial" w:cs="Arial"/>
          <w:sz w:val="18"/>
          <w:szCs w:val="18"/>
        </w:rPr>
        <w:t xml:space="preserve">: </w:t>
      </w:r>
      <w:r w:rsidRPr="00024A57">
        <w:rPr>
          <w:rFonts w:ascii="Arial" w:hAnsi="Arial" w:cs="Arial"/>
          <w:color w:val="auto"/>
          <w:sz w:val="18"/>
          <w:szCs w:val="18"/>
        </w:rPr>
        <w:t>United Nations Educational, Scientific and Cultural Organization,</w:t>
      </w:r>
      <w:r w:rsidRPr="00024A57">
        <w:rPr>
          <w:rFonts w:ascii="Gotham Narrow Book" w:hAnsi="Gotham Narrow Book"/>
          <w:color w:val="auto"/>
          <w:sz w:val="16"/>
          <w:szCs w:val="16"/>
        </w:rPr>
        <w:t xml:space="preserve"> </w:t>
      </w:r>
      <w:r>
        <w:rPr>
          <w:rFonts w:ascii="Arial" w:hAnsi="Arial" w:cs="Arial"/>
          <w:sz w:val="18"/>
          <w:szCs w:val="18"/>
        </w:rPr>
        <w:t xml:space="preserve">pp. 582-599. </w:t>
      </w:r>
      <w:r w:rsidRPr="009400A5">
        <w:rPr>
          <w:rStyle w:val="EndnoteReference"/>
        </w:rPr>
        <w:t xml:space="preserve"> </w:t>
      </w:r>
    </w:p>
  </w:endnote>
  <w:endnote w:id="8">
    <w:p w:rsidR="003D7611" w:rsidRPr="005605DA" w:rsidRDefault="003D7611" w:rsidP="00B94D15">
      <w:pPr>
        <w:autoSpaceDE w:val="0"/>
        <w:autoSpaceDN w:val="0"/>
        <w:adjustRightInd w:val="0"/>
        <w:rPr>
          <w:rStyle w:val="EndnoteReference"/>
          <w:rFonts w:ascii="HelveticaNeue-Light" w:eastAsia="Times New Roman" w:hAnsi="HelveticaNeue-Light" w:cs="HelveticaNeue-Light"/>
          <w:sz w:val="20"/>
          <w:szCs w:val="20"/>
          <w:vertAlign w:val="baseline"/>
          <w:lang w:eastAsia="en-GB"/>
        </w:rPr>
      </w:pPr>
      <w:r w:rsidRPr="00CF7EF0">
        <w:rPr>
          <w:rStyle w:val="EndnoteReference"/>
          <w:sz w:val="20"/>
          <w:szCs w:val="20"/>
        </w:rPr>
        <w:endnoteRef/>
      </w:r>
      <w:r>
        <w:t xml:space="preserve"> </w:t>
      </w:r>
      <w:r w:rsidRPr="006D3CE9">
        <w:rPr>
          <w:rFonts w:ascii="Arial" w:hAnsi="Arial" w:cs="Arial"/>
          <w:sz w:val="18"/>
          <w:szCs w:val="18"/>
        </w:rPr>
        <w:t>Cavill, S., Saywell, D. (2009) The capacity gap in the water and sanitation sector. Refereed Paper 335, presented at the 34</w:t>
      </w:r>
      <w:r w:rsidRPr="006D3CE9">
        <w:rPr>
          <w:rFonts w:ascii="Arial" w:hAnsi="Arial" w:cs="Arial"/>
          <w:sz w:val="18"/>
          <w:szCs w:val="18"/>
          <w:vertAlign w:val="superscript"/>
        </w:rPr>
        <w:t>th</w:t>
      </w:r>
      <w:r w:rsidRPr="006D3CE9">
        <w:rPr>
          <w:rFonts w:ascii="Arial" w:hAnsi="Arial" w:cs="Arial"/>
          <w:sz w:val="18"/>
          <w:szCs w:val="18"/>
        </w:rPr>
        <w:t xml:space="preserve"> WEDC International Conference on “Water, Sanitation and Hygiene: Sustainable Development and Multisectoral </w:t>
      </w:r>
      <w:r w:rsidRPr="006D3CE9">
        <w:rPr>
          <w:rFonts w:ascii="Arial" w:hAnsi="Arial" w:cs="Arial"/>
          <w:caps/>
          <w:sz w:val="18"/>
          <w:szCs w:val="18"/>
        </w:rPr>
        <w:t>a</w:t>
      </w:r>
      <w:r w:rsidRPr="006D3CE9">
        <w:rPr>
          <w:rFonts w:ascii="Arial" w:hAnsi="Arial" w:cs="Arial"/>
          <w:sz w:val="18"/>
          <w:szCs w:val="18"/>
        </w:rPr>
        <w:t>pproaches” (</w:t>
      </w:r>
      <w:smartTag w:uri="urn:schemas-microsoft-com:office:smarttags" w:element="place">
        <w:smartTag w:uri="urn:schemas-microsoft-com:office:smarttags" w:element="City">
          <w:r w:rsidRPr="006D3CE9">
            <w:rPr>
              <w:rFonts w:ascii="Arial" w:hAnsi="Arial" w:cs="Arial"/>
              <w:sz w:val="18"/>
              <w:szCs w:val="18"/>
            </w:rPr>
            <w:t>Addis Ababa</w:t>
          </w:r>
        </w:smartTag>
      </w:smartTag>
      <w:r w:rsidRPr="006D3CE9">
        <w:rPr>
          <w:rFonts w:ascii="Arial" w:hAnsi="Arial" w:cs="Arial"/>
          <w:sz w:val="18"/>
          <w:szCs w:val="18"/>
        </w:rPr>
        <w:t>, 2009)</w:t>
      </w:r>
      <w:r>
        <w:rPr>
          <w:rFonts w:ascii="Arial" w:hAnsi="Arial" w:cs="Arial"/>
          <w:sz w:val="18"/>
          <w:szCs w:val="18"/>
        </w:rPr>
        <w:t>; World Health Organization (2010</w:t>
      </w:r>
      <w:r w:rsidRPr="005605DA">
        <w:rPr>
          <w:rFonts w:ascii="Arial" w:hAnsi="Arial" w:cs="Arial"/>
          <w:sz w:val="18"/>
          <w:szCs w:val="18"/>
        </w:rPr>
        <w:t xml:space="preserve">) </w:t>
      </w:r>
      <w:r w:rsidRPr="005605DA">
        <w:rPr>
          <w:rFonts w:ascii="Arial" w:eastAsia="Times New Roman" w:hAnsi="Arial" w:cs="Arial"/>
          <w:sz w:val="18"/>
          <w:szCs w:val="18"/>
          <w:lang w:eastAsia="en-GB"/>
        </w:rPr>
        <w:t>UN-water global annual assessment of sanitation and drinking-water (GLAAS) 2010: targeting resources for better results.</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Geneva</w:t>
          </w:r>
        </w:smartTag>
      </w:smartTag>
      <w:r>
        <w:rPr>
          <w:rFonts w:ascii="Arial" w:hAnsi="Arial" w:cs="Arial"/>
          <w:sz w:val="18"/>
          <w:szCs w:val="18"/>
        </w:rPr>
        <w:t>:</w:t>
      </w:r>
      <w:r w:rsidRPr="005605DA">
        <w:rPr>
          <w:rFonts w:ascii="Arial" w:hAnsi="Arial" w:cs="Arial"/>
          <w:sz w:val="18"/>
          <w:szCs w:val="18"/>
        </w:rPr>
        <w:t xml:space="preserve"> </w:t>
      </w:r>
      <w:r>
        <w:rPr>
          <w:rFonts w:ascii="Arial" w:hAnsi="Arial" w:cs="Arial"/>
          <w:sz w:val="18"/>
          <w:szCs w:val="18"/>
        </w:rPr>
        <w:t xml:space="preserve">World Health Organization, pp. 37-51; </w:t>
      </w:r>
      <w:r w:rsidRPr="005173DB">
        <w:rPr>
          <w:rFonts w:ascii="Arial" w:hAnsi="Arial" w:cs="Arial"/>
          <w:sz w:val="18"/>
          <w:szCs w:val="18"/>
        </w:rPr>
        <w:t xml:space="preserve">Hall, D., Lobina, E. (2005) Good Practice Recommendations, </w:t>
      </w:r>
      <w:r w:rsidRPr="005173DB">
        <w:rPr>
          <w:rFonts w:ascii="Arial" w:hAnsi="Arial" w:cs="Arial"/>
          <w:i/>
          <w:sz w:val="18"/>
          <w:szCs w:val="18"/>
        </w:rPr>
        <w:t>WaterTime Deliverable D60</w:t>
      </w:r>
      <w:r w:rsidRPr="005173DB">
        <w:rPr>
          <w:rFonts w:ascii="Arial" w:hAnsi="Arial" w:cs="Arial"/>
          <w:sz w:val="18"/>
          <w:szCs w:val="18"/>
        </w:rPr>
        <w:t>, November 2005. Research Project on “Decision making in water systems in European cities” (WATERTIME), European Commission, 5</w:t>
      </w:r>
      <w:r w:rsidRPr="005173DB">
        <w:rPr>
          <w:rFonts w:ascii="Arial" w:hAnsi="Arial" w:cs="Arial"/>
          <w:sz w:val="18"/>
          <w:szCs w:val="18"/>
          <w:vertAlign w:val="superscript"/>
        </w:rPr>
        <w:t>th</w:t>
      </w:r>
      <w:r w:rsidRPr="005173DB">
        <w:rPr>
          <w:rFonts w:ascii="Arial" w:hAnsi="Arial" w:cs="Arial"/>
          <w:sz w:val="18"/>
          <w:szCs w:val="18"/>
        </w:rPr>
        <w:t xml:space="preserve"> Framework Programme, 2002-20</w:t>
      </w:r>
      <w:r>
        <w:rPr>
          <w:rFonts w:ascii="Arial" w:hAnsi="Arial" w:cs="Arial"/>
          <w:sz w:val="18"/>
          <w:szCs w:val="18"/>
        </w:rPr>
        <w:t>05. Contract No. EVK4-2002-0095</w:t>
      </w:r>
      <w:r w:rsidRPr="005173DB">
        <w:rPr>
          <w:rFonts w:ascii="Arial" w:hAnsi="Arial" w:cs="Arial"/>
          <w:sz w:val="18"/>
          <w:szCs w:val="18"/>
        </w:rPr>
        <w:t>.</w:t>
      </w:r>
      <w:r>
        <w:rPr>
          <w:rFonts w:ascii="Arial" w:hAnsi="Arial" w:cs="Arial"/>
          <w:sz w:val="18"/>
          <w:szCs w:val="18"/>
        </w:rPr>
        <w:t xml:space="preserve"> </w:t>
      </w:r>
      <w:r w:rsidRPr="009400A5">
        <w:rPr>
          <w:rStyle w:val="EndnoteReference"/>
        </w:rPr>
        <w:t xml:space="preserve"> </w:t>
      </w:r>
    </w:p>
  </w:endnote>
  <w:endnote w:id="9">
    <w:p w:rsidR="003D7611" w:rsidRPr="005605DA" w:rsidRDefault="003D7611" w:rsidP="00B94D15">
      <w:pPr>
        <w:autoSpaceDE w:val="0"/>
        <w:autoSpaceDN w:val="0"/>
        <w:adjustRightInd w:val="0"/>
        <w:rPr>
          <w:rStyle w:val="EndnoteReference"/>
          <w:rFonts w:ascii="HelveticaNeue-Light" w:eastAsia="Times New Roman" w:hAnsi="HelveticaNeue-Light" w:cs="HelveticaNeue-Light"/>
          <w:sz w:val="20"/>
          <w:szCs w:val="20"/>
          <w:vertAlign w:val="baseline"/>
          <w:lang w:eastAsia="en-GB"/>
        </w:rPr>
      </w:pPr>
      <w:r w:rsidRPr="00CF7EF0">
        <w:rPr>
          <w:rStyle w:val="EndnoteReference"/>
          <w:sz w:val="20"/>
          <w:szCs w:val="20"/>
        </w:rPr>
        <w:endnoteRef/>
      </w:r>
      <w:r>
        <w:t xml:space="preserve"> </w:t>
      </w:r>
      <w:r>
        <w:rPr>
          <w:rFonts w:ascii="Arial" w:hAnsi="Arial" w:cs="Arial"/>
          <w:sz w:val="18"/>
          <w:szCs w:val="18"/>
        </w:rPr>
        <w:t>World Health Organization (2010</w:t>
      </w:r>
      <w:r w:rsidRPr="005605DA">
        <w:rPr>
          <w:rFonts w:ascii="Arial" w:hAnsi="Arial" w:cs="Arial"/>
          <w:sz w:val="18"/>
          <w:szCs w:val="18"/>
        </w:rPr>
        <w:t xml:space="preserve">) </w:t>
      </w:r>
      <w:r w:rsidRPr="005605DA">
        <w:rPr>
          <w:rFonts w:ascii="Arial" w:eastAsia="Times New Roman" w:hAnsi="Arial" w:cs="Arial"/>
          <w:sz w:val="18"/>
          <w:szCs w:val="18"/>
          <w:lang w:eastAsia="en-GB"/>
        </w:rPr>
        <w:t>UN-water global annual assessment of sanitation and drinking-water (GLAAS) 2010: targeting resources for better results.</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Geneva</w:t>
          </w:r>
        </w:smartTag>
      </w:smartTag>
      <w:r>
        <w:rPr>
          <w:rFonts w:ascii="Arial" w:hAnsi="Arial" w:cs="Arial"/>
          <w:sz w:val="18"/>
          <w:szCs w:val="18"/>
        </w:rPr>
        <w:t>:</w:t>
      </w:r>
      <w:r w:rsidRPr="005605DA">
        <w:rPr>
          <w:rFonts w:ascii="Arial" w:hAnsi="Arial" w:cs="Arial"/>
          <w:sz w:val="18"/>
          <w:szCs w:val="18"/>
        </w:rPr>
        <w:t xml:space="preserve"> </w:t>
      </w:r>
      <w:r>
        <w:rPr>
          <w:rFonts w:ascii="Arial" w:hAnsi="Arial" w:cs="Arial"/>
          <w:sz w:val="18"/>
          <w:szCs w:val="18"/>
        </w:rPr>
        <w:t xml:space="preserve">World Health Organization, pp. 37-51. </w:t>
      </w:r>
      <w:r w:rsidRPr="009400A5">
        <w:rPr>
          <w:rStyle w:val="EndnoteReference"/>
        </w:rPr>
        <w:t xml:space="preserve"> </w:t>
      </w:r>
    </w:p>
  </w:endnote>
  <w:endnote w:id="10">
    <w:p w:rsidR="003D7611" w:rsidRPr="00CF7EF0" w:rsidRDefault="003D7611" w:rsidP="00B94D15">
      <w:pPr>
        <w:pStyle w:val="NoSpacing"/>
        <w:jc w:val="both"/>
        <w:rPr>
          <w:rFonts w:ascii="Arial" w:hAnsi="Arial" w:cs="Arial"/>
          <w:sz w:val="18"/>
          <w:szCs w:val="18"/>
        </w:rPr>
      </w:pPr>
      <w:r w:rsidRPr="00705E4F">
        <w:rPr>
          <w:rStyle w:val="EndnoteReference"/>
          <w:rFonts w:ascii="Calibri" w:hAnsi="Calibri" w:cs="Calibri"/>
          <w:sz w:val="20"/>
          <w:szCs w:val="20"/>
        </w:rPr>
        <w:endnoteRef/>
      </w:r>
      <w:r>
        <w:t xml:space="preserve"> </w:t>
      </w:r>
      <w:r w:rsidRPr="00CF7EF0">
        <w:rPr>
          <w:rFonts w:ascii="Arial" w:hAnsi="Arial" w:cs="Arial"/>
          <w:bCs/>
          <w:color w:val="000000"/>
          <w:sz w:val="18"/>
          <w:szCs w:val="18"/>
        </w:rPr>
        <w:t xml:space="preserve">UNSGAB (United Nations Secretary-General’s Advisory Board on Water and Sanitation) (2006) </w:t>
      </w:r>
      <w:r w:rsidRPr="00CF7EF0">
        <w:rPr>
          <w:rFonts w:ascii="Arial" w:hAnsi="Arial" w:cs="Arial"/>
          <w:sz w:val="18"/>
          <w:szCs w:val="18"/>
        </w:rPr>
        <w:t xml:space="preserve">Hashimoto Action Plan - Compendium of Actions, March 2006; </w:t>
      </w:r>
      <w:r w:rsidRPr="00BC3E1F">
        <w:rPr>
          <w:rFonts w:ascii="Arial" w:hAnsi="Arial" w:cs="Arial"/>
          <w:sz w:val="18"/>
          <w:szCs w:val="18"/>
        </w:rPr>
        <w:t>Tucker, J., Calow, R., Nickel, D., Thaler, T. (2010) A comparative evaluation of Public-Private and Public-Public Partnerships for urban water services in ACP countries. Study requested by the European Parliament's Committee on Development,</w:t>
      </w:r>
      <w:r>
        <w:rPr>
          <w:rFonts w:ascii="Arial" w:hAnsi="Arial" w:cs="Arial"/>
          <w:sz w:val="18"/>
          <w:szCs w:val="18"/>
        </w:rPr>
        <w:t xml:space="preserve"> </w:t>
      </w:r>
      <w:r w:rsidRPr="00E16991">
        <w:rPr>
          <w:rFonts w:ascii="Arial" w:hAnsi="Arial" w:cs="Arial"/>
          <w:bCs/>
          <w:color w:val="333333"/>
          <w:sz w:val="18"/>
          <w:szCs w:val="18"/>
        </w:rPr>
        <w:t>EXPO/B/DEVE/FWC/2009-01/Lot5/01,</w:t>
      </w:r>
      <w:r w:rsidRPr="00BC3E1F">
        <w:rPr>
          <w:rFonts w:ascii="Arial" w:hAnsi="Arial" w:cs="Arial"/>
          <w:sz w:val="18"/>
          <w:szCs w:val="18"/>
        </w:rPr>
        <w:t xml:space="preserve"> May 2010. </w:t>
      </w:r>
      <w:smartTag w:uri="urn:schemas-microsoft-com:office:smarttags" w:element="City">
        <w:r w:rsidRPr="00BC3E1F">
          <w:rPr>
            <w:rFonts w:ascii="Arial" w:hAnsi="Arial" w:cs="Arial"/>
            <w:sz w:val="18"/>
            <w:szCs w:val="18"/>
          </w:rPr>
          <w:t>Brussels</w:t>
        </w:r>
      </w:smartTag>
      <w:r w:rsidRPr="00BC3E1F">
        <w:rPr>
          <w:rFonts w:ascii="Arial" w:hAnsi="Arial" w:cs="Arial"/>
          <w:sz w:val="18"/>
          <w:szCs w:val="18"/>
        </w:rPr>
        <w:t xml:space="preserve">: Directorate-General for External Policies of the </w:t>
      </w:r>
      <w:smartTag w:uri="urn:schemas-microsoft-com:office:smarttags" w:element="place">
        <w:r w:rsidRPr="00BC3E1F">
          <w:rPr>
            <w:rFonts w:ascii="Arial" w:hAnsi="Arial" w:cs="Arial"/>
            <w:sz w:val="18"/>
            <w:szCs w:val="18"/>
          </w:rPr>
          <w:t>Union</w:t>
        </w:r>
      </w:smartTag>
      <w:r w:rsidRPr="00BC3E1F">
        <w:rPr>
          <w:rFonts w:ascii="Arial" w:hAnsi="Arial" w:cs="Arial"/>
          <w:sz w:val="18"/>
          <w:szCs w:val="18"/>
        </w:rPr>
        <w:t>, Policy Department</w:t>
      </w:r>
      <w:r>
        <w:rPr>
          <w:rFonts w:ascii="Arial" w:hAnsi="Arial" w:cs="Arial"/>
          <w:sz w:val="18"/>
          <w:szCs w:val="18"/>
        </w:rPr>
        <w:t xml:space="preserve">; </w:t>
      </w:r>
      <w:r w:rsidRPr="00CF7EF0">
        <w:rPr>
          <w:rFonts w:ascii="Arial" w:hAnsi="Arial" w:cs="Arial"/>
          <w:sz w:val="18"/>
          <w:szCs w:val="18"/>
        </w:rPr>
        <w:t xml:space="preserve">Hall, D., Lobina, E., Corral, V., </w:t>
      </w:r>
      <w:r w:rsidRPr="00CF7EF0">
        <w:rPr>
          <w:rFonts w:ascii="Arial" w:hAnsi="Arial" w:cs="Arial"/>
          <w:sz w:val="18"/>
          <w:szCs w:val="18"/>
          <w:lang w:val="en-US"/>
        </w:rPr>
        <w:t xml:space="preserve">Hoedeman, O., </w:t>
      </w:r>
      <w:r w:rsidRPr="00CF7EF0">
        <w:rPr>
          <w:rFonts w:ascii="Arial" w:hAnsi="Arial" w:cs="Arial"/>
          <w:sz w:val="18"/>
          <w:szCs w:val="18"/>
        </w:rPr>
        <w:t>Terhorst, P., Pigeon, M</w:t>
      </w:r>
      <w:r w:rsidRPr="004E1534">
        <w:rPr>
          <w:rFonts w:ascii="Arial" w:hAnsi="Arial" w:cs="Arial"/>
          <w:sz w:val="18"/>
          <w:szCs w:val="18"/>
        </w:rPr>
        <w:t xml:space="preserve">., Kishimoto, S. (2009) Public-public partnerships (PUPs) in water. Report commissioned by the </w:t>
      </w:r>
      <w:r>
        <w:rPr>
          <w:rFonts w:ascii="Arial" w:hAnsi="Arial" w:cs="Arial"/>
          <w:sz w:val="18"/>
          <w:szCs w:val="18"/>
        </w:rPr>
        <w:t xml:space="preserve">Transnational Institute and PSI; </w:t>
      </w:r>
      <w:hyperlink r:id="rId3" w:history="1">
        <w:r w:rsidRPr="00CF7EF0">
          <w:rPr>
            <w:rStyle w:val="title0"/>
            <w:rFonts w:ascii="Arial" w:hAnsi="Arial" w:cs="Arial"/>
            <w:sz w:val="18"/>
            <w:szCs w:val="18"/>
          </w:rPr>
          <w:t>Lobina, E., Hall, D. (2006) Public-Public Partnerships as a catalyst for capacity building and institutional development: Lessons from Stockholm Vatten’s experience in the Baltic region</w:t>
        </w:r>
      </w:hyperlink>
      <w:r w:rsidRPr="00CF7EF0">
        <w:rPr>
          <w:rFonts w:ascii="Arial" w:hAnsi="Arial" w:cs="Arial"/>
          <w:sz w:val="18"/>
          <w:szCs w:val="18"/>
        </w:rPr>
        <w:t xml:space="preserve">, </w:t>
      </w:r>
      <w:r w:rsidRPr="00CF7EF0">
        <w:rPr>
          <w:rFonts w:ascii="Arial" w:hAnsi="Arial" w:cs="Arial"/>
          <w:i/>
          <w:sz w:val="18"/>
          <w:szCs w:val="18"/>
        </w:rPr>
        <w:t>PSIRU Reports</w:t>
      </w:r>
      <w:r w:rsidRPr="00CF7EF0">
        <w:rPr>
          <w:rFonts w:ascii="Arial" w:hAnsi="Arial" w:cs="Arial"/>
          <w:sz w:val="18"/>
          <w:szCs w:val="18"/>
        </w:rPr>
        <w:t>, 15 August 2006.</w:t>
      </w:r>
    </w:p>
  </w:endnote>
  <w:endnote w:id="11">
    <w:p w:rsidR="003D7611" w:rsidRPr="00975B1D" w:rsidRDefault="003D7611" w:rsidP="003D778A">
      <w:pPr>
        <w:pStyle w:val="NoSpacing"/>
        <w:jc w:val="both"/>
        <w:rPr>
          <w:rFonts w:ascii="Arial" w:hAnsi="Arial" w:cs="Arial"/>
          <w:sz w:val="18"/>
          <w:szCs w:val="18"/>
        </w:rPr>
      </w:pPr>
      <w:r w:rsidRPr="00740C3A">
        <w:rPr>
          <w:rStyle w:val="EndnoteReference"/>
          <w:rFonts w:ascii="Calibri" w:hAnsi="Calibri" w:cs="Calibri"/>
          <w:sz w:val="20"/>
          <w:szCs w:val="20"/>
        </w:rPr>
        <w:endnoteRef/>
      </w:r>
      <w:r>
        <w:t xml:space="preserve"> </w:t>
      </w:r>
      <w:r w:rsidRPr="0045338D">
        <w:rPr>
          <w:rFonts w:ascii="Arial" w:hAnsi="Arial" w:cs="Arial"/>
          <w:sz w:val="18"/>
          <w:szCs w:val="18"/>
        </w:rPr>
        <w:t xml:space="preserve">African Water </w:t>
      </w:r>
      <w:r>
        <w:rPr>
          <w:rFonts w:ascii="Arial" w:hAnsi="Arial" w:cs="Arial"/>
          <w:sz w:val="18"/>
          <w:szCs w:val="18"/>
        </w:rPr>
        <w:t xml:space="preserve">Facility (2009) </w:t>
      </w:r>
      <w:r w:rsidRPr="0045338D">
        <w:rPr>
          <w:rFonts w:ascii="Arial" w:hAnsi="Arial" w:cs="Arial"/>
          <w:sz w:val="18"/>
          <w:szCs w:val="18"/>
        </w:rPr>
        <w:t>African Water Association (AfWA)</w:t>
      </w:r>
      <w:r>
        <w:rPr>
          <w:rFonts w:ascii="Arial" w:hAnsi="Arial" w:cs="Arial"/>
          <w:sz w:val="18"/>
          <w:szCs w:val="18"/>
        </w:rPr>
        <w:t xml:space="preserve">: </w:t>
      </w:r>
      <w:r w:rsidRPr="0045338D">
        <w:rPr>
          <w:rFonts w:ascii="Arial" w:hAnsi="Arial" w:cs="Arial"/>
          <w:sz w:val="18"/>
          <w:szCs w:val="18"/>
        </w:rPr>
        <w:t>Water Ope</w:t>
      </w:r>
      <w:r>
        <w:rPr>
          <w:rFonts w:ascii="Arial" w:hAnsi="Arial" w:cs="Arial"/>
          <w:sz w:val="18"/>
          <w:szCs w:val="18"/>
        </w:rPr>
        <w:t xml:space="preserve">rators Partnership (WOP) </w:t>
      </w:r>
      <w:smartTag w:uri="urn:schemas-microsoft-com:office:smarttags" w:element="place">
        <w:r>
          <w:rPr>
            <w:rFonts w:ascii="Arial" w:hAnsi="Arial" w:cs="Arial"/>
            <w:sz w:val="18"/>
            <w:szCs w:val="18"/>
          </w:rPr>
          <w:t>Africa</w:t>
        </w:r>
      </w:smartTag>
      <w:r>
        <w:rPr>
          <w:rFonts w:ascii="Arial" w:hAnsi="Arial" w:cs="Arial"/>
          <w:sz w:val="18"/>
          <w:szCs w:val="18"/>
        </w:rPr>
        <w:t xml:space="preserve"> Peer-to-peer Learning and </w:t>
      </w:r>
      <w:r w:rsidRPr="0045338D">
        <w:rPr>
          <w:rFonts w:ascii="Arial" w:hAnsi="Arial" w:cs="Arial"/>
          <w:sz w:val="18"/>
          <w:szCs w:val="18"/>
        </w:rPr>
        <w:t>Benchmarking</w:t>
      </w:r>
      <w:r>
        <w:rPr>
          <w:rFonts w:ascii="Arial" w:hAnsi="Arial" w:cs="Arial"/>
          <w:sz w:val="18"/>
          <w:szCs w:val="18"/>
        </w:rPr>
        <w:t>. Appraisal Report, October 2009.</w:t>
      </w:r>
    </w:p>
  </w:endnote>
  <w:endnote w:id="12">
    <w:p w:rsidR="003D7611" w:rsidRPr="005605DA" w:rsidRDefault="003D7611" w:rsidP="00B00C4F">
      <w:pPr>
        <w:autoSpaceDE w:val="0"/>
        <w:autoSpaceDN w:val="0"/>
        <w:adjustRightInd w:val="0"/>
        <w:rPr>
          <w:rStyle w:val="EndnoteReference"/>
          <w:rFonts w:ascii="HelveticaNeue-Light" w:eastAsia="Times New Roman" w:hAnsi="HelveticaNeue-Light" w:cs="HelveticaNeue-Light"/>
          <w:sz w:val="20"/>
          <w:szCs w:val="20"/>
          <w:vertAlign w:val="baseline"/>
          <w:lang w:eastAsia="en-GB"/>
        </w:rPr>
      </w:pPr>
      <w:r w:rsidRPr="00CF7EF0">
        <w:rPr>
          <w:rStyle w:val="EndnoteReference"/>
          <w:sz w:val="20"/>
          <w:szCs w:val="20"/>
        </w:rPr>
        <w:endnoteRef/>
      </w:r>
      <w:r>
        <w:t xml:space="preserve"> </w:t>
      </w:r>
      <w:r>
        <w:rPr>
          <w:rFonts w:ascii="Arial" w:hAnsi="Arial" w:cs="Arial"/>
          <w:sz w:val="18"/>
          <w:szCs w:val="18"/>
        </w:rPr>
        <w:t>World Health Organization (2010</w:t>
      </w:r>
      <w:r w:rsidRPr="005605DA">
        <w:rPr>
          <w:rFonts w:ascii="Arial" w:hAnsi="Arial" w:cs="Arial"/>
          <w:sz w:val="18"/>
          <w:szCs w:val="18"/>
        </w:rPr>
        <w:t xml:space="preserve">) </w:t>
      </w:r>
      <w:r w:rsidRPr="005605DA">
        <w:rPr>
          <w:rFonts w:ascii="Arial" w:eastAsia="Times New Roman" w:hAnsi="Arial" w:cs="Arial"/>
          <w:sz w:val="18"/>
          <w:szCs w:val="18"/>
          <w:lang w:eastAsia="en-GB"/>
        </w:rPr>
        <w:t>UN-water global annual assessment of sanitation and drinking-water (GLAAS) 2010: targeting resources for better results.</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Geneva</w:t>
          </w:r>
        </w:smartTag>
      </w:smartTag>
      <w:r>
        <w:rPr>
          <w:rFonts w:ascii="Arial" w:hAnsi="Arial" w:cs="Arial"/>
          <w:sz w:val="18"/>
          <w:szCs w:val="18"/>
        </w:rPr>
        <w:t>:</w:t>
      </w:r>
      <w:r w:rsidRPr="005605DA">
        <w:rPr>
          <w:rFonts w:ascii="Arial" w:hAnsi="Arial" w:cs="Arial"/>
          <w:sz w:val="18"/>
          <w:szCs w:val="18"/>
        </w:rPr>
        <w:t xml:space="preserve"> </w:t>
      </w:r>
      <w:r>
        <w:rPr>
          <w:rFonts w:ascii="Arial" w:hAnsi="Arial" w:cs="Arial"/>
          <w:sz w:val="18"/>
          <w:szCs w:val="18"/>
        </w:rPr>
        <w:t xml:space="preserve">World Health Organization, pp. 37-51. </w:t>
      </w:r>
      <w:r w:rsidRPr="009400A5">
        <w:rPr>
          <w:rStyle w:val="EndnoteReference"/>
        </w:rPr>
        <w:t xml:space="preserve"> </w:t>
      </w:r>
    </w:p>
  </w:endnote>
  <w:endnote w:id="13">
    <w:p w:rsidR="003D7611" w:rsidRPr="00625ED5" w:rsidRDefault="003D7611" w:rsidP="00A23F45">
      <w:pPr>
        <w:pStyle w:val="EndnoteText"/>
        <w:jc w:val="both"/>
        <w:rPr>
          <w:rStyle w:val="EndnoteReference"/>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1, 5, 9-10</w:t>
      </w:r>
      <w:r w:rsidRPr="00CE68A1">
        <w:rPr>
          <w:rFonts w:ascii="Arial" w:hAnsi="Arial" w:cs="Arial"/>
          <w:sz w:val="18"/>
          <w:szCs w:val="18"/>
        </w:rPr>
        <w:t>.</w:t>
      </w:r>
      <w:r>
        <w:rPr>
          <w:rFonts w:ascii="Arial" w:hAnsi="Arial" w:cs="Arial"/>
          <w:sz w:val="18"/>
          <w:szCs w:val="18"/>
        </w:rPr>
        <w:t xml:space="preserve"> </w:t>
      </w:r>
    </w:p>
  </w:endnote>
  <w:endnote w:id="14">
    <w:p w:rsidR="003D7611" w:rsidRPr="00625ED5" w:rsidRDefault="003D7611" w:rsidP="006D0369">
      <w:pPr>
        <w:pStyle w:val="EndnoteText"/>
        <w:jc w:val="both"/>
        <w:rPr>
          <w:rStyle w:val="EndnoteReference"/>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4-5, 9</w:t>
      </w:r>
      <w:r w:rsidRPr="00CE68A1">
        <w:rPr>
          <w:rFonts w:ascii="Arial" w:hAnsi="Arial" w:cs="Arial"/>
          <w:sz w:val="18"/>
          <w:szCs w:val="18"/>
        </w:rPr>
        <w:t>.</w:t>
      </w:r>
      <w:r>
        <w:rPr>
          <w:rFonts w:ascii="Arial" w:hAnsi="Arial" w:cs="Arial"/>
          <w:sz w:val="18"/>
          <w:szCs w:val="18"/>
        </w:rPr>
        <w:t xml:space="preserve"> </w:t>
      </w:r>
    </w:p>
  </w:endnote>
  <w:endnote w:id="15">
    <w:p w:rsidR="003D7611" w:rsidRPr="00E35246" w:rsidRDefault="003D7611" w:rsidP="007371EE">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xml:space="preserve">), pp. 12-26;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Annex A – Grant Application Form (Parts A and B), p. 6</w:t>
      </w:r>
      <w:r w:rsidRPr="00CE68A1">
        <w:rPr>
          <w:rFonts w:ascii="Arial" w:hAnsi="Arial" w:cs="Arial"/>
          <w:sz w:val="18"/>
          <w:szCs w:val="18"/>
        </w:rPr>
        <w:t>.</w:t>
      </w:r>
    </w:p>
  </w:endnote>
  <w:endnote w:id="16">
    <w:p w:rsidR="003D7611" w:rsidRDefault="003D7611" w:rsidP="00420DA1">
      <w:pPr>
        <w:pStyle w:val="EndnoteText"/>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 6</w:t>
      </w:r>
      <w:r w:rsidRPr="00CE68A1">
        <w:rPr>
          <w:rFonts w:ascii="Arial" w:hAnsi="Arial" w:cs="Arial"/>
          <w:sz w:val="18"/>
          <w:szCs w:val="18"/>
        </w:rPr>
        <w:t>.</w:t>
      </w:r>
    </w:p>
  </w:endnote>
  <w:endnote w:id="17">
    <w:p w:rsidR="003D7611" w:rsidRPr="00625ED5" w:rsidRDefault="003D7611" w:rsidP="006A47E3">
      <w:pPr>
        <w:pStyle w:val="EndnoteText"/>
        <w:jc w:val="both"/>
        <w:rPr>
          <w:rStyle w:val="EndnoteReference"/>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6-9</w:t>
      </w:r>
      <w:r w:rsidRPr="00CE68A1">
        <w:rPr>
          <w:rFonts w:ascii="Arial" w:hAnsi="Arial" w:cs="Arial"/>
          <w:sz w:val="18"/>
          <w:szCs w:val="18"/>
        </w:rPr>
        <w:t>.</w:t>
      </w:r>
      <w:r>
        <w:rPr>
          <w:rFonts w:ascii="Arial" w:hAnsi="Arial" w:cs="Arial"/>
          <w:sz w:val="18"/>
          <w:szCs w:val="18"/>
        </w:rPr>
        <w:t xml:space="preserve"> For the list of ACP </w:t>
      </w:r>
      <w:r w:rsidRPr="00625ED5">
        <w:rPr>
          <w:rFonts w:ascii="Arial" w:hAnsi="Arial" w:cs="Arial"/>
          <w:sz w:val="18"/>
          <w:szCs w:val="18"/>
        </w:rPr>
        <w:t>countries where no eligibility restrictions apply concerning applicants, partners or locations</w:t>
      </w:r>
      <w:r>
        <w:rPr>
          <w:rFonts w:ascii="Arial" w:hAnsi="Arial" w:cs="Arial"/>
          <w:sz w:val="18"/>
          <w:szCs w:val="18"/>
        </w:rPr>
        <w:t xml:space="preserve">, see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xml:space="preserve">), Annex J. </w:t>
      </w:r>
      <w:r w:rsidRPr="00625ED5">
        <w:rPr>
          <w:rStyle w:val="EndnoteReference"/>
        </w:rPr>
        <w:t xml:space="preserve"> </w:t>
      </w:r>
    </w:p>
  </w:endnote>
  <w:endnote w:id="18">
    <w:p w:rsidR="003D7611" w:rsidRPr="006A47E3" w:rsidRDefault="003D7611" w:rsidP="006A47E3">
      <w:pPr>
        <w:pStyle w:val="Default"/>
        <w:jc w:val="both"/>
        <w:rPr>
          <w:rStyle w:val="EndnoteReference"/>
          <w:vertAlign w:val="baseline"/>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6-9</w:t>
      </w:r>
      <w:r w:rsidRPr="00CE68A1">
        <w:rPr>
          <w:rFonts w:ascii="Arial" w:hAnsi="Arial" w:cs="Arial"/>
          <w:sz w:val="18"/>
          <w:szCs w:val="18"/>
        </w:rPr>
        <w:t>.</w:t>
      </w:r>
      <w:r>
        <w:rPr>
          <w:rFonts w:ascii="Arial" w:hAnsi="Arial" w:cs="Arial"/>
          <w:sz w:val="18"/>
          <w:szCs w:val="18"/>
        </w:rPr>
        <w:t xml:space="preserve"> PSIRU (Public Services International Research Unit) (2010) </w:t>
      </w:r>
      <w:r w:rsidRPr="006A47E3">
        <w:rPr>
          <w:rFonts w:ascii="Arial" w:hAnsi="Arial" w:cs="Arial"/>
          <w:sz w:val="18"/>
          <w:szCs w:val="18"/>
        </w:rPr>
        <w:t>ACP-EU Water Partnerships - Briefing note</w:t>
      </w:r>
      <w:r>
        <w:rPr>
          <w:rFonts w:ascii="Arial" w:hAnsi="Arial" w:cs="Arial"/>
          <w:sz w:val="18"/>
          <w:szCs w:val="18"/>
        </w:rPr>
        <w:t>,</w:t>
      </w:r>
      <w:r w:rsidRPr="006A47E3">
        <w:rPr>
          <w:rFonts w:ascii="Arial" w:hAnsi="Arial" w:cs="Arial"/>
          <w:sz w:val="18"/>
          <w:szCs w:val="18"/>
        </w:rPr>
        <w:t xml:space="preserve"> </w:t>
      </w:r>
      <w:r w:rsidRPr="006A47E3">
        <w:rPr>
          <w:rFonts w:ascii="Arial" w:hAnsi="Arial" w:cs="Arial"/>
          <w:bCs/>
          <w:sz w:val="18"/>
          <w:szCs w:val="18"/>
        </w:rPr>
        <w:t>August 2010 (Revised 1st September 2010) (</w:t>
      </w:r>
      <w:hyperlink r:id="rId4" w:history="1">
        <w:r w:rsidRPr="006A47E3">
          <w:rPr>
            <w:rStyle w:val="Hyperlink"/>
            <w:rFonts w:ascii="Arial" w:hAnsi="Arial" w:cs="Arial"/>
            <w:sz w:val="18"/>
            <w:szCs w:val="18"/>
          </w:rPr>
          <w:t>www.acp-eu-waterpartnerships.org</w:t>
        </w:r>
      </w:hyperlink>
      <w:r w:rsidRPr="006A47E3">
        <w:rPr>
          <w:rFonts w:ascii="Arial" w:hAnsi="Arial" w:cs="Arial"/>
          <w:bCs/>
          <w:sz w:val="18"/>
          <w:szCs w:val="18"/>
        </w:rPr>
        <w:t xml:space="preserve">), p. 10. </w:t>
      </w:r>
      <w:r w:rsidRPr="006A47E3">
        <w:rPr>
          <w:rFonts w:ascii="Arial" w:hAnsi="Arial" w:cs="Arial"/>
          <w:sz w:val="18"/>
          <w:szCs w:val="18"/>
        </w:rPr>
        <w:t xml:space="preserve">  </w:t>
      </w:r>
      <w:r w:rsidRPr="006A47E3">
        <w:rPr>
          <w:rStyle w:val="EndnoteReference"/>
          <w:rFonts w:ascii="Arial" w:hAnsi="Arial" w:cs="Arial"/>
          <w:sz w:val="18"/>
          <w:szCs w:val="18"/>
        </w:rPr>
        <w:t xml:space="preserve"> </w:t>
      </w:r>
    </w:p>
  </w:endnote>
  <w:endnote w:id="19">
    <w:p w:rsidR="003D7611" w:rsidRPr="00E35246" w:rsidRDefault="003D7611" w:rsidP="000753D5">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7, 9-10</w:t>
      </w:r>
      <w:r w:rsidRPr="00CE68A1">
        <w:rPr>
          <w:rFonts w:ascii="Arial" w:hAnsi="Arial" w:cs="Arial"/>
          <w:sz w:val="18"/>
          <w:szCs w:val="18"/>
        </w:rPr>
        <w:t>.</w:t>
      </w:r>
    </w:p>
  </w:endnote>
  <w:endnote w:id="20">
    <w:p w:rsidR="003D7611" w:rsidRPr="00E35246" w:rsidRDefault="003D7611" w:rsidP="007371EE">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 9</w:t>
      </w:r>
      <w:r w:rsidRPr="00CE68A1">
        <w:rPr>
          <w:rFonts w:ascii="Arial" w:hAnsi="Arial" w:cs="Arial"/>
          <w:sz w:val="18"/>
          <w:szCs w:val="18"/>
        </w:rPr>
        <w:t>.</w:t>
      </w:r>
    </w:p>
  </w:endnote>
  <w:endnote w:id="21">
    <w:p w:rsidR="003D7611" w:rsidRPr="00E35246" w:rsidRDefault="003D7611" w:rsidP="00B94D15">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18-22</w:t>
      </w:r>
      <w:r w:rsidRPr="00CE68A1">
        <w:rPr>
          <w:rFonts w:ascii="Arial" w:hAnsi="Arial" w:cs="Arial"/>
          <w:sz w:val="18"/>
          <w:szCs w:val="18"/>
        </w:rPr>
        <w:t>.</w:t>
      </w:r>
    </w:p>
  </w:endnote>
  <w:endnote w:id="22">
    <w:p w:rsidR="003D7611" w:rsidRPr="00E35246" w:rsidRDefault="003D7611" w:rsidP="00B94D15">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7, 18-22</w:t>
      </w:r>
      <w:r w:rsidRPr="00CE68A1">
        <w:rPr>
          <w:rFonts w:ascii="Arial" w:hAnsi="Arial" w:cs="Arial"/>
          <w:sz w:val="18"/>
          <w:szCs w:val="18"/>
        </w:rPr>
        <w:t>.</w:t>
      </w:r>
    </w:p>
  </w:endnote>
  <w:endnote w:id="23">
    <w:p w:rsidR="003D7611" w:rsidRPr="00E35246" w:rsidRDefault="003D7611" w:rsidP="00B94D15">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18-22</w:t>
      </w:r>
      <w:r w:rsidRPr="00CE68A1">
        <w:rPr>
          <w:rFonts w:ascii="Arial" w:hAnsi="Arial" w:cs="Arial"/>
          <w:sz w:val="18"/>
          <w:szCs w:val="18"/>
        </w:rPr>
        <w:t>.</w:t>
      </w:r>
    </w:p>
  </w:endnote>
  <w:endnote w:id="24">
    <w:p w:rsidR="003D7611" w:rsidRPr="00E35246" w:rsidRDefault="003D7611" w:rsidP="00FE041F">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pp. 18-22</w:t>
      </w:r>
      <w:r w:rsidRPr="00CE68A1">
        <w:rPr>
          <w:rFonts w:ascii="Arial" w:hAnsi="Arial" w:cs="Arial"/>
          <w:sz w:val="18"/>
          <w:szCs w:val="18"/>
        </w:rPr>
        <w:t>.</w:t>
      </w:r>
    </w:p>
  </w:endnote>
  <w:endnote w:id="25">
    <w:p w:rsidR="003D7611" w:rsidRDefault="003D7611">
      <w:pPr>
        <w:pStyle w:val="EndnoteText"/>
      </w:pPr>
      <w:r>
        <w:rPr>
          <w:rStyle w:val="EndnoteReference"/>
        </w:rPr>
        <w:endnoteRef/>
      </w:r>
      <w:r>
        <w:t xml:space="preserve"> </w:t>
      </w:r>
      <w:r w:rsidRPr="00CF7EF0">
        <w:rPr>
          <w:rFonts w:ascii="Arial" w:hAnsi="Arial" w:cs="Arial"/>
          <w:sz w:val="18"/>
          <w:szCs w:val="18"/>
        </w:rPr>
        <w:t xml:space="preserve">Hall, D., Lobina, E., Corral, V., </w:t>
      </w:r>
      <w:r w:rsidRPr="00CF7EF0">
        <w:rPr>
          <w:rFonts w:ascii="Arial" w:hAnsi="Arial" w:cs="Arial"/>
          <w:sz w:val="18"/>
          <w:szCs w:val="18"/>
          <w:lang w:val="en-US"/>
        </w:rPr>
        <w:t xml:space="preserve">Hoedeman, O., </w:t>
      </w:r>
      <w:r w:rsidRPr="00CF7EF0">
        <w:rPr>
          <w:rFonts w:ascii="Arial" w:hAnsi="Arial" w:cs="Arial"/>
          <w:sz w:val="18"/>
          <w:szCs w:val="18"/>
        </w:rPr>
        <w:t>Terhorst, P., Pigeon, M</w:t>
      </w:r>
      <w:r w:rsidRPr="004E1534">
        <w:rPr>
          <w:rFonts w:ascii="Arial" w:hAnsi="Arial" w:cs="Arial"/>
          <w:sz w:val="18"/>
          <w:szCs w:val="18"/>
        </w:rPr>
        <w:t xml:space="preserve">., Kishimoto, S. (2009) Public-public partnerships (PUPs) in water. Report commissioned by the </w:t>
      </w:r>
      <w:r>
        <w:rPr>
          <w:rFonts w:ascii="Arial" w:hAnsi="Arial" w:cs="Arial"/>
          <w:sz w:val="18"/>
          <w:szCs w:val="18"/>
        </w:rPr>
        <w:t>Transnational Institute and PSI, pp. 4.</w:t>
      </w:r>
    </w:p>
  </w:endnote>
  <w:endnote w:id="26">
    <w:p w:rsidR="003D7611" w:rsidRPr="00E35246" w:rsidRDefault="003D7611" w:rsidP="00C7563F">
      <w:pPr>
        <w:pStyle w:val="EndnoteText"/>
        <w:jc w:val="both"/>
        <w:rPr>
          <w:lang w:val="en-ZA"/>
        </w:rPr>
      </w:pPr>
      <w:r>
        <w:rPr>
          <w:rStyle w:val="EndnoteReference"/>
        </w:rPr>
        <w:endnoteRef/>
      </w:r>
      <w:r>
        <w:t xml:space="preserve"> </w:t>
      </w:r>
      <w:r w:rsidRPr="00CE68A1">
        <w:rPr>
          <w:rFonts w:ascii="Arial" w:hAnsi="Arial" w:cs="Arial"/>
          <w:sz w:val="18"/>
          <w:szCs w:val="18"/>
        </w:rPr>
        <w:t>European Commission (2010) Partnerships</w:t>
      </w:r>
      <w:r w:rsidRPr="00CE68A1">
        <w:rPr>
          <w:rFonts w:ascii="Arial" w:hAnsi="Arial" w:cs="Arial"/>
          <w:i/>
          <w:sz w:val="18"/>
          <w:szCs w:val="18"/>
        </w:rPr>
        <w:t xml:space="preserve"> </w:t>
      </w:r>
      <w:r w:rsidRPr="00CE68A1">
        <w:rPr>
          <w:rFonts w:ascii="Arial" w:hAnsi="Arial" w:cs="Arial"/>
          <w:sz w:val="18"/>
          <w:szCs w:val="18"/>
        </w:rPr>
        <w:t>for Capacity Development in the ACP Water &amp; Sanitation Sector - Restricted Call for Proposals - Guidelines for grant applicants. 10</w:t>
      </w:r>
      <w:r w:rsidRPr="00CE68A1">
        <w:rPr>
          <w:rFonts w:ascii="Arial" w:hAnsi="Arial" w:cs="Arial"/>
          <w:sz w:val="18"/>
          <w:szCs w:val="18"/>
          <w:vertAlign w:val="superscript"/>
        </w:rPr>
        <w:t>th</w:t>
      </w:r>
      <w:r w:rsidRPr="00CE68A1">
        <w:rPr>
          <w:rFonts w:ascii="Arial" w:hAnsi="Arial" w:cs="Arial"/>
          <w:sz w:val="18"/>
          <w:szCs w:val="18"/>
        </w:rPr>
        <w:t xml:space="preserve"> European Development Fund, ACP-EU Water Facility </w:t>
      </w:r>
      <w:r>
        <w:rPr>
          <w:rFonts w:ascii="Arial" w:hAnsi="Arial" w:cs="Arial"/>
          <w:sz w:val="18"/>
          <w:szCs w:val="18"/>
        </w:rPr>
        <w:t>(</w:t>
      </w:r>
      <w:r w:rsidRPr="00CE68A1">
        <w:rPr>
          <w:rFonts w:ascii="Arial" w:hAnsi="Arial" w:cs="Arial"/>
          <w:sz w:val="18"/>
          <w:szCs w:val="18"/>
        </w:rPr>
        <w:t>Reference: EuropeAid/129510/C/ACT/Multi</w:t>
      </w:r>
      <w:r>
        <w:rPr>
          <w:rFonts w:ascii="Arial" w:hAnsi="Arial" w:cs="Arial"/>
          <w:sz w:val="18"/>
          <w:szCs w:val="18"/>
        </w:rPr>
        <w:t>), p. 9</w:t>
      </w:r>
      <w:r w:rsidRPr="00CE68A1">
        <w:rPr>
          <w:rFonts w:ascii="Arial" w:hAnsi="Arial" w:cs="Arial"/>
          <w:sz w:val="18"/>
          <w:szCs w:val="18"/>
        </w:rPr>
        <w:t>.</w:t>
      </w:r>
    </w:p>
  </w:endnote>
  <w:endnote w:id="27">
    <w:p w:rsidR="003D7611" w:rsidRDefault="003D7611" w:rsidP="005C7CD0">
      <w:pPr>
        <w:pStyle w:val="EndnoteText"/>
        <w:jc w:val="both"/>
      </w:pPr>
      <w:r>
        <w:rPr>
          <w:rStyle w:val="EndnoteReference"/>
        </w:rPr>
        <w:endnoteRef/>
      </w:r>
      <w:r>
        <w:t xml:space="preserve"> </w:t>
      </w:r>
      <w:r w:rsidRPr="005C7CD0">
        <w:rPr>
          <w:rFonts w:ascii="Arial" w:hAnsi="Arial" w:cs="Arial"/>
          <w:sz w:val="18"/>
          <w:szCs w:val="18"/>
        </w:rPr>
        <w:t>UN-HABITAT</w:t>
      </w:r>
      <w:r>
        <w:rPr>
          <w:rFonts w:ascii="Arial" w:hAnsi="Arial" w:cs="Arial"/>
          <w:sz w:val="18"/>
          <w:szCs w:val="18"/>
        </w:rPr>
        <w:t>,</w:t>
      </w:r>
      <w:r>
        <w:t xml:space="preserve"> “</w:t>
      </w:r>
      <w:r w:rsidRPr="005C7CD0">
        <w:rPr>
          <w:rFonts w:ascii="Arial" w:hAnsi="Arial" w:cs="Arial"/>
          <w:sz w:val="18"/>
          <w:szCs w:val="18"/>
        </w:rPr>
        <w:t xml:space="preserve">GWOPA </w:t>
      </w:r>
      <w:r>
        <w:rPr>
          <w:rFonts w:ascii="Arial" w:hAnsi="Arial" w:cs="Arial"/>
          <w:sz w:val="18"/>
          <w:szCs w:val="18"/>
        </w:rPr>
        <w:t xml:space="preserve">- </w:t>
      </w:r>
      <w:r w:rsidRPr="005C7CD0">
        <w:rPr>
          <w:rFonts w:ascii="Arial" w:hAnsi="Arial" w:cs="Arial"/>
          <w:sz w:val="18"/>
          <w:szCs w:val="18"/>
        </w:rPr>
        <w:t>Global Water Operators’ Partnerships Alliance</w:t>
      </w:r>
      <w:r>
        <w:rPr>
          <w:rFonts w:ascii="Arial" w:hAnsi="Arial" w:cs="Arial"/>
          <w:sz w:val="18"/>
          <w:szCs w:val="18"/>
        </w:rPr>
        <w:t xml:space="preserve">: Helping water operators help one another”, </w:t>
      </w:r>
      <w:hyperlink r:id="rId5" w:history="1">
        <w:r w:rsidRPr="00CA409F">
          <w:rPr>
            <w:rStyle w:val="Hyperlink"/>
            <w:rFonts w:ascii="Arial" w:hAnsi="Arial" w:cs="Arial"/>
            <w:sz w:val="18"/>
            <w:szCs w:val="18"/>
          </w:rPr>
          <w:t>www.gwopa.org</w:t>
        </w:r>
      </w:hyperlink>
      <w:r>
        <w:rPr>
          <w:rFonts w:ascii="Arial" w:hAnsi="Arial" w:cs="Arial"/>
          <w:sz w:val="18"/>
          <w:szCs w:val="18"/>
        </w:rPr>
        <w:t xml:space="preserve">.; </w:t>
      </w:r>
      <w:r w:rsidRPr="00CF7EF0">
        <w:rPr>
          <w:rFonts w:ascii="Arial" w:hAnsi="Arial" w:cs="Arial"/>
          <w:bCs/>
          <w:color w:val="000000"/>
          <w:sz w:val="18"/>
          <w:szCs w:val="18"/>
        </w:rPr>
        <w:t xml:space="preserve">UNSGAB (United Nations Secretary-General’s Advisory Board on Water and Sanitation) (2006) </w:t>
      </w:r>
      <w:r w:rsidRPr="00CF7EF0">
        <w:rPr>
          <w:rFonts w:ascii="Arial" w:hAnsi="Arial" w:cs="Arial"/>
          <w:sz w:val="18"/>
          <w:szCs w:val="18"/>
        </w:rPr>
        <w:t>Hashimoto Action Plan - Compendium of Actions, March 2006</w:t>
      </w:r>
      <w:r>
        <w:rPr>
          <w:rFonts w:ascii="Arial" w:hAnsi="Arial" w:cs="Arial"/>
          <w:sz w:val="18"/>
          <w:szCs w:val="18"/>
        </w:rPr>
        <w:t>.</w:t>
      </w:r>
    </w:p>
  </w:endnote>
  <w:endnote w:id="28">
    <w:p w:rsidR="003D7611" w:rsidRDefault="003D7611" w:rsidP="00C66CF1">
      <w:pPr>
        <w:pStyle w:val="EndnoteText"/>
        <w:jc w:val="both"/>
      </w:pPr>
      <w:r>
        <w:rPr>
          <w:rStyle w:val="EndnoteReference"/>
        </w:rPr>
        <w:endnoteRef/>
      </w:r>
      <w:r>
        <w:t xml:space="preserve"> </w:t>
      </w:r>
      <w:r w:rsidRPr="007E220B">
        <w:rPr>
          <w:rFonts w:ascii="Arial" w:hAnsi="Arial" w:cs="Arial"/>
          <w:sz w:val="18"/>
          <w:szCs w:val="18"/>
          <w:lang w:val="en-US"/>
        </w:rPr>
        <w:t xml:space="preserve">AfWA (African Water Association), </w:t>
      </w:r>
      <w:r w:rsidRPr="007E220B">
        <w:rPr>
          <w:rFonts w:ascii="Arial" w:eastAsia="Times New Roman" w:hAnsi="Arial" w:cs="Arial"/>
          <w:sz w:val="18"/>
          <w:szCs w:val="18"/>
          <w:lang w:eastAsia="en-GB"/>
        </w:rPr>
        <w:t>ESAR-IWA (Eastern and Southern Africa Region of the International Water Association)</w:t>
      </w:r>
      <w:r>
        <w:rPr>
          <w:rFonts w:ascii="Arial" w:eastAsia="Times New Roman" w:hAnsi="Arial" w:cs="Arial"/>
          <w:sz w:val="18"/>
          <w:szCs w:val="18"/>
          <w:lang w:eastAsia="en-GB"/>
        </w:rPr>
        <w:t>, UN-HABITAT, WSP-Africa, “</w:t>
      </w:r>
      <w:r>
        <w:rPr>
          <w:rFonts w:ascii="Arial" w:eastAsia="Times New Roman" w:hAnsi="Arial" w:cs="Arial"/>
          <w:color w:val="000000"/>
          <w:sz w:val="18"/>
          <w:szCs w:val="18"/>
          <w:lang w:eastAsia="en-GB"/>
        </w:rPr>
        <w:t xml:space="preserve">The Water Operators’ Partnerships – </w:t>
      </w:r>
      <w:smartTag w:uri="urn:schemas-microsoft-com:office:smarttags" w:element="place">
        <w:r>
          <w:rPr>
            <w:rFonts w:ascii="Arial" w:eastAsia="Times New Roman" w:hAnsi="Arial" w:cs="Arial"/>
            <w:color w:val="000000"/>
            <w:sz w:val="18"/>
            <w:szCs w:val="18"/>
            <w:lang w:eastAsia="en-GB"/>
          </w:rPr>
          <w:t>Africa</w:t>
        </w:r>
      </w:smartTag>
      <w:r>
        <w:rPr>
          <w:rFonts w:ascii="Arial" w:eastAsia="Times New Roman" w:hAnsi="Arial" w:cs="Arial"/>
          <w:color w:val="000000"/>
          <w:sz w:val="18"/>
          <w:szCs w:val="18"/>
          <w:lang w:eastAsia="en-GB"/>
        </w:rPr>
        <w:t xml:space="preserve">: </w:t>
      </w:r>
      <w:r w:rsidRPr="00C66CF1">
        <w:rPr>
          <w:rFonts w:ascii="Arial" w:eastAsia="Times New Roman" w:hAnsi="Arial" w:cs="Arial"/>
          <w:color w:val="000000"/>
          <w:sz w:val="18"/>
          <w:szCs w:val="18"/>
          <w:lang w:eastAsia="en-GB"/>
        </w:rPr>
        <w:t>An Action Pro</w:t>
      </w:r>
      <w:r>
        <w:rPr>
          <w:rFonts w:ascii="Arial" w:eastAsia="Times New Roman" w:hAnsi="Arial" w:cs="Arial"/>
          <w:color w:val="000000"/>
          <w:sz w:val="18"/>
          <w:szCs w:val="18"/>
          <w:lang w:eastAsia="en-GB"/>
        </w:rPr>
        <w:t xml:space="preserve">gram to Enhance the Performance </w:t>
      </w:r>
      <w:r w:rsidRPr="00C66CF1">
        <w:rPr>
          <w:rFonts w:ascii="Arial" w:eastAsia="Times New Roman" w:hAnsi="Arial" w:cs="Arial"/>
          <w:color w:val="000000"/>
          <w:sz w:val="18"/>
          <w:szCs w:val="18"/>
          <w:lang w:eastAsia="en-GB"/>
        </w:rPr>
        <w:t>of African Water and Sanitation Utilities</w:t>
      </w:r>
      <w:r>
        <w:rPr>
          <w:rFonts w:ascii="Arial" w:eastAsia="Times New Roman" w:hAnsi="Arial" w:cs="Arial"/>
          <w:color w:val="000000"/>
          <w:sz w:val="18"/>
          <w:szCs w:val="18"/>
          <w:lang w:eastAsia="en-GB"/>
        </w:rPr>
        <w:t>”, WOP-Africa Brochure.</w:t>
      </w:r>
    </w:p>
  </w:endnote>
  <w:endnote w:id="29">
    <w:p w:rsidR="003D7611" w:rsidRDefault="003D7611" w:rsidP="005B355C">
      <w:pPr>
        <w:pStyle w:val="EndnoteText"/>
      </w:pPr>
      <w:r>
        <w:rPr>
          <w:rStyle w:val="EndnoteReference"/>
        </w:rPr>
        <w:endnoteRef/>
      </w:r>
      <w:r>
        <w:t xml:space="preserve"> </w:t>
      </w:r>
      <w:r w:rsidRPr="005B355C">
        <w:rPr>
          <w:rFonts w:ascii="Arial" w:hAnsi="Arial" w:cs="Arial"/>
          <w:sz w:val="18"/>
          <w:szCs w:val="18"/>
        </w:rPr>
        <w:t>Author’s estimate, based on the</w:t>
      </w:r>
      <w:r>
        <w:t xml:space="preserve"> </w:t>
      </w:r>
      <w:r>
        <w:rPr>
          <w:rFonts w:ascii="Arial" w:hAnsi="Arial" w:cs="Arial"/>
          <w:sz w:val="18"/>
          <w:szCs w:val="18"/>
        </w:rPr>
        <w:t xml:space="preserve">exchange rate US$ 1 = </w:t>
      </w:r>
      <w:r w:rsidRPr="005B355C">
        <w:rPr>
          <w:rFonts w:ascii="Arial" w:hAnsi="Arial" w:cs="Arial"/>
          <w:sz w:val="18"/>
          <w:szCs w:val="18"/>
        </w:rPr>
        <w:t>€ 0.760928</w:t>
      </w:r>
      <w:r>
        <w:rPr>
          <w:rFonts w:ascii="Arial" w:hAnsi="Arial" w:cs="Arial"/>
          <w:sz w:val="18"/>
          <w:szCs w:val="18"/>
        </w:rPr>
        <w:t>, 12 April 2012.</w:t>
      </w:r>
      <w:r>
        <w:t xml:space="preserve"> </w:t>
      </w:r>
    </w:p>
  </w:endnote>
  <w:endnote w:id="30">
    <w:p w:rsidR="003D7611" w:rsidRDefault="003D7611" w:rsidP="006A5114">
      <w:pPr>
        <w:pStyle w:val="EndnoteText"/>
        <w:jc w:val="both"/>
      </w:pPr>
      <w:r>
        <w:rPr>
          <w:rStyle w:val="EndnoteReference"/>
        </w:rPr>
        <w:endnoteRef/>
      </w:r>
      <w:r>
        <w:t xml:space="preserve"> </w:t>
      </w:r>
      <w:r w:rsidRPr="007E220B">
        <w:rPr>
          <w:rFonts w:ascii="Arial" w:hAnsi="Arial" w:cs="Arial"/>
          <w:sz w:val="18"/>
          <w:szCs w:val="18"/>
          <w:lang w:val="en-US"/>
        </w:rPr>
        <w:t xml:space="preserve">AfWA (African Water Association), </w:t>
      </w:r>
      <w:r w:rsidRPr="007E220B">
        <w:rPr>
          <w:rFonts w:ascii="Arial" w:eastAsia="Times New Roman" w:hAnsi="Arial" w:cs="Arial"/>
          <w:sz w:val="18"/>
          <w:szCs w:val="18"/>
          <w:lang w:eastAsia="en-GB"/>
        </w:rPr>
        <w:t xml:space="preserve">ESAR-IWA (Eastern and Southern Africa Region of the International Water Association) (2009) Running the WOP </w:t>
      </w:r>
      <w:smartTag w:uri="urn:schemas-microsoft-com:office:smarttags" w:element="place">
        <w:r w:rsidRPr="007E220B">
          <w:rPr>
            <w:rFonts w:ascii="Arial" w:eastAsia="Times New Roman" w:hAnsi="Arial" w:cs="Arial"/>
            <w:sz w:val="18"/>
            <w:szCs w:val="18"/>
            <w:lang w:eastAsia="en-GB"/>
          </w:rPr>
          <w:t>Africa</w:t>
        </w:r>
      </w:smartTag>
      <w:r w:rsidRPr="007E220B">
        <w:rPr>
          <w:rFonts w:ascii="Arial" w:eastAsia="Times New Roman" w:hAnsi="Arial" w:cs="Arial"/>
          <w:sz w:val="18"/>
          <w:szCs w:val="18"/>
          <w:lang w:eastAsia="en-GB"/>
        </w:rPr>
        <w:t xml:space="preserve"> Programme. Presentation at the</w:t>
      </w:r>
      <w:r>
        <w:rPr>
          <w:rFonts w:ascii="Arial" w:eastAsia="Times New Roman" w:hAnsi="Arial" w:cs="Arial"/>
          <w:sz w:val="18"/>
          <w:szCs w:val="18"/>
          <w:lang w:eastAsia="en-GB"/>
        </w:rPr>
        <w:t xml:space="preserve"> workshop on “Water Operators’ Partnerships: Success Stories and Up-Scaling”, 2009 Stockholm Water Week</w:t>
      </w:r>
      <w:r w:rsidRPr="007E220B">
        <w:rPr>
          <w:rFonts w:ascii="Arial" w:eastAsia="Times New Roman" w:hAnsi="Arial" w:cs="Arial"/>
          <w:sz w:val="18"/>
          <w:szCs w:val="18"/>
          <w:lang w:eastAsia="en-GB"/>
        </w:rPr>
        <w:t xml:space="preserve"> </w:t>
      </w:r>
      <w:r>
        <w:rPr>
          <w:rFonts w:ascii="Arial" w:eastAsia="Times New Roman" w:hAnsi="Arial" w:cs="Arial"/>
          <w:sz w:val="18"/>
          <w:szCs w:val="18"/>
          <w:lang w:eastAsia="en-GB"/>
        </w:rPr>
        <w:t>(</w:t>
      </w:r>
      <w:smartTag w:uri="urn:schemas-microsoft-com:office:smarttags" w:element="City">
        <w:r>
          <w:rPr>
            <w:rFonts w:ascii="Arial" w:eastAsia="Times New Roman" w:hAnsi="Arial" w:cs="Arial"/>
            <w:sz w:val="18"/>
            <w:szCs w:val="18"/>
            <w:lang w:eastAsia="en-GB"/>
          </w:rPr>
          <w:t>Stockholm</w:t>
        </w:r>
      </w:smartTag>
      <w:r>
        <w:rPr>
          <w:rFonts w:ascii="Arial" w:eastAsia="Times New Roman" w:hAnsi="Arial" w:cs="Arial"/>
          <w:sz w:val="18"/>
          <w:szCs w:val="18"/>
          <w:lang w:eastAsia="en-GB"/>
        </w:rPr>
        <w:t xml:space="preserve">, </w:t>
      </w:r>
      <w:r w:rsidRPr="007E220B">
        <w:rPr>
          <w:rFonts w:ascii="Arial" w:eastAsia="Times New Roman" w:hAnsi="Arial" w:cs="Arial"/>
          <w:sz w:val="18"/>
          <w:szCs w:val="18"/>
          <w:lang w:eastAsia="en-GB"/>
        </w:rPr>
        <w:t>17 August 2009</w:t>
      </w:r>
      <w:r>
        <w:rPr>
          <w:rFonts w:ascii="Arial" w:eastAsia="Times New Roman" w:hAnsi="Arial" w:cs="Arial"/>
          <w:sz w:val="18"/>
          <w:szCs w:val="18"/>
          <w:lang w:eastAsia="en-GB"/>
        </w:rPr>
        <w:t xml:space="preserve">; </w:t>
      </w:r>
      <w:r w:rsidRPr="007E220B">
        <w:rPr>
          <w:rFonts w:ascii="Arial" w:hAnsi="Arial" w:cs="Arial"/>
          <w:sz w:val="18"/>
          <w:szCs w:val="18"/>
          <w:lang w:val="en-US"/>
        </w:rPr>
        <w:t xml:space="preserve">AfWA (African Water Association), </w:t>
      </w:r>
      <w:r w:rsidRPr="007E220B">
        <w:rPr>
          <w:rFonts w:ascii="Arial" w:eastAsia="Times New Roman" w:hAnsi="Arial" w:cs="Arial"/>
          <w:sz w:val="18"/>
          <w:szCs w:val="18"/>
          <w:lang w:eastAsia="en-GB"/>
        </w:rPr>
        <w:t>ESAR-IWA (Eastern and Southern Africa Region of the International Water Association)</w:t>
      </w:r>
      <w:r>
        <w:rPr>
          <w:rFonts w:ascii="Arial" w:eastAsia="Times New Roman" w:hAnsi="Arial" w:cs="Arial"/>
          <w:sz w:val="18"/>
          <w:szCs w:val="18"/>
          <w:lang w:eastAsia="en-GB"/>
        </w:rPr>
        <w:t>, UN-HABITAT, WSP-Africa, “</w:t>
      </w:r>
      <w:r>
        <w:rPr>
          <w:rFonts w:ascii="Arial" w:eastAsia="Times New Roman" w:hAnsi="Arial" w:cs="Arial"/>
          <w:color w:val="000000"/>
          <w:sz w:val="18"/>
          <w:szCs w:val="18"/>
          <w:lang w:eastAsia="en-GB"/>
        </w:rPr>
        <w:t xml:space="preserve">The Water Operators’ Partnerships – </w:t>
      </w:r>
      <w:smartTag w:uri="urn:schemas-microsoft-com:office:smarttags" w:element="place">
        <w:r>
          <w:rPr>
            <w:rFonts w:ascii="Arial" w:eastAsia="Times New Roman" w:hAnsi="Arial" w:cs="Arial"/>
            <w:color w:val="000000"/>
            <w:sz w:val="18"/>
            <w:szCs w:val="18"/>
            <w:lang w:eastAsia="en-GB"/>
          </w:rPr>
          <w:t>Africa</w:t>
        </w:r>
      </w:smartTag>
      <w:r>
        <w:rPr>
          <w:rFonts w:ascii="Arial" w:eastAsia="Times New Roman" w:hAnsi="Arial" w:cs="Arial"/>
          <w:color w:val="000000"/>
          <w:sz w:val="18"/>
          <w:szCs w:val="18"/>
          <w:lang w:eastAsia="en-GB"/>
        </w:rPr>
        <w:t xml:space="preserve">: </w:t>
      </w:r>
      <w:r w:rsidRPr="00C66CF1">
        <w:rPr>
          <w:rFonts w:ascii="Arial" w:eastAsia="Times New Roman" w:hAnsi="Arial" w:cs="Arial"/>
          <w:color w:val="000000"/>
          <w:sz w:val="18"/>
          <w:szCs w:val="18"/>
          <w:lang w:eastAsia="en-GB"/>
        </w:rPr>
        <w:t>An Action Pro</w:t>
      </w:r>
      <w:r>
        <w:rPr>
          <w:rFonts w:ascii="Arial" w:eastAsia="Times New Roman" w:hAnsi="Arial" w:cs="Arial"/>
          <w:color w:val="000000"/>
          <w:sz w:val="18"/>
          <w:szCs w:val="18"/>
          <w:lang w:eastAsia="en-GB"/>
        </w:rPr>
        <w:t xml:space="preserve">gram to Enhance the Performance </w:t>
      </w:r>
      <w:r w:rsidRPr="00C66CF1">
        <w:rPr>
          <w:rFonts w:ascii="Arial" w:eastAsia="Times New Roman" w:hAnsi="Arial" w:cs="Arial"/>
          <w:color w:val="000000"/>
          <w:sz w:val="18"/>
          <w:szCs w:val="18"/>
          <w:lang w:eastAsia="en-GB"/>
        </w:rPr>
        <w:t>of African Water and Sanitation Utilities</w:t>
      </w:r>
      <w:r>
        <w:rPr>
          <w:rFonts w:ascii="Arial" w:eastAsia="Times New Roman" w:hAnsi="Arial" w:cs="Arial"/>
          <w:color w:val="000000"/>
          <w:sz w:val="18"/>
          <w:szCs w:val="18"/>
          <w:lang w:eastAsia="en-GB"/>
        </w:rPr>
        <w:t>”, WOP-Africa Brochure</w:t>
      </w:r>
      <w:r w:rsidRPr="007E220B">
        <w:rPr>
          <w:rFonts w:ascii="Arial" w:eastAsia="Times New Roman" w:hAnsi="Arial" w:cs="Arial"/>
          <w:sz w:val="18"/>
          <w:szCs w:val="18"/>
          <w:lang w:eastAsia="en-GB"/>
        </w:rPr>
        <w:t>.</w:t>
      </w:r>
    </w:p>
  </w:endnote>
  <w:endnote w:id="31">
    <w:p w:rsidR="003D7611" w:rsidRDefault="003D7611">
      <w:pPr>
        <w:pStyle w:val="EndnoteText"/>
      </w:pPr>
      <w:r>
        <w:rPr>
          <w:rStyle w:val="EndnoteReference"/>
        </w:rPr>
        <w:endnoteRef/>
      </w:r>
      <w:r>
        <w:t xml:space="preserve"> </w:t>
      </w:r>
      <w:r w:rsidRPr="005B355C">
        <w:rPr>
          <w:rFonts w:ascii="Arial" w:hAnsi="Arial" w:cs="Arial"/>
          <w:sz w:val="18"/>
          <w:szCs w:val="18"/>
        </w:rPr>
        <w:t>Author’s estimate, based on the</w:t>
      </w:r>
      <w:r>
        <w:t xml:space="preserve"> </w:t>
      </w:r>
      <w:r>
        <w:rPr>
          <w:rFonts w:ascii="Arial" w:hAnsi="Arial" w:cs="Arial"/>
          <w:sz w:val="18"/>
          <w:szCs w:val="18"/>
        </w:rPr>
        <w:t xml:space="preserve">exchange rate US$ 1 = </w:t>
      </w:r>
      <w:r w:rsidRPr="005B355C">
        <w:rPr>
          <w:rFonts w:ascii="Arial" w:hAnsi="Arial" w:cs="Arial"/>
          <w:sz w:val="18"/>
          <w:szCs w:val="18"/>
        </w:rPr>
        <w:t>€ 0.760928</w:t>
      </w:r>
      <w:r>
        <w:rPr>
          <w:rFonts w:ascii="Arial" w:hAnsi="Arial" w:cs="Arial"/>
          <w:sz w:val="18"/>
          <w:szCs w:val="18"/>
        </w:rPr>
        <w:t>, 12 April 2012.</w:t>
      </w:r>
      <w:r>
        <w:t xml:space="preserve"> </w:t>
      </w:r>
    </w:p>
  </w:endnote>
  <w:endnote w:id="32">
    <w:p w:rsidR="003D7611" w:rsidRPr="00E64871" w:rsidRDefault="003D7611">
      <w:pPr>
        <w:pStyle w:val="EndnoteText"/>
        <w:rPr>
          <w:rFonts w:ascii="Arial" w:hAnsi="Arial" w:cs="Arial"/>
          <w:sz w:val="18"/>
          <w:szCs w:val="18"/>
        </w:rPr>
      </w:pPr>
      <w:r>
        <w:rPr>
          <w:rStyle w:val="EndnoteReference"/>
        </w:rPr>
        <w:endnoteRef/>
      </w:r>
      <w:r>
        <w:t xml:space="preserve"> </w:t>
      </w:r>
      <w:r w:rsidRPr="00E64871">
        <w:rPr>
          <w:rFonts w:ascii="Arial" w:hAnsi="Arial" w:cs="Arial"/>
          <w:sz w:val="18"/>
          <w:szCs w:val="18"/>
        </w:rPr>
        <w:t xml:space="preserve">Email communication with Fadel Ndaw, </w:t>
      </w:r>
      <w:r>
        <w:rPr>
          <w:rFonts w:ascii="Arial" w:hAnsi="Arial" w:cs="Arial"/>
          <w:sz w:val="18"/>
          <w:szCs w:val="18"/>
        </w:rPr>
        <w:t xml:space="preserve">Programme Coordinator, WOP-Africa, 12 April 2012. </w:t>
      </w:r>
    </w:p>
  </w:endnote>
  <w:endnote w:id="33">
    <w:p w:rsidR="003D7611" w:rsidRDefault="003D7611" w:rsidP="0071035D">
      <w:pPr>
        <w:pStyle w:val="EndnoteText"/>
      </w:pPr>
      <w:r>
        <w:rPr>
          <w:rStyle w:val="EndnoteReference"/>
        </w:rPr>
        <w:endnoteRef/>
      </w:r>
      <w:r>
        <w:t xml:space="preserve"> </w:t>
      </w:r>
      <w:r>
        <w:rPr>
          <w:rFonts w:ascii="Arial" w:hAnsi="Arial" w:cs="Arial"/>
          <w:sz w:val="18"/>
          <w:szCs w:val="18"/>
        </w:rPr>
        <w:t>Email communication with Anne Bousquet and Julie Perkins, GWOPA, UN-HABITAT, 18 May 2012.</w:t>
      </w:r>
      <w:r>
        <w:t xml:space="preserve"> </w:t>
      </w:r>
    </w:p>
  </w:endnote>
  <w:endnote w:id="34">
    <w:p w:rsidR="003D7611" w:rsidRPr="00001C29" w:rsidRDefault="003D7611" w:rsidP="003B0C59">
      <w:pPr>
        <w:pStyle w:val="NoSpacing"/>
        <w:jc w:val="both"/>
        <w:rPr>
          <w:rFonts w:ascii="Arial" w:hAnsi="Arial" w:cs="Arial"/>
          <w:sz w:val="18"/>
          <w:szCs w:val="18"/>
        </w:rPr>
      </w:pPr>
      <w:r w:rsidRPr="0004363C">
        <w:rPr>
          <w:rStyle w:val="EndnoteReference"/>
          <w:rFonts w:ascii="Calibri" w:hAnsi="Calibri" w:cs="Calibri"/>
          <w:sz w:val="20"/>
          <w:szCs w:val="20"/>
        </w:rPr>
        <w:endnoteRef/>
      </w:r>
      <w:r>
        <w:t xml:space="preserve"> </w:t>
      </w:r>
      <w:r w:rsidRPr="007E220B">
        <w:rPr>
          <w:rFonts w:ascii="Arial" w:hAnsi="Arial" w:cs="Arial"/>
          <w:sz w:val="18"/>
          <w:szCs w:val="18"/>
          <w:lang w:val="en-US"/>
        </w:rPr>
        <w:t>AfWA (African Water Association)</w:t>
      </w:r>
      <w:r>
        <w:rPr>
          <w:rFonts w:ascii="Arial" w:hAnsi="Arial" w:cs="Arial"/>
          <w:sz w:val="18"/>
          <w:szCs w:val="18"/>
          <w:lang w:val="en-US"/>
        </w:rPr>
        <w:t>, “</w:t>
      </w:r>
      <w:r w:rsidRPr="00001C29">
        <w:rPr>
          <w:rFonts w:ascii="Arial" w:hAnsi="Arial" w:cs="Arial"/>
          <w:sz w:val="18"/>
          <w:szCs w:val="18"/>
        </w:rPr>
        <w:t>Funding of WOP-Africa: AfDB grants 490,000 Euros to AfWA</w:t>
      </w:r>
      <w:r>
        <w:rPr>
          <w:rFonts w:ascii="Arial" w:hAnsi="Arial" w:cs="Arial"/>
          <w:sz w:val="18"/>
          <w:szCs w:val="18"/>
        </w:rPr>
        <w:t>”</w:t>
      </w:r>
      <w:r w:rsidRPr="00001C29">
        <w:rPr>
          <w:rFonts w:ascii="Arial" w:hAnsi="Arial" w:cs="Arial"/>
          <w:sz w:val="18"/>
          <w:szCs w:val="18"/>
        </w:rPr>
        <w:t>, AfWA Press Release</w:t>
      </w:r>
      <w:r>
        <w:rPr>
          <w:rFonts w:ascii="Arial" w:hAnsi="Arial" w:cs="Arial"/>
          <w:sz w:val="18"/>
          <w:szCs w:val="18"/>
        </w:rPr>
        <w:t>.</w:t>
      </w:r>
    </w:p>
  </w:endnote>
  <w:endnote w:id="35">
    <w:p w:rsidR="003D7611" w:rsidRPr="00975B1D" w:rsidRDefault="003D7611" w:rsidP="00CA7EC2">
      <w:pPr>
        <w:pStyle w:val="NoSpacing"/>
        <w:jc w:val="both"/>
        <w:rPr>
          <w:rFonts w:ascii="Arial" w:hAnsi="Arial" w:cs="Arial"/>
          <w:sz w:val="18"/>
          <w:szCs w:val="18"/>
        </w:rPr>
      </w:pPr>
      <w:r w:rsidRPr="00CA7EC2">
        <w:rPr>
          <w:rStyle w:val="EndnoteReference"/>
          <w:rFonts w:ascii="Calibri" w:hAnsi="Calibri" w:cs="Calibri"/>
          <w:sz w:val="20"/>
          <w:szCs w:val="20"/>
        </w:rPr>
        <w:endnoteRef/>
      </w:r>
      <w:r>
        <w:t xml:space="preserve"> </w:t>
      </w:r>
      <w:r w:rsidRPr="0045338D">
        <w:rPr>
          <w:rFonts w:ascii="Arial" w:hAnsi="Arial" w:cs="Arial"/>
          <w:sz w:val="18"/>
          <w:szCs w:val="18"/>
        </w:rPr>
        <w:t xml:space="preserve">African Water </w:t>
      </w:r>
      <w:r>
        <w:rPr>
          <w:rFonts w:ascii="Arial" w:hAnsi="Arial" w:cs="Arial"/>
          <w:sz w:val="18"/>
          <w:szCs w:val="18"/>
        </w:rPr>
        <w:t xml:space="preserve">Facility (2009) </w:t>
      </w:r>
      <w:r w:rsidRPr="0045338D">
        <w:rPr>
          <w:rFonts w:ascii="Arial" w:hAnsi="Arial" w:cs="Arial"/>
          <w:sz w:val="18"/>
          <w:szCs w:val="18"/>
        </w:rPr>
        <w:t>African Water Association (AfWA)</w:t>
      </w:r>
      <w:r>
        <w:rPr>
          <w:rFonts w:ascii="Arial" w:hAnsi="Arial" w:cs="Arial"/>
          <w:sz w:val="18"/>
          <w:szCs w:val="18"/>
        </w:rPr>
        <w:t xml:space="preserve">: </w:t>
      </w:r>
      <w:r w:rsidRPr="0045338D">
        <w:rPr>
          <w:rFonts w:ascii="Arial" w:hAnsi="Arial" w:cs="Arial"/>
          <w:sz w:val="18"/>
          <w:szCs w:val="18"/>
        </w:rPr>
        <w:t>Water Ope</w:t>
      </w:r>
      <w:r>
        <w:rPr>
          <w:rFonts w:ascii="Arial" w:hAnsi="Arial" w:cs="Arial"/>
          <w:sz w:val="18"/>
          <w:szCs w:val="18"/>
        </w:rPr>
        <w:t xml:space="preserve">rators Partnership (WOP) </w:t>
      </w:r>
      <w:smartTag w:uri="urn:schemas-microsoft-com:office:smarttags" w:element="place">
        <w:r>
          <w:rPr>
            <w:rFonts w:ascii="Arial" w:hAnsi="Arial" w:cs="Arial"/>
            <w:sz w:val="18"/>
            <w:szCs w:val="18"/>
          </w:rPr>
          <w:t>Africa</w:t>
        </w:r>
      </w:smartTag>
      <w:r>
        <w:rPr>
          <w:rFonts w:ascii="Arial" w:hAnsi="Arial" w:cs="Arial"/>
          <w:sz w:val="18"/>
          <w:szCs w:val="18"/>
        </w:rPr>
        <w:t xml:space="preserve"> Peer-to-peer Learning and </w:t>
      </w:r>
      <w:r w:rsidRPr="0045338D">
        <w:rPr>
          <w:rFonts w:ascii="Arial" w:hAnsi="Arial" w:cs="Arial"/>
          <w:sz w:val="18"/>
          <w:szCs w:val="18"/>
        </w:rPr>
        <w:t>Benchmarking</w:t>
      </w:r>
      <w:r>
        <w:rPr>
          <w:rFonts w:ascii="Arial" w:hAnsi="Arial" w:cs="Arial"/>
          <w:sz w:val="18"/>
          <w:szCs w:val="18"/>
        </w:rPr>
        <w:t>. Appraisal Report, October 2009.</w:t>
      </w:r>
    </w:p>
  </w:endnote>
  <w:endnote w:id="36">
    <w:p w:rsidR="003D7611" w:rsidRDefault="003D7611" w:rsidP="00AB471A">
      <w:pPr>
        <w:pStyle w:val="EndnoteText"/>
        <w:jc w:val="both"/>
      </w:pPr>
      <w:r>
        <w:rPr>
          <w:rStyle w:val="EndnoteReference"/>
        </w:rPr>
        <w:endnoteRef/>
      </w:r>
      <w:r>
        <w:t xml:space="preserve"> </w:t>
      </w:r>
      <w:r w:rsidRPr="00AB471A">
        <w:rPr>
          <w:rFonts w:ascii="Arial" w:hAnsi="Arial" w:cs="Arial"/>
          <w:sz w:val="18"/>
          <w:szCs w:val="18"/>
        </w:rPr>
        <w:t xml:space="preserve">Mugabi, J., Castro. V. (2009) Water Operators Partnerships – </w:t>
      </w:r>
      <w:smartTag w:uri="urn:schemas-microsoft-com:office:smarttags" w:element="place">
        <w:r w:rsidRPr="00AB471A">
          <w:rPr>
            <w:rFonts w:ascii="Arial" w:hAnsi="Arial" w:cs="Arial"/>
            <w:sz w:val="18"/>
            <w:szCs w:val="18"/>
          </w:rPr>
          <w:t>Africa</w:t>
        </w:r>
      </w:smartTag>
      <w:r w:rsidRPr="00AB471A">
        <w:rPr>
          <w:rFonts w:ascii="Arial" w:hAnsi="Arial" w:cs="Arial"/>
          <w:sz w:val="18"/>
          <w:szCs w:val="18"/>
        </w:rPr>
        <w:t xml:space="preserve"> Utility Performance Assessment.</w:t>
      </w:r>
      <w:r>
        <w:rPr>
          <w:rFonts w:ascii="Arial" w:hAnsi="Arial" w:cs="Arial"/>
          <w:sz w:val="18"/>
          <w:szCs w:val="18"/>
        </w:rPr>
        <w:t xml:space="preserve"> Final Report, June 2009.</w:t>
      </w:r>
      <w:r w:rsidRPr="00AB471A">
        <w:rPr>
          <w:rFonts w:ascii="Arial" w:hAnsi="Arial" w:cs="Arial"/>
          <w:sz w:val="18"/>
          <w:szCs w:val="18"/>
        </w:rPr>
        <w:t xml:space="preserve"> </w:t>
      </w:r>
      <w:smartTag w:uri="urn:schemas-microsoft-com:office:smarttags" w:element="place">
        <w:smartTag w:uri="urn:schemas-microsoft-com:office:smarttags" w:element="City">
          <w:r w:rsidRPr="00AB471A">
            <w:rPr>
              <w:rFonts w:ascii="Arial" w:hAnsi="Arial" w:cs="Arial"/>
              <w:sz w:val="18"/>
              <w:szCs w:val="18"/>
            </w:rPr>
            <w:t>Nairobi</w:t>
          </w:r>
        </w:smartTag>
      </w:smartTag>
      <w:r w:rsidRPr="00AB471A">
        <w:rPr>
          <w:rFonts w:ascii="Arial" w:hAnsi="Arial" w:cs="Arial"/>
          <w:sz w:val="18"/>
          <w:szCs w:val="18"/>
        </w:rPr>
        <w:t>: Water and Sanitation Program-Africa.</w:t>
      </w:r>
    </w:p>
  </w:endnote>
  <w:endnote w:id="37">
    <w:p w:rsidR="003D7611" w:rsidRDefault="003D7611" w:rsidP="006D6206">
      <w:pPr>
        <w:pStyle w:val="EndnoteText"/>
        <w:jc w:val="both"/>
      </w:pPr>
      <w:r>
        <w:rPr>
          <w:rStyle w:val="EndnoteReference"/>
        </w:rPr>
        <w:endnoteRef/>
      </w:r>
      <w:r>
        <w:t xml:space="preserve"> </w:t>
      </w:r>
      <w:r w:rsidRPr="00E442B4">
        <w:rPr>
          <w:rFonts w:ascii="Arial" w:eastAsia="Times New Roman" w:hAnsi="Arial" w:cs="Arial"/>
          <w:color w:val="000000"/>
          <w:sz w:val="18"/>
          <w:szCs w:val="18"/>
          <w:lang w:eastAsia="en-GB"/>
        </w:rPr>
        <w:t xml:space="preserve">Ndaw, M. F. (2012) </w:t>
      </w:r>
      <w:r w:rsidRPr="00E442B4">
        <w:rPr>
          <w:rFonts w:ascii="Arial" w:hAnsi="Arial" w:cs="Arial"/>
          <w:sz w:val="18"/>
          <w:szCs w:val="18"/>
        </w:rPr>
        <w:t xml:space="preserve">WOPs in </w:t>
      </w:r>
      <w:smartTag w:uri="urn:schemas-microsoft-com:office:smarttags" w:element="place">
        <w:r w:rsidRPr="00E442B4">
          <w:rPr>
            <w:rFonts w:ascii="Arial" w:hAnsi="Arial" w:cs="Arial"/>
            <w:sz w:val="18"/>
            <w:szCs w:val="18"/>
          </w:rPr>
          <w:t>Africa</w:t>
        </w:r>
      </w:smartTag>
      <w:r w:rsidRPr="00E442B4">
        <w:rPr>
          <w:rFonts w:ascii="Arial" w:hAnsi="Arial" w:cs="Arial"/>
          <w:sz w:val="18"/>
          <w:szCs w:val="18"/>
        </w:rPr>
        <w:t xml:space="preserve">: Gaining Momentum! Presentation at </w:t>
      </w:r>
      <w:r>
        <w:rPr>
          <w:rFonts w:ascii="Arial" w:hAnsi="Arial" w:cs="Arial"/>
          <w:sz w:val="18"/>
          <w:szCs w:val="18"/>
        </w:rPr>
        <w:t>the 16</w:t>
      </w:r>
      <w:r w:rsidRPr="006D6206">
        <w:rPr>
          <w:rFonts w:ascii="Arial" w:hAnsi="Arial" w:cs="Arial"/>
          <w:sz w:val="18"/>
          <w:szCs w:val="18"/>
          <w:vertAlign w:val="superscript"/>
        </w:rPr>
        <w:t>th</w:t>
      </w:r>
      <w:r>
        <w:rPr>
          <w:rFonts w:ascii="Arial" w:hAnsi="Arial" w:cs="Arial"/>
          <w:sz w:val="18"/>
          <w:szCs w:val="18"/>
        </w:rPr>
        <w:t xml:space="preserve"> </w:t>
      </w:r>
      <w:r w:rsidRPr="00E442B4">
        <w:rPr>
          <w:rFonts w:ascii="Arial" w:hAnsi="Arial" w:cs="Arial"/>
          <w:sz w:val="18"/>
          <w:szCs w:val="18"/>
          <w:lang w:val="en-US"/>
        </w:rPr>
        <w:t>African Water Association Congress</w:t>
      </w:r>
      <w:r>
        <w:rPr>
          <w:rFonts w:ascii="Arial" w:hAnsi="Arial" w:cs="Arial"/>
          <w:sz w:val="18"/>
          <w:szCs w:val="18"/>
          <w:lang w:val="en-US"/>
        </w:rPr>
        <w:t xml:space="preserve"> (Marrakech, 20-23 February 2012).</w:t>
      </w:r>
    </w:p>
  </w:endnote>
  <w:endnote w:id="38">
    <w:p w:rsidR="003D7611" w:rsidRPr="00975B1D" w:rsidRDefault="003D7611" w:rsidP="00975B1D">
      <w:pPr>
        <w:pStyle w:val="NoSpacing"/>
        <w:jc w:val="both"/>
        <w:rPr>
          <w:rFonts w:ascii="Arial" w:hAnsi="Arial" w:cs="Arial"/>
          <w:sz w:val="18"/>
          <w:szCs w:val="18"/>
        </w:rPr>
      </w:pPr>
      <w:r w:rsidRPr="0004363C">
        <w:rPr>
          <w:rStyle w:val="EndnoteReference"/>
          <w:rFonts w:ascii="Calibri" w:hAnsi="Calibri" w:cs="Calibri"/>
          <w:sz w:val="20"/>
          <w:szCs w:val="20"/>
        </w:rPr>
        <w:endnoteRef/>
      </w:r>
      <w:r>
        <w:t xml:space="preserve"> </w:t>
      </w:r>
      <w:r w:rsidRPr="0045338D">
        <w:rPr>
          <w:rFonts w:ascii="Arial" w:hAnsi="Arial" w:cs="Arial"/>
          <w:sz w:val="18"/>
          <w:szCs w:val="18"/>
        </w:rPr>
        <w:t xml:space="preserve">African Water </w:t>
      </w:r>
      <w:r>
        <w:rPr>
          <w:rFonts w:ascii="Arial" w:hAnsi="Arial" w:cs="Arial"/>
          <w:sz w:val="18"/>
          <w:szCs w:val="18"/>
        </w:rPr>
        <w:t xml:space="preserve">Facility (2009) </w:t>
      </w:r>
      <w:r w:rsidRPr="0045338D">
        <w:rPr>
          <w:rFonts w:ascii="Arial" w:hAnsi="Arial" w:cs="Arial"/>
          <w:sz w:val="18"/>
          <w:szCs w:val="18"/>
        </w:rPr>
        <w:t>African Water Association (AfWA)</w:t>
      </w:r>
      <w:r>
        <w:rPr>
          <w:rFonts w:ascii="Arial" w:hAnsi="Arial" w:cs="Arial"/>
          <w:sz w:val="18"/>
          <w:szCs w:val="18"/>
        </w:rPr>
        <w:t xml:space="preserve">: </w:t>
      </w:r>
      <w:r w:rsidRPr="0045338D">
        <w:rPr>
          <w:rFonts w:ascii="Arial" w:hAnsi="Arial" w:cs="Arial"/>
          <w:sz w:val="18"/>
          <w:szCs w:val="18"/>
        </w:rPr>
        <w:t>Water Ope</w:t>
      </w:r>
      <w:r>
        <w:rPr>
          <w:rFonts w:ascii="Arial" w:hAnsi="Arial" w:cs="Arial"/>
          <w:sz w:val="18"/>
          <w:szCs w:val="18"/>
        </w:rPr>
        <w:t xml:space="preserve">rators Partnership (WOP) </w:t>
      </w:r>
      <w:smartTag w:uri="urn:schemas-microsoft-com:office:smarttags" w:element="place">
        <w:r>
          <w:rPr>
            <w:rFonts w:ascii="Arial" w:hAnsi="Arial" w:cs="Arial"/>
            <w:sz w:val="18"/>
            <w:szCs w:val="18"/>
          </w:rPr>
          <w:t>Africa</w:t>
        </w:r>
      </w:smartTag>
      <w:r>
        <w:rPr>
          <w:rFonts w:ascii="Arial" w:hAnsi="Arial" w:cs="Arial"/>
          <w:sz w:val="18"/>
          <w:szCs w:val="18"/>
        </w:rPr>
        <w:t xml:space="preserve"> Peer-to-peer Learning and </w:t>
      </w:r>
      <w:r w:rsidRPr="0045338D">
        <w:rPr>
          <w:rFonts w:ascii="Arial" w:hAnsi="Arial" w:cs="Arial"/>
          <w:sz w:val="18"/>
          <w:szCs w:val="18"/>
        </w:rPr>
        <w:t>Benchmarking</w:t>
      </w:r>
      <w:r>
        <w:rPr>
          <w:rFonts w:ascii="Arial" w:hAnsi="Arial" w:cs="Arial"/>
          <w:sz w:val="18"/>
          <w:szCs w:val="18"/>
        </w:rPr>
        <w:t>. Appraisal Report, October 2009; e</w:t>
      </w:r>
      <w:r w:rsidRPr="00E64871">
        <w:rPr>
          <w:rFonts w:ascii="Arial" w:hAnsi="Arial" w:cs="Arial"/>
          <w:sz w:val="18"/>
          <w:szCs w:val="18"/>
        </w:rPr>
        <w:t xml:space="preserve">mail communication with Fadel Ndaw, </w:t>
      </w:r>
      <w:r>
        <w:rPr>
          <w:rFonts w:ascii="Arial" w:hAnsi="Arial" w:cs="Arial"/>
          <w:sz w:val="18"/>
          <w:szCs w:val="18"/>
        </w:rPr>
        <w:t>Programme Coordinator, WOP-Africa, 2 May 2012.</w:t>
      </w:r>
    </w:p>
  </w:endnote>
  <w:endnote w:id="39">
    <w:p w:rsidR="003D7611" w:rsidRDefault="003D7611" w:rsidP="006D6206">
      <w:pPr>
        <w:pStyle w:val="EndnoteText"/>
        <w:jc w:val="both"/>
      </w:pPr>
      <w:r>
        <w:rPr>
          <w:rStyle w:val="EndnoteReference"/>
        </w:rPr>
        <w:endnoteRef/>
      </w:r>
      <w:r>
        <w:t xml:space="preserve"> </w:t>
      </w:r>
      <w:r w:rsidRPr="001D6FD8">
        <w:rPr>
          <w:rFonts w:ascii="Arial" w:hAnsi="Arial" w:cs="Arial"/>
          <w:sz w:val="18"/>
          <w:szCs w:val="18"/>
        </w:rPr>
        <w:t>WOP Africa (2012) Minutes of the launch workshop of the WOP Africa Program, 16</w:t>
      </w:r>
      <w:r w:rsidRPr="001D6FD8">
        <w:rPr>
          <w:rFonts w:ascii="Arial" w:hAnsi="Arial" w:cs="Arial"/>
          <w:sz w:val="18"/>
          <w:szCs w:val="18"/>
          <w:vertAlign w:val="superscript"/>
        </w:rPr>
        <w:t>th</w:t>
      </w:r>
      <w:r w:rsidRPr="001D6FD8">
        <w:rPr>
          <w:rFonts w:ascii="Arial" w:hAnsi="Arial" w:cs="Arial"/>
          <w:sz w:val="18"/>
          <w:szCs w:val="18"/>
        </w:rPr>
        <w:t xml:space="preserve"> </w:t>
      </w:r>
      <w:r w:rsidRPr="001D6FD8">
        <w:rPr>
          <w:rFonts w:ascii="Arial" w:hAnsi="Arial" w:cs="Arial"/>
          <w:sz w:val="18"/>
          <w:szCs w:val="18"/>
          <w:lang w:val="en-US"/>
        </w:rPr>
        <w:t>African Water Association Congress (Marrakech, 19 February 2012);</w:t>
      </w:r>
      <w:r w:rsidRPr="001D6FD8">
        <w:rPr>
          <w:rFonts w:ascii="Arial" w:hAnsi="Arial" w:cs="Arial"/>
          <w:sz w:val="18"/>
          <w:szCs w:val="18"/>
        </w:rPr>
        <w:t xml:space="preserve"> </w:t>
      </w:r>
      <w:r w:rsidRPr="001D6FD8">
        <w:rPr>
          <w:rFonts w:ascii="Arial" w:eastAsia="Times New Roman" w:hAnsi="Arial" w:cs="Arial"/>
          <w:sz w:val="18"/>
          <w:szCs w:val="18"/>
          <w:lang w:eastAsia="en-GB"/>
        </w:rPr>
        <w:t xml:space="preserve">Ndaw, M. F. (2012) </w:t>
      </w:r>
      <w:r w:rsidRPr="001D6FD8">
        <w:rPr>
          <w:rFonts w:ascii="Arial" w:hAnsi="Arial" w:cs="Arial"/>
          <w:sz w:val="18"/>
          <w:szCs w:val="18"/>
        </w:rPr>
        <w:t xml:space="preserve">WOPs in </w:t>
      </w:r>
      <w:smartTag w:uri="urn:schemas-microsoft-com:office:smarttags" w:element="place">
        <w:r w:rsidRPr="001D6FD8">
          <w:rPr>
            <w:rFonts w:ascii="Arial" w:hAnsi="Arial" w:cs="Arial"/>
            <w:sz w:val="18"/>
            <w:szCs w:val="18"/>
          </w:rPr>
          <w:t>Africa</w:t>
        </w:r>
      </w:smartTag>
      <w:r w:rsidRPr="001D6FD8">
        <w:rPr>
          <w:rFonts w:ascii="Arial" w:hAnsi="Arial" w:cs="Arial"/>
          <w:sz w:val="18"/>
          <w:szCs w:val="18"/>
        </w:rPr>
        <w:t>: Gaining Momentum! Presentation at the 16</w:t>
      </w:r>
      <w:r w:rsidRPr="001D6FD8">
        <w:rPr>
          <w:rFonts w:ascii="Arial" w:hAnsi="Arial" w:cs="Arial"/>
          <w:sz w:val="18"/>
          <w:szCs w:val="18"/>
          <w:vertAlign w:val="superscript"/>
        </w:rPr>
        <w:t>th</w:t>
      </w:r>
      <w:r w:rsidRPr="001D6FD8">
        <w:rPr>
          <w:rFonts w:ascii="Arial" w:hAnsi="Arial" w:cs="Arial"/>
          <w:sz w:val="18"/>
          <w:szCs w:val="18"/>
        </w:rPr>
        <w:t xml:space="preserve"> </w:t>
      </w:r>
      <w:r w:rsidRPr="001D6FD8">
        <w:rPr>
          <w:rFonts w:ascii="Arial" w:hAnsi="Arial" w:cs="Arial"/>
          <w:sz w:val="18"/>
          <w:szCs w:val="18"/>
          <w:lang w:val="en-US"/>
        </w:rPr>
        <w:t>African Water Association Congress (Marrakech</w:t>
      </w:r>
      <w:r>
        <w:rPr>
          <w:rFonts w:ascii="Arial" w:hAnsi="Arial" w:cs="Arial"/>
          <w:sz w:val="18"/>
          <w:szCs w:val="18"/>
          <w:lang w:val="en-US"/>
        </w:rPr>
        <w:t xml:space="preserve">, 20-23 February 2012); </w:t>
      </w:r>
      <w:r>
        <w:rPr>
          <w:rFonts w:ascii="Arial" w:hAnsi="Arial" w:cs="Arial"/>
          <w:sz w:val="18"/>
          <w:szCs w:val="18"/>
        </w:rPr>
        <w:t>e</w:t>
      </w:r>
      <w:r w:rsidRPr="00E64871">
        <w:rPr>
          <w:rFonts w:ascii="Arial" w:hAnsi="Arial" w:cs="Arial"/>
          <w:sz w:val="18"/>
          <w:szCs w:val="18"/>
        </w:rPr>
        <w:t>mail communication</w:t>
      </w:r>
      <w:r>
        <w:rPr>
          <w:rFonts w:ascii="Arial" w:hAnsi="Arial" w:cs="Arial"/>
          <w:sz w:val="18"/>
          <w:szCs w:val="18"/>
        </w:rPr>
        <w:t>s</w:t>
      </w:r>
      <w:r w:rsidRPr="00E64871">
        <w:rPr>
          <w:rFonts w:ascii="Arial" w:hAnsi="Arial" w:cs="Arial"/>
          <w:sz w:val="18"/>
          <w:szCs w:val="18"/>
        </w:rPr>
        <w:t xml:space="preserve"> with Fadel Ndaw, </w:t>
      </w:r>
      <w:r>
        <w:rPr>
          <w:rFonts w:ascii="Arial" w:hAnsi="Arial" w:cs="Arial"/>
          <w:sz w:val="18"/>
          <w:szCs w:val="18"/>
        </w:rPr>
        <w:t>Programme Coordinator, WOP-Africa, 12 April 2012, 2 May 2012.</w:t>
      </w:r>
    </w:p>
  </w:endnote>
  <w:endnote w:id="40">
    <w:p w:rsidR="003D7611" w:rsidRPr="00975B1D" w:rsidRDefault="003D7611" w:rsidP="00740C3A">
      <w:pPr>
        <w:pStyle w:val="NoSpacing"/>
        <w:jc w:val="both"/>
        <w:rPr>
          <w:rFonts w:ascii="Arial" w:hAnsi="Arial" w:cs="Arial"/>
          <w:sz w:val="18"/>
          <w:szCs w:val="18"/>
        </w:rPr>
      </w:pPr>
      <w:r w:rsidRPr="00740C3A">
        <w:rPr>
          <w:rStyle w:val="EndnoteReference"/>
          <w:rFonts w:ascii="Calibri" w:hAnsi="Calibri" w:cs="Calibri"/>
          <w:sz w:val="20"/>
          <w:szCs w:val="20"/>
        </w:rPr>
        <w:endnoteRef/>
      </w:r>
      <w:r>
        <w:t xml:space="preserve"> </w:t>
      </w:r>
      <w:r w:rsidRPr="0045338D">
        <w:rPr>
          <w:rFonts w:ascii="Arial" w:hAnsi="Arial" w:cs="Arial"/>
          <w:sz w:val="18"/>
          <w:szCs w:val="18"/>
        </w:rPr>
        <w:t xml:space="preserve">African Water </w:t>
      </w:r>
      <w:r>
        <w:rPr>
          <w:rFonts w:ascii="Arial" w:hAnsi="Arial" w:cs="Arial"/>
          <w:sz w:val="18"/>
          <w:szCs w:val="18"/>
        </w:rPr>
        <w:t xml:space="preserve">Facility (2009) </w:t>
      </w:r>
      <w:r w:rsidRPr="0045338D">
        <w:rPr>
          <w:rFonts w:ascii="Arial" w:hAnsi="Arial" w:cs="Arial"/>
          <w:sz w:val="18"/>
          <w:szCs w:val="18"/>
        </w:rPr>
        <w:t>African Water Association (AfWA)</w:t>
      </w:r>
      <w:r>
        <w:rPr>
          <w:rFonts w:ascii="Arial" w:hAnsi="Arial" w:cs="Arial"/>
          <w:sz w:val="18"/>
          <w:szCs w:val="18"/>
        </w:rPr>
        <w:t xml:space="preserve">: </w:t>
      </w:r>
      <w:r w:rsidRPr="0045338D">
        <w:rPr>
          <w:rFonts w:ascii="Arial" w:hAnsi="Arial" w:cs="Arial"/>
          <w:sz w:val="18"/>
          <w:szCs w:val="18"/>
        </w:rPr>
        <w:t>Water Ope</w:t>
      </w:r>
      <w:r>
        <w:rPr>
          <w:rFonts w:ascii="Arial" w:hAnsi="Arial" w:cs="Arial"/>
          <w:sz w:val="18"/>
          <w:szCs w:val="18"/>
        </w:rPr>
        <w:t xml:space="preserve">rators Partnership (WOP) </w:t>
      </w:r>
      <w:smartTag w:uri="urn:schemas-microsoft-com:office:smarttags" w:element="place">
        <w:r>
          <w:rPr>
            <w:rFonts w:ascii="Arial" w:hAnsi="Arial" w:cs="Arial"/>
            <w:sz w:val="18"/>
            <w:szCs w:val="18"/>
          </w:rPr>
          <w:t>Africa</w:t>
        </w:r>
      </w:smartTag>
      <w:r>
        <w:rPr>
          <w:rFonts w:ascii="Arial" w:hAnsi="Arial" w:cs="Arial"/>
          <w:sz w:val="18"/>
          <w:szCs w:val="18"/>
        </w:rPr>
        <w:t xml:space="preserve"> Peer-to-peer Learning and </w:t>
      </w:r>
      <w:r w:rsidRPr="0045338D">
        <w:rPr>
          <w:rFonts w:ascii="Arial" w:hAnsi="Arial" w:cs="Arial"/>
          <w:sz w:val="18"/>
          <w:szCs w:val="18"/>
        </w:rPr>
        <w:t>Benchmarking</w:t>
      </w:r>
      <w:r>
        <w:rPr>
          <w:rFonts w:ascii="Arial" w:hAnsi="Arial" w:cs="Arial"/>
          <w:sz w:val="18"/>
          <w:szCs w:val="18"/>
        </w:rPr>
        <w:t>. Appraisal Report, October 2009.</w:t>
      </w:r>
    </w:p>
  </w:endnote>
  <w:endnote w:id="41">
    <w:p w:rsidR="003D7611" w:rsidRPr="00E64871" w:rsidRDefault="003D7611" w:rsidP="003660F9">
      <w:pPr>
        <w:pStyle w:val="EndnoteText"/>
        <w:rPr>
          <w:rFonts w:ascii="Arial" w:hAnsi="Arial" w:cs="Arial"/>
          <w:sz w:val="18"/>
          <w:szCs w:val="18"/>
        </w:rPr>
      </w:pPr>
      <w:r>
        <w:rPr>
          <w:rStyle w:val="EndnoteReference"/>
        </w:rPr>
        <w:endnoteRef/>
      </w:r>
      <w:r>
        <w:t xml:space="preserve"> </w:t>
      </w:r>
      <w:r w:rsidRPr="00E64871">
        <w:rPr>
          <w:rFonts w:ascii="Arial" w:hAnsi="Arial" w:cs="Arial"/>
          <w:sz w:val="18"/>
          <w:szCs w:val="18"/>
        </w:rPr>
        <w:t xml:space="preserve">Email communication with Fadel Ndaw, </w:t>
      </w:r>
      <w:r>
        <w:rPr>
          <w:rFonts w:ascii="Arial" w:hAnsi="Arial" w:cs="Arial"/>
          <w:sz w:val="18"/>
          <w:szCs w:val="18"/>
        </w:rPr>
        <w:t xml:space="preserve">Programme Coordinator, WOP-Africa, 12 April 2012. </w:t>
      </w:r>
    </w:p>
  </w:endnote>
  <w:endnote w:id="42">
    <w:p w:rsidR="003D7611" w:rsidRPr="00975B1D" w:rsidRDefault="003D7611" w:rsidP="00324368">
      <w:pPr>
        <w:pStyle w:val="NoSpacing"/>
        <w:jc w:val="both"/>
        <w:rPr>
          <w:rFonts w:ascii="Arial" w:hAnsi="Arial" w:cs="Arial"/>
          <w:sz w:val="18"/>
          <w:szCs w:val="18"/>
        </w:rPr>
      </w:pPr>
      <w:r w:rsidRPr="00740C3A">
        <w:rPr>
          <w:rStyle w:val="EndnoteReference"/>
          <w:rFonts w:ascii="Calibri" w:hAnsi="Calibri" w:cs="Calibri"/>
          <w:sz w:val="20"/>
          <w:szCs w:val="20"/>
        </w:rPr>
        <w:endnoteRef/>
      </w:r>
      <w:r>
        <w:t xml:space="preserve"> </w:t>
      </w:r>
      <w:r w:rsidRPr="0045338D">
        <w:rPr>
          <w:rFonts w:ascii="Arial" w:hAnsi="Arial" w:cs="Arial"/>
          <w:sz w:val="18"/>
          <w:szCs w:val="18"/>
        </w:rPr>
        <w:t xml:space="preserve">African Water </w:t>
      </w:r>
      <w:r>
        <w:rPr>
          <w:rFonts w:ascii="Arial" w:hAnsi="Arial" w:cs="Arial"/>
          <w:sz w:val="18"/>
          <w:szCs w:val="18"/>
        </w:rPr>
        <w:t xml:space="preserve">Facility (2009) </w:t>
      </w:r>
      <w:r w:rsidRPr="0045338D">
        <w:rPr>
          <w:rFonts w:ascii="Arial" w:hAnsi="Arial" w:cs="Arial"/>
          <w:sz w:val="18"/>
          <w:szCs w:val="18"/>
        </w:rPr>
        <w:t>African Water Association (AfWA)</w:t>
      </w:r>
      <w:r>
        <w:rPr>
          <w:rFonts w:ascii="Arial" w:hAnsi="Arial" w:cs="Arial"/>
          <w:sz w:val="18"/>
          <w:szCs w:val="18"/>
        </w:rPr>
        <w:t xml:space="preserve">: </w:t>
      </w:r>
      <w:r w:rsidRPr="0045338D">
        <w:rPr>
          <w:rFonts w:ascii="Arial" w:hAnsi="Arial" w:cs="Arial"/>
          <w:sz w:val="18"/>
          <w:szCs w:val="18"/>
        </w:rPr>
        <w:t>Water Ope</w:t>
      </w:r>
      <w:r>
        <w:rPr>
          <w:rFonts w:ascii="Arial" w:hAnsi="Arial" w:cs="Arial"/>
          <w:sz w:val="18"/>
          <w:szCs w:val="18"/>
        </w:rPr>
        <w:t xml:space="preserve">rators Partnership (WOP) </w:t>
      </w:r>
      <w:smartTag w:uri="urn:schemas-microsoft-com:office:smarttags" w:element="place">
        <w:r>
          <w:rPr>
            <w:rFonts w:ascii="Arial" w:hAnsi="Arial" w:cs="Arial"/>
            <w:sz w:val="18"/>
            <w:szCs w:val="18"/>
          </w:rPr>
          <w:t>Africa</w:t>
        </w:r>
      </w:smartTag>
      <w:r>
        <w:rPr>
          <w:rFonts w:ascii="Arial" w:hAnsi="Arial" w:cs="Arial"/>
          <w:sz w:val="18"/>
          <w:szCs w:val="18"/>
        </w:rPr>
        <w:t xml:space="preserve"> Peer-to-peer Learning and </w:t>
      </w:r>
      <w:r w:rsidRPr="0045338D">
        <w:rPr>
          <w:rFonts w:ascii="Arial" w:hAnsi="Arial" w:cs="Arial"/>
          <w:sz w:val="18"/>
          <w:szCs w:val="18"/>
        </w:rPr>
        <w:t>Benchmarking</w:t>
      </w:r>
      <w:r>
        <w:rPr>
          <w:rFonts w:ascii="Arial" w:hAnsi="Arial" w:cs="Arial"/>
          <w:sz w:val="18"/>
          <w:szCs w:val="18"/>
        </w:rPr>
        <w:t>. Appraisal Report, October 2009.</w:t>
      </w:r>
    </w:p>
  </w:endnote>
  <w:endnote w:id="43">
    <w:p w:rsidR="003D7611" w:rsidRPr="00C55789" w:rsidRDefault="003D7611" w:rsidP="00B72EA8">
      <w:pPr>
        <w:autoSpaceDE w:val="0"/>
        <w:autoSpaceDN w:val="0"/>
        <w:adjustRightInd w:val="0"/>
        <w:jc w:val="both"/>
        <w:rPr>
          <w:rFonts w:ascii="Arial" w:eastAsia="Times New Roman" w:hAnsi="Arial" w:cs="Arial"/>
          <w:bCs/>
          <w:iCs/>
          <w:sz w:val="18"/>
          <w:szCs w:val="18"/>
          <w:lang w:eastAsia="en-GB"/>
        </w:rPr>
      </w:pPr>
      <w:r>
        <w:rPr>
          <w:rStyle w:val="EndnoteReference"/>
        </w:rPr>
        <w:endnoteRef/>
      </w:r>
      <w:r>
        <w:t xml:space="preserve"> </w:t>
      </w:r>
      <w:r w:rsidRPr="00443D7C">
        <w:rPr>
          <w:rFonts w:ascii="Arial" w:hAnsi="Arial" w:cs="Arial"/>
          <w:sz w:val="18"/>
          <w:szCs w:val="18"/>
        </w:rPr>
        <w:t xml:space="preserve">IDB (Inter-American Development Bank) (2010) </w:t>
      </w:r>
      <w:r w:rsidRPr="00443D7C">
        <w:rPr>
          <w:rFonts w:ascii="Arial" w:eastAsia="Times New Roman" w:hAnsi="Arial" w:cs="Arial"/>
          <w:bCs/>
          <w:sz w:val="18"/>
          <w:szCs w:val="18"/>
          <w:lang w:eastAsia="en-GB"/>
        </w:rPr>
        <w:t>Implementation of the 2011-2012 business plan of WOP-LAC</w:t>
      </w:r>
      <w:r>
        <w:rPr>
          <w:rFonts w:ascii="Arial" w:eastAsia="Times New Roman" w:hAnsi="Arial" w:cs="Arial"/>
          <w:bCs/>
          <w:sz w:val="18"/>
          <w:szCs w:val="18"/>
          <w:lang w:eastAsia="en-GB"/>
        </w:rPr>
        <w:t>,</w:t>
      </w:r>
      <w:r w:rsidRPr="00443D7C">
        <w:rPr>
          <w:rFonts w:ascii="Arial" w:eastAsia="Times New Roman" w:hAnsi="Arial" w:cs="Arial"/>
          <w:bCs/>
          <w:sz w:val="18"/>
          <w:szCs w:val="18"/>
          <w:lang w:eastAsia="en-GB"/>
        </w:rPr>
        <w:t xml:space="preserve"> Knowledge and Capacity B</w:t>
      </w:r>
      <w:r>
        <w:rPr>
          <w:rFonts w:ascii="Arial" w:eastAsia="Times New Roman" w:hAnsi="Arial" w:cs="Arial"/>
          <w:bCs/>
          <w:sz w:val="18"/>
          <w:szCs w:val="18"/>
          <w:lang w:eastAsia="en-GB"/>
        </w:rPr>
        <w:t xml:space="preserve">uilding Products (KCP) Proposal, </w:t>
      </w:r>
      <w:r w:rsidRPr="00443D7C">
        <w:rPr>
          <w:rFonts w:ascii="Arial" w:eastAsia="Times New Roman" w:hAnsi="Arial" w:cs="Arial"/>
          <w:bCs/>
          <w:sz w:val="18"/>
          <w:szCs w:val="18"/>
          <w:lang w:eastAsia="en-GB"/>
        </w:rPr>
        <w:t xml:space="preserve">Outreach &amp; Dissemination, IDB Document </w:t>
      </w:r>
      <w:r w:rsidRPr="00443D7C">
        <w:rPr>
          <w:rFonts w:ascii="Arial" w:eastAsia="Times New Roman" w:hAnsi="Arial" w:cs="Arial"/>
          <w:sz w:val="18"/>
          <w:szCs w:val="18"/>
          <w:lang w:eastAsia="en-GB"/>
        </w:rPr>
        <w:t>35441389</w:t>
      </w:r>
      <w:r>
        <w:rPr>
          <w:rFonts w:ascii="Arial" w:eastAsia="Times New Roman" w:hAnsi="Arial" w:cs="Arial"/>
          <w:sz w:val="18"/>
          <w:szCs w:val="18"/>
          <w:lang w:eastAsia="en-GB"/>
        </w:rPr>
        <w:t xml:space="preserve">, </w:t>
      </w:r>
      <w:r w:rsidRPr="00443D7C">
        <w:rPr>
          <w:rFonts w:ascii="Arial" w:eastAsia="Times New Roman" w:hAnsi="Arial" w:cs="Arial"/>
          <w:bCs/>
          <w:sz w:val="18"/>
          <w:szCs w:val="18"/>
          <w:lang w:eastAsia="en-GB"/>
        </w:rPr>
        <w:t>13 October 2010</w:t>
      </w:r>
      <w:r>
        <w:rPr>
          <w:rFonts w:ascii="Arial" w:eastAsia="Times New Roman" w:hAnsi="Arial" w:cs="Arial"/>
          <w:bCs/>
          <w:sz w:val="18"/>
          <w:szCs w:val="18"/>
          <w:lang w:eastAsia="en-GB"/>
        </w:rPr>
        <w:t xml:space="preserve">; </w:t>
      </w:r>
      <w:r w:rsidRPr="00443D7C">
        <w:rPr>
          <w:rFonts w:ascii="Arial" w:hAnsi="Arial" w:cs="Arial"/>
          <w:sz w:val="18"/>
          <w:szCs w:val="18"/>
        </w:rPr>
        <w:t>IDB (Inter-American Development Bank)</w:t>
      </w:r>
      <w:r>
        <w:rPr>
          <w:rFonts w:ascii="Arial" w:hAnsi="Arial" w:cs="Arial"/>
          <w:sz w:val="18"/>
          <w:szCs w:val="18"/>
        </w:rPr>
        <w:t xml:space="preserve"> (2009</w:t>
      </w:r>
      <w:r w:rsidRPr="00443D7C">
        <w:rPr>
          <w:rFonts w:ascii="Arial" w:hAnsi="Arial" w:cs="Arial"/>
          <w:sz w:val="18"/>
          <w:szCs w:val="18"/>
        </w:rPr>
        <w:t>)</w:t>
      </w:r>
      <w:r>
        <w:rPr>
          <w:rFonts w:ascii="Arial" w:hAnsi="Arial" w:cs="Arial"/>
          <w:sz w:val="18"/>
          <w:szCs w:val="18"/>
        </w:rPr>
        <w:t xml:space="preserve"> Water and sanitation initiative: </w:t>
      </w:r>
      <w:r w:rsidRPr="00C55789">
        <w:rPr>
          <w:rFonts w:ascii="Arial" w:eastAsia="Times New Roman" w:hAnsi="Arial" w:cs="Arial"/>
          <w:bCs/>
          <w:iCs/>
          <w:sz w:val="18"/>
          <w:szCs w:val="18"/>
          <w:lang w:eastAsia="en-GB"/>
        </w:rPr>
        <w:t>WOP – Latin America &amp;</w:t>
      </w:r>
    </w:p>
    <w:p w:rsidR="003D7611" w:rsidRPr="00B80D05" w:rsidRDefault="003D7611" w:rsidP="00B72EA8">
      <w:pPr>
        <w:autoSpaceDE w:val="0"/>
        <w:autoSpaceDN w:val="0"/>
        <w:adjustRightInd w:val="0"/>
        <w:jc w:val="both"/>
        <w:rPr>
          <w:rStyle w:val="EndnoteReference"/>
          <w:sz w:val="20"/>
          <w:szCs w:val="20"/>
        </w:rPr>
      </w:pPr>
      <w:r w:rsidRPr="00C55789">
        <w:rPr>
          <w:rFonts w:ascii="Arial" w:eastAsia="Times New Roman" w:hAnsi="Arial" w:cs="Arial"/>
          <w:bCs/>
          <w:iCs/>
          <w:sz w:val="18"/>
          <w:szCs w:val="18"/>
          <w:lang w:eastAsia="en-GB"/>
        </w:rPr>
        <w:t>Caribbean Region</w:t>
      </w:r>
      <w:r>
        <w:rPr>
          <w:rFonts w:ascii="Arial" w:eastAsia="Times New Roman" w:hAnsi="Arial" w:cs="Arial"/>
          <w:bCs/>
          <w:iCs/>
          <w:sz w:val="18"/>
          <w:szCs w:val="18"/>
          <w:lang w:eastAsia="en-GB"/>
        </w:rPr>
        <w:t xml:space="preserve">, presentation at the 2009 Stockholm Water Week (Stockholm, 16-22 August 2009); Parker, C. (2012) </w:t>
      </w:r>
      <w:r w:rsidRPr="00B80D05">
        <w:rPr>
          <w:rFonts w:ascii="Arial" w:eastAsia="Times New Roman" w:hAnsi="Arial" w:cs="Arial"/>
          <w:bCs/>
          <w:sz w:val="18"/>
          <w:szCs w:val="18"/>
          <w:lang w:eastAsia="en-GB"/>
        </w:rPr>
        <w:t>Water Operator Partnerships: Worldwide,</w:t>
      </w:r>
      <w:r>
        <w:rPr>
          <w:rFonts w:ascii="Arial" w:eastAsia="Times New Roman" w:hAnsi="Arial" w:cs="Arial"/>
          <w:bCs/>
          <w:sz w:val="18"/>
          <w:szCs w:val="18"/>
          <w:lang w:eastAsia="en-GB"/>
        </w:rPr>
        <w:t xml:space="preserve"> 26 March 2012,</w:t>
      </w:r>
      <w:r w:rsidRPr="00B80D05">
        <w:rPr>
          <w:rFonts w:ascii="Arial" w:eastAsia="Times New Roman" w:hAnsi="Arial" w:cs="Arial"/>
          <w:bCs/>
          <w:sz w:val="18"/>
          <w:szCs w:val="18"/>
          <w:lang w:eastAsia="en-GB"/>
        </w:rPr>
        <w:t xml:space="preserve"> IWA Water </w:t>
      </w:r>
      <w:r>
        <w:rPr>
          <w:rFonts w:ascii="Arial" w:eastAsia="Times New Roman" w:hAnsi="Arial" w:cs="Arial"/>
          <w:bCs/>
          <w:sz w:val="18"/>
          <w:szCs w:val="18"/>
          <w:lang w:eastAsia="en-GB"/>
        </w:rPr>
        <w:t>Wiki (</w:t>
      </w:r>
      <w:hyperlink r:id="rId6" w:history="1">
        <w:r w:rsidRPr="008E1CA2">
          <w:rPr>
            <w:rStyle w:val="Hyperlink"/>
            <w:rFonts w:ascii="Arial" w:eastAsia="Times New Roman" w:hAnsi="Arial" w:cs="Arial"/>
            <w:bCs/>
            <w:sz w:val="18"/>
            <w:szCs w:val="18"/>
            <w:lang w:eastAsia="en-GB"/>
          </w:rPr>
          <w:t>http://www.iwawaterwiki.org/xwiki/bin/view/Articles/+Worldwide</w:t>
        </w:r>
      </w:hyperlink>
      <w:r>
        <w:rPr>
          <w:rFonts w:ascii="Arial" w:eastAsia="Times New Roman" w:hAnsi="Arial" w:cs="Arial"/>
          <w:bCs/>
          <w:sz w:val="18"/>
          <w:szCs w:val="18"/>
          <w:lang w:eastAsia="en-GB"/>
        </w:rPr>
        <w:t>)</w:t>
      </w:r>
      <w:r w:rsidRPr="00B80D05">
        <w:rPr>
          <w:rFonts w:ascii="Arial" w:eastAsia="Times New Roman" w:hAnsi="Arial" w:cs="Arial"/>
          <w:bCs/>
          <w:sz w:val="18"/>
          <w:szCs w:val="18"/>
          <w:lang w:eastAsia="en-GB"/>
        </w:rPr>
        <w:t>.</w:t>
      </w:r>
      <w:r>
        <w:rPr>
          <w:rFonts w:ascii="Arial" w:eastAsia="Times New Roman" w:hAnsi="Arial" w:cs="Arial"/>
          <w:bCs/>
          <w:sz w:val="18"/>
          <w:szCs w:val="18"/>
          <w:lang w:eastAsia="en-GB"/>
        </w:rPr>
        <w:t xml:space="preserve"> </w:t>
      </w:r>
      <w:r w:rsidRPr="00B80D05">
        <w:rPr>
          <w:rStyle w:val="EndnoteReference"/>
          <w:sz w:val="20"/>
          <w:szCs w:val="20"/>
        </w:rPr>
        <w:t xml:space="preserve"> </w:t>
      </w:r>
    </w:p>
  </w:endnote>
  <w:endnote w:id="44">
    <w:p w:rsidR="003D7611" w:rsidRPr="0084256B" w:rsidRDefault="003D7611" w:rsidP="0085794C">
      <w:pPr>
        <w:autoSpaceDE w:val="0"/>
        <w:autoSpaceDN w:val="0"/>
        <w:adjustRightInd w:val="0"/>
        <w:jc w:val="both"/>
        <w:rPr>
          <w:rStyle w:val="EndnoteReference"/>
          <w:rFonts w:ascii="Arial" w:eastAsia="Times New Roman" w:hAnsi="Arial" w:cs="Arial"/>
          <w:bCs/>
          <w:iCs/>
          <w:sz w:val="18"/>
          <w:szCs w:val="18"/>
          <w:vertAlign w:val="baseline"/>
          <w:lang w:eastAsia="en-GB"/>
        </w:rPr>
      </w:pPr>
      <w:r>
        <w:rPr>
          <w:rStyle w:val="EndnoteReference"/>
        </w:rPr>
        <w:endnoteRef/>
      </w:r>
      <w:r>
        <w:t xml:space="preserve"> </w:t>
      </w:r>
      <w:r>
        <w:rPr>
          <w:rFonts w:ascii="Arial" w:hAnsi="Arial" w:cs="Arial"/>
          <w:sz w:val="18"/>
          <w:szCs w:val="18"/>
        </w:rPr>
        <w:t>E</w:t>
      </w:r>
      <w:r>
        <w:rPr>
          <w:rFonts w:ascii="Arial" w:eastAsia="Times New Roman" w:hAnsi="Arial" w:cs="Arial"/>
          <w:bCs/>
          <w:sz w:val="18"/>
          <w:szCs w:val="18"/>
          <w:lang w:eastAsia="en-GB"/>
        </w:rPr>
        <w:t xml:space="preserve">mail communication with </w:t>
      </w:r>
      <w:r>
        <w:rPr>
          <w:rFonts w:ascii="Arial" w:hAnsi="Arial" w:cs="Arial"/>
          <w:sz w:val="18"/>
          <w:szCs w:val="18"/>
        </w:rPr>
        <w:t>Anne Bousquet, GWOPA, UN-HABITAT, and Corinne Cathala, IDB, 30 May 2012</w:t>
      </w:r>
      <w:r w:rsidRPr="00B80D05">
        <w:rPr>
          <w:rFonts w:ascii="Arial" w:eastAsia="Times New Roman" w:hAnsi="Arial" w:cs="Arial"/>
          <w:bCs/>
          <w:sz w:val="18"/>
          <w:szCs w:val="18"/>
          <w:lang w:eastAsia="en-GB"/>
        </w:rPr>
        <w:t>.</w:t>
      </w:r>
      <w:r w:rsidRPr="00B80D05">
        <w:rPr>
          <w:rStyle w:val="EndnoteReference"/>
          <w:sz w:val="20"/>
          <w:szCs w:val="20"/>
        </w:rPr>
        <w:t xml:space="preserve"> </w:t>
      </w:r>
    </w:p>
  </w:endnote>
  <w:endnote w:id="45">
    <w:p w:rsidR="003D7611" w:rsidRPr="0084256B" w:rsidRDefault="003D7611" w:rsidP="00D119BD">
      <w:pPr>
        <w:autoSpaceDE w:val="0"/>
        <w:autoSpaceDN w:val="0"/>
        <w:adjustRightInd w:val="0"/>
        <w:jc w:val="both"/>
        <w:rPr>
          <w:rStyle w:val="EndnoteReference"/>
          <w:rFonts w:ascii="Arial" w:eastAsia="Times New Roman" w:hAnsi="Arial" w:cs="Arial"/>
          <w:bCs/>
          <w:iCs/>
          <w:sz w:val="18"/>
          <w:szCs w:val="18"/>
          <w:vertAlign w:val="baseline"/>
          <w:lang w:eastAsia="en-GB"/>
        </w:rPr>
      </w:pPr>
      <w:r>
        <w:rPr>
          <w:rStyle w:val="EndnoteReference"/>
        </w:rPr>
        <w:endnoteRef/>
      </w:r>
      <w:r>
        <w:t xml:space="preserve"> </w:t>
      </w:r>
      <w:r>
        <w:rPr>
          <w:rFonts w:ascii="Arial" w:hAnsi="Arial" w:cs="Arial"/>
          <w:sz w:val="18"/>
          <w:szCs w:val="18"/>
        </w:rPr>
        <w:t>E</w:t>
      </w:r>
      <w:r>
        <w:rPr>
          <w:rFonts w:ascii="Arial" w:eastAsia="Times New Roman" w:hAnsi="Arial" w:cs="Arial"/>
          <w:bCs/>
          <w:sz w:val="18"/>
          <w:szCs w:val="18"/>
          <w:lang w:eastAsia="en-GB"/>
        </w:rPr>
        <w:t xml:space="preserve">mail communication with </w:t>
      </w:r>
      <w:r>
        <w:rPr>
          <w:rFonts w:ascii="Arial" w:hAnsi="Arial" w:cs="Arial"/>
          <w:sz w:val="18"/>
          <w:szCs w:val="18"/>
        </w:rPr>
        <w:t>Anne Bousquet, GWOPA, UN-HABITAT, and Corinne Cathala, IDB, 30 May 2012</w:t>
      </w:r>
      <w:r w:rsidRPr="00B80D05">
        <w:rPr>
          <w:rFonts w:ascii="Arial" w:eastAsia="Times New Roman" w:hAnsi="Arial" w:cs="Arial"/>
          <w:bCs/>
          <w:sz w:val="18"/>
          <w:szCs w:val="18"/>
          <w:lang w:eastAsia="en-GB"/>
        </w:rPr>
        <w:t>.</w:t>
      </w:r>
      <w:r w:rsidRPr="00B80D05">
        <w:rPr>
          <w:rStyle w:val="EndnoteReference"/>
          <w:sz w:val="20"/>
          <w:szCs w:val="20"/>
        </w:rPr>
        <w:t xml:space="preserve"> </w:t>
      </w:r>
    </w:p>
  </w:endnote>
  <w:endnote w:id="46">
    <w:p w:rsidR="003D7611" w:rsidRPr="0084256B" w:rsidRDefault="003D7611" w:rsidP="00D119BD">
      <w:pPr>
        <w:autoSpaceDE w:val="0"/>
        <w:autoSpaceDN w:val="0"/>
        <w:adjustRightInd w:val="0"/>
        <w:jc w:val="both"/>
        <w:rPr>
          <w:rStyle w:val="EndnoteReference"/>
          <w:rFonts w:ascii="Arial" w:eastAsia="Times New Roman" w:hAnsi="Arial" w:cs="Arial"/>
          <w:bCs/>
          <w:iCs/>
          <w:sz w:val="18"/>
          <w:szCs w:val="18"/>
          <w:vertAlign w:val="baseline"/>
          <w:lang w:eastAsia="en-GB"/>
        </w:rPr>
      </w:pPr>
      <w:r>
        <w:rPr>
          <w:rStyle w:val="EndnoteReference"/>
        </w:rPr>
        <w:endnoteRef/>
      </w:r>
      <w:r>
        <w:t xml:space="preserve"> </w:t>
      </w:r>
      <w:r w:rsidRPr="005B355C">
        <w:rPr>
          <w:rFonts w:ascii="Arial" w:hAnsi="Arial" w:cs="Arial"/>
          <w:sz w:val="18"/>
          <w:szCs w:val="18"/>
        </w:rPr>
        <w:t>Author’s estimate, based on the</w:t>
      </w:r>
      <w:r>
        <w:t xml:space="preserve"> </w:t>
      </w:r>
      <w:r>
        <w:rPr>
          <w:rFonts w:ascii="Arial" w:hAnsi="Arial" w:cs="Arial"/>
          <w:sz w:val="18"/>
          <w:szCs w:val="18"/>
        </w:rPr>
        <w:t>exchange rate US$1 = €</w:t>
      </w:r>
      <w:r w:rsidRPr="006B591D">
        <w:rPr>
          <w:rFonts w:ascii="Arial" w:hAnsi="Arial" w:cs="Arial"/>
          <w:sz w:val="18"/>
          <w:szCs w:val="18"/>
        </w:rPr>
        <w:t>0.794665</w:t>
      </w:r>
      <w:r>
        <w:rPr>
          <w:rFonts w:ascii="Arial" w:hAnsi="Arial" w:cs="Arial"/>
          <w:sz w:val="18"/>
          <w:szCs w:val="18"/>
        </w:rPr>
        <w:t>, 2 July 2012</w:t>
      </w:r>
      <w:r w:rsidRPr="00B80D05">
        <w:rPr>
          <w:rFonts w:ascii="Arial" w:eastAsia="Times New Roman" w:hAnsi="Arial" w:cs="Arial"/>
          <w:bCs/>
          <w:sz w:val="18"/>
          <w:szCs w:val="18"/>
          <w:lang w:eastAsia="en-GB"/>
        </w:rPr>
        <w:t>.</w:t>
      </w:r>
      <w:r w:rsidRPr="00B80D05">
        <w:rPr>
          <w:rStyle w:val="EndnoteReference"/>
          <w:sz w:val="20"/>
          <w:szCs w:val="20"/>
        </w:rPr>
        <w:t xml:space="preserve"> </w:t>
      </w:r>
    </w:p>
  </w:endnote>
  <w:endnote w:id="47">
    <w:p w:rsidR="003D7611" w:rsidRPr="0084256B" w:rsidRDefault="003D7611" w:rsidP="00B72EA8">
      <w:pPr>
        <w:autoSpaceDE w:val="0"/>
        <w:autoSpaceDN w:val="0"/>
        <w:adjustRightInd w:val="0"/>
        <w:jc w:val="both"/>
        <w:rPr>
          <w:rStyle w:val="EndnoteReference"/>
          <w:rFonts w:ascii="Arial" w:eastAsia="Times New Roman" w:hAnsi="Arial" w:cs="Arial"/>
          <w:bCs/>
          <w:iCs/>
          <w:sz w:val="18"/>
          <w:szCs w:val="18"/>
          <w:vertAlign w:val="baseline"/>
          <w:lang w:eastAsia="en-GB"/>
        </w:rPr>
      </w:pPr>
      <w:r>
        <w:rPr>
          <w:rStyle w:val="EndnoteReference"/>
        </w:rPr>
        <w:endnoteRef/>
      </w:r>
      <w:r>
        <w:t xml:space="preserve"> </w:t>
      </w:r>
      <w:r w:rsidRPr="00443D7C">
        <w:rPr>
          <w:rFonts w:ascii="Arial" w:hAnsi="Arial" w:cs="Arial"/>
          <w:sz w:val="18"/>
          <w:szCs w:val="18"/>
        </w:rPr>
        <w:t>IDB (Inter-American Development Bank)</w:t>
      </w:r>
      <w:r>
        <w:rPr>
          <w:rFonts w:ascii="Arial" w:hAnsi="Arial" w:cs="Arial"/>
          <w:sz w:val="18"/>
          <w:szCs w:val="18"/>
        </w:rPr>
        <w:t xml:space="preserve"> (2009</w:t>
      </w:r>
      <w:r w:rsidRPr="00443D7C">
        <w:rPr>
          <w:rFonts w:ascii="Arial" w:hAnsi="Arial" w:cs="Arial"/>
          <w:sz w:val="18"/>
          <w:szCs w:val="18"/>
        </w:rPr>
        <w:t>)</w:t>
      </w:r>
      <w:r>
        <w:rPr>
          <w:rFonts w:ascii="Arial" w:hAnsi="Arial" w:cs="Arial"/>
          <w:sz w:val="18"/>
          <w:szCs w:val="18"/>
        </w:rPr>
        <w:t xml:space="preserve"> Water and sanitation initiative: </w:t>
      </w:r>
      <w:r w:rsidRPr="00C55789">
        <w:rPr>
          <w:rFonts w:ascii="Arial" w:eastAsia="Times New Roman" w:hAnsi="Arial" w:cs="Arial"/>
          <w:bCs/>
          <w:iCs/>
          <w:sz w:val="18"/>
          <w:szCs w:val="18"/>
          <w:lang w:eastAsia="en-GB"/>
        </w:rPr>
        <w:t>WOP – Latin America &amp;</w:t>
      </w:r>
      <w:r>
        <w:rPr>
          <w:rFonts w:ascii="Arial" w:eastAsia="Times New Roman" w:hAnsi="Arial" w:cs="Arial"/>
          <w:bCs/>
          <w:iCs/>
          <w:sz w:val="18"/>
          <w:szCs w:val="18"/>
          <w:lang w:eastAsia="en-GB"/>
        </w:rPr>
        <w:t xml:space="preserve"> </w:t>
      </w:r>
      <w:r w:rsidRPr="00C55789">
        <w:rPr>
          <w:rFonts w:ascii="Arial" w:eastAsia="Times New Roman" w:hAnsi="Arial" w:cs="Arial"/>
          <w:bCs/>
          <w:iCs/>
          <w:sz w:val="18"/>
          <w:szCs w:val="18"/>
          <w:lang w:eastAsia="en-GB"/>
        </w:rPr>
        <w:t>Caribbean Region</w:t>
      </w:r>
      <w:r>
        <w:rPr>
          <w:rFonts w:ascii="Arial" w:eastAsia="Times New Roman" w:hAnsi="Arial" w:cs="Arial"/>
          <w:bCs/>
          <w:iCs/>
          <w:sz w:val="18"/>
          <w:szCs w:val="18"/>
          <w:lang w:eastAsia="en-GB"/>
        </w:rPr>
        <w:t xml:space="preserve">, presentation at the 2009 Stockholm Water Week (Stockholm, 16-22 August 2009); </w:t>
      </w:r>
      <w:r w:rsidRPr="00443D7C">
        <w:rPr>
          <w:rFonts w:ascii="Arial" w:hAnsi="Arial" w:cs="Arial"/>
          <w:sz w:val="18"/>
          <w:szCs w:val="18"/>
        </w:rPr>
        <w:t xml:space="preserve">IDB (Inter-American Development Bank) (2010) </w:t>
      </w:r>
      <w:r w:rsidRPr="00443D7C">
        <w:rPr>
          <w:rFonts w:ascii="Arial" w:eastAsia="Times New Roman" w:hAnsi="Arial" w:cs="Arial"/>
          <w:bCs/>
          <w:sz w:val="18"/>
          <w:szCs w:val="18"/>
          <w:lang w:eastAsia="en-GB"/>
        </w:rPr>
        <w:t>Implementation of the 2011-2012 business plan of WOP-LAC</w:t>
      </w:r>
      <w:r>
        <w:rPr>
          <w:rFonts w:ascii="Arial" w:eastAsia="Times New Roman" w:hAnsi="Arial" w:cs="Arial"/>
          <w:bCs/>
          <w:sz w:val="18"/>
          <w:szCs w:val="18"/>
          <w:lang w:eastAsia="en-GB"/>
        </w:rPr>
        <w:t>,</w:t>
      </w:r>
      <w:r w:rsidRPr="00443D7C">
        <w:rPr>
          <w:rFonts w:ascii="Arial" w:eastAsia="Times New Roman" w:hAnsi="Arial" w:cs="Arial"/>
          <w:bCs/>
          <w:sz w:val="18"/>
          <w:szCs w:val="18"/>
          <w:lang w:eastAsia="en-GB"/>
        </w:rPr>
        <w:t xml:space="preserve"> Knowledge and Capacity B</w:t>
      </w:r>
      <w:r>
        <w:rPr>
          <w:rFonts w:ascii="Arial" w:eastAsia="Times New Roman" w:hAnsi="Arial" w:cs="Arial"/>
          <w:bCs/>
          <w:sz w:val="18"/>
          <w:szCs w:val="18"/>
          <w:lang w:eastAsia="en-GB"/>
        </w:rPr>
        <w:t xml:space="preserve">uilding Products (KCP) Proposal, </w:t>
      </w:r>
      <w:r w:rsidRPr="00443D7C">
        <w:rPr>
          <w:rFonts w:ascii="Arial" w:eastAsia="Times New Roman" w:hAnsi="Arial" w:cs="Arial"/>
          <w:bCs/>
          <w:sz w:val="18"/>
          <w:szCs w:val="18"/>
          <w:lang w:eastAsia="en-GB"/>
        </w:rPr>
        <w:t xml:space="preserve">Outreach &amp; Dissemination, IDB Document </w:t>
      </w:r>
      <w:r w:rsidRPr="00443D7C">
        <w:rPr>
          <w:rFonts w:ascii="Arial" w:eastAsia="Times New Roman" w:hAnsi="Arial" w:cs="Arial"/>
          <w:sz w:val="18"/>
          <w:szCs w:val="18"/>
          <w:lang w:eastAsia="en-GB"/>
        </w:rPr>
        <w:t>35441389</w:t>
      </w:r>
      <w:r>
        <w:rPr>
          <w:rFonts w:ascii="Arial" w:eastAsia="Times New Roman" w:hAnsi="Arial" w:cs="Arial"/>
          <w:sz w:val="18"/>
          <w:szCs w:val="18"/>
          <w:lang w:eastAsia="en-GB"/>
        </w:rPr>
        <w:t xml:space="preserve">, </w:t>
      </w:r>
      <w:r w:rsidRPr="00443D7C">
        <w:rPr>
          <w:rFonts w:ascii="Arial" w:eastAsia="Times New Roman" w:hAnsi="Arial" w:cs="Arial"/>
          <w:bCs/>
          <w:sz w:val="18"/>
          <w:szCs w:val="18"/>
          <w:lang w:eastAsia="en-GB"/>
        </w:rPr>
        <w:t>13 October 2010</w:t>
      </w:r>
      <w:r>
        <w:rPr>
          <w:rFonts w:ascii="Arial" w:eastAsia="Times New Roman" w:hAnsi="Arial" w:cs="Arial"/>
          <w:bCs/>
          <w:sz w:val="18"/>
          <w:szCs w:val="18"/>
          <w:lang w:eastAsia="en-GB"/>
        </w:rPr>
        <w:t xml:space="preserve">; email communication with </w:t>
      </w:r>
      <w:r>
        <w:rPr>
          <w:rFonts w:ascii="Arial" w:hAnsi="Arial" w:cs="Arial"/>
          <w:sz w:val="18"/>
          <w:szCs w:val="18"/>
        </w:rPr>
        <w:t>Anne Bousquet, GWOPA, UN-HABITAT, and Corinne Cathala, IDB, 30 May 2012</w:t>
      </w:r>
      <w:r w:rsidRPr="00B80D05">
        <w:rPr>
          <w:rFonts w:ascii="Arial" w:eastAsia="Times New Roman" w:hAnsi="Arial" w:cs="Arial"/>
          <w:bCs/>
          <w:sz w:val="18"/>
          <w:szCs w:val="18"/>
          <w:lang w:eastAsia="en-GB"/>
        </w:rPr>
        <w:t>.</w:t>
      </w:r>
      <w:r w:rsidRPr="00B80D05">
        <w:rPr>
          <w:rStyle w:val="EndnoteReference"/>
          <w:sz w:val="20"/>
          <w:szCs w:val="20"/>
        </w:rPr>
        <w:t xml:space="preserve"> </w:t>
      </w:r>
    </w:p>
  </w:endnote>
  <w:endnote w:id="48">
    <w:p w:rsidR="003D7611" w:rsidRPr="00C55789" w:rsidRDefault="003D7611" w:rsidP="00233B53">
      <w:pPr>
        <w:autoSpaceDE w:val="0"/>
        <w:autoSpaceDN w:val="0"/>
        <w:adjustRightInd w:val="0"/>
        <w:jc w:val="both"/>
        <w:rPr>
          <w:rFonts w:ascii="Arial" w:eastAsia="Times New Roman" w:hAnsi="Arial" w:cs="Arial"/>
          <w:bCs/>
          <w:iCs/>
          <w:sz w:val="18"/>
          <w:szCs w:val="18"/>
          <w:lang w:eastAsia="en-GB"/>
        </w:rPr>
      </w:pPr>
      <w:r>
        <w:rPr>
          <w:rStyle w:val="EndnoteReference"/>
        </w:rPr>
        <w:endnoteRef/>
      </w:r>
      <w:r>
        <w:t xml:space="preserve"> </w:t>
      </w:r>
      <w:r w:rsidRPr="00443D7C">
        <w:rPr>
          <w:rFonts w:ascii="Arial" w:hAnsi="Arial" w:cs="Arial"/>
          <w:sz w:val="18"/>
          <w:szCs w:val="18"/>
        </w:rPr>
        <w:t xml:space="preserve">IDB (Inter-American Development Bank) (2010) </w:t>
      </w:r>
      <w:r w:rsidRPr="00443D7C">
        <w:rPr>
          <w:rFonts w:ascii="Arial" w:eastAsia="Times New Roman" w:hAnsi="Arial" w:cs="Arial"/>
          <w:bCs/>
          <w:sz w:val="18"/>
          <w:szCs w:val="18"/>
          <w:lang w:eastAsia="en-GB"/>
        </w:rPr>
        <w:t>Implementation of the 2011-2012 business plan of WOP-LAC</w:t>
      </w:r>
      <w:r>
        <w:rPr>
          <w:rFonts w:ascii="Arial" w:eastAsia="Times New Roman" w:hAnsi="Arial" w:cs="Arial"/>
          <w:bCs/>
          <w:sz w:val="18"/>
          <w:szCs w:val="18"/>
          <w:lang w:eastAsia="en-GB"/>
        </w:rPr>
        <w:t>,</w:t>
      </w:r>
      <w:r w:rsidRPr="00443D7C">
        <w:rPr>
          <w:rFonts w:ascii="Arial" w:eastAsia="Times New Roman" w:hAnsi="Arial" w:cs="Arial"/>
          <w:bCs/>
          <w:sz w:val="18"/>
          <w:szCs w:val="18"/>
          <w:lang w:eastAsia="en-GB"/>
        </w:rPr>
        <w:t xml:space="preserve"> Knowledge and Capacity B</w:t>
      </w:r>
      <w:r>
        <w:rPr>
          <w:rFonts w:ascii="Arial" w:eastAsia="Times New Roman" w:hAnsi="Arial" w:cs="Arial"/>
          <w:bCs/>
          <w:sz w:val="18"/>
          <w:szCs w:val="18"/>
          <w:lang w:eastAsia="en-GB"/>
        </w:rPr>
        <w:t xml:space="preserve">uilding Products (KCP) Proposal, </w:t>
      </w:r>
      <w:r w:rsidRPr="00443D7C">
        <w:rPr>
          <w:rFonts w:ascii="Arial" w:eastAsia="Times New Roman" w:hAnsi="Arial" w:cs="Arial"/>
          <w:bCs/>
          <w:sz w:val="18"/>
          <w:szCs w:val="18"/>
          <w:lang w:eastAsia="en-GB"/>
        </w:rPr>
        <w:t xml:space="preserve">Outreach &amp; Dissemination, IDB Document </w:t>
      </w:r>
      <w:r w:rsidRPr="00443D7C">
        <w:rPr>
          <w:rFonts w:ascii="Arial" w:eastAsia="Times New Roman" w:hAnsi="Arial" w:cs="Arial"/>
          <w:sz w:val="18"/>
          <w:szCs w:val="18"/>
          <w:lang w:eastAsia="en-GB"/>
        </w:rPr>
        <w:t>35441389</w:t>
      </w:r>
      <w:r>
        <w:rPr>
          <w:rFonts w:ascii="Arial" w:eastAsia="Times New Roman" w:hAnsi="Arial" w:cs="Arial"/>
          <w:sz w:val="18"/>
          <w:szCs w:val="18"/>
          <w:lang w:eastAsia="en-GB"/>
        </w:rPr>
        <w:t xml:space="preserve">, </w:t>
      </w:r>
      <w:r w:rsidRPr="00443D7C">
        <w:rPr>
          <w:rFonts w:ascii="Arial" w:eastAsia="Times New Roman" w:hAnsi="Arial" w:cs="Arial"/>
          <w:bCs/>
          <w:sz w:val="18"/>
          <w:szCs w:val="18"/>
          <w:lang w:eastAsia="en-GB"/>
        </w:rPr>
        <w:t>13 October 2010</w:t>
      </w:r>
      <w:r>
        <w:rPr>
          <w:rFonts w:ascii="Arial" w:eastAsia="Times New Roman" w:hAnsi="Arial" w:cs="Arial"/>
          <w:bCs/>
          <w:sz w:val="18"/>
          <w:szCs w:val="18"/>
          <w:lang w:eastAsia="en-GB"/>
        </w:rPr>
        <w:t xml:space="preserve">; </w:t>
      </w:r>
      <w:r w:rsidRPr="00443D7C">
        <w:rPr>
          <w:rFonts w:ascii="Arial" w:hAnsi="Arial" w:cs="Arial"/>
          <w:sz w:val="18"/>
          <w:szCs w:val="18"/>
        </w:rPr>
        <w:t>IDB (Inter-American Development Bank)</w:t>
      </w:r>
      <w:r>
        <w:rPr>
          <w:rFonts w:ascii="Arial" w:hAnsi="Arial" w:cs="Arial"/>
          <w:sz w:val="18"/>
          <w:szCs w:val="18"/>
        </w:rPr>
        <w:t xml:space="preserve"> (2009</w:t>
      </w:r>
      <w:r w:rsidRPr="00443D7C">
        <w:rPr>
          <w:rFonts w:ascii="Arial" w:hAnsi="Arial" w:cs="Arial"/>
          <w:sz w:val="18"/>
          <w:szCs w:val="18"/>
        </w:rPr>
        <w:t>)</w:t>
      </w:r>
      <w:r>
        <w:rPr>
          <w:rFonts w:ascii="Arial" w:hAnsi="Arial" w:cs="Arial"/>
          <w:sz w:val="18"/>
          <w:szCs w:val="18"/>
        </w:rPr>
        <w:t xml:space="preserve"> Water and sanitation initiative: </w:t>
      </w:r>
      <w:r w:rsidRPr="00C55789">
        <w:rPr>
          <w:rFonts w:ascii="Arial" w:eastAsia="Times New Roman" w:hAnsi="Arial" w:cs="Arial"/>
          <w:bCs/>
          <w:iCs/>
          <w:sz w:val="18"/>
          <w:szCs w:val="18"/>
          <w:lang w:eastAsia="en-GB"/>
        </w:rPr>
        <w:t>WOP – Latin America &amp;</w:t>
      </w:r>
    </w:p>
    <w:p w:rsidR="003D7611" w:rsidRPr="00B80D05" w:rsidRDefault="003D7611" w:rsidP="00233B53">
      <w:pPr>
        <w:autoSpaceDE w:val="0"/>
        <w:autoSpaceDN w:val="0"/>
        <w:adjustRightInd w:val="0"/>
        <w:jc w:val="both"/>
        <w:rPr>
          <w:rStyle w:val="EndnoteReference"/>
          <w:sz w:val="20"/>
          <w:szCs w:val="20"/>
        </w:rPr>
      </w:pPr>
      <w:r w:rsidRPr="00C55789">
        <w:rPr>
          <w:rFonts w:ascii="Arial" w:eastAsia="Times New Roman" w:hAnsi="Arial" w:cs="Arial"/>
          <w:bCs/>
          <w:iCs/>
          <w:sz w:val="18"/>
          <w:szCs w:val="18"/>
          <w:lang w:eastAsia="en-GB"/>
        </w:rPr>
        <w:t>Caribbean Region</w:t>
      </w:r>
      <w:r>
        <w:rPr>
          <w:rFonts w:ascii="Arial" w:eastAsia="Times New Roman" w:hAnsi="Arial" w:cs="Arial"/>
          <w:bCs/>
          <w:iCs/>
          <w:sz w:val="18"/>
          <w:szCs w:val="18"/>
          <w:lang w:eastAsia="en-GB"/>
        </w:rPr>
        <w:t xml:space="preserve">, presentation at the 2009 Stockholm Water Week (Stockholm, 16-22 August 2009); Parker, C. (2012) </w:t>
      </w:r>
      <w:r w:rsidRPr="00B80D05">
        <w:rPr>
          <w:rFonts w:ascii="Arial" w:eastAsia="Times New Roman" w:hAnsi="Arial" w:cs="Arial"/>
          <w:bCs/>
          <w:sz w:val="18"/>
          <w:szCs w:val="18"/>
          <w:lang w:eastAsia="en-GB"/>
        </w:rPr>
        <w:t>Water Operator Partnerships: Worldwide,</w:t>
      </w:r>
      <w:r>
        <w:rPr>
          <w:rFonts w:ascii="Arial" w:eastAsia="Times New Roman" w:hAnsi="Arial" w:cs="Arial"/>
          <w:bCs/>
          <w:sz w:val="18"/>
          <w:szCs w:val="18"/>
          <w:lang w:eastAsia="en-GB"/>
        </w:rPr>
        <w:t xml:space="preserve"> 26 March 2012,</w:t>
      </w:r>
      <w:r w:rsidRPr="00B80D05">
        <w:rPr>
          <w:rFonts w:ascii="Arial" w:eastAsia="Times New Roman" w:hAnsi="Arial" w:cs="Arial"/>
          <w:bCs/>
          <w:sz w:val="18"/>
          <w:szCs w:val="18"/>
          <w:lang w:eastAsia="en-GB"/>
        </w:rPr>
        <w:t xml:space="preserve"> IWA Water </w:t>
      </w:r>
      <w:r>
        <w:rPr>
          <w:rFonts w:ascii="Arial" w:eastAsia="Times New Roman" w:hAnsi="Arial" w:cs="Arial"/>
          <w:bCs/>
          <w:sz w:val="18"/>
          <w:szCs w:val="18"/>
          <w:lang w:eastAsia="en-GB"/>
        </w:rPr>
        <w:t>Wiki (</w:t>
      </w:r>
      <w:hyperlink r:id="rId7" w:history="1">
        <w:r w:rsidRPr="008E1CA2">
          <w:rPr>
            <w:rStyle w:val="Hyperlink"/>
            <w:rFonts w:ascii="Arial" w:eastAsia="Times New Roman" w:hAnsi="Arial" w:cs="Arial"/>
            <w:bCs/>
            <w:sz w:val="18"/>
            <w:szCs w:val="18"/>
            <w:lang w:eastAsia="en-GB"/>
          </w:rPr>
          <w:t>http://www.iwawaterwiki.org/xwiki/bin/view/Articles/+Worldwide</w:t>
        </w:r>
      </w:hyperlink>
      <w:r>
        <w:rPr>
          <w:rFonts w:ascii="Arial" w:eastAsia="Times New Roman" w:hAnsi="Arial" w:cs="Arial"/>
          <w:bCs/>
          <w:sz w:val="18"/>
          <w:szCs w:val="18"/>
          <w:lang w:eastAsia="en-GB"/>
        </w:rPr>
        <w:t>)</w:t>
      </w:r>
      <w:r w:rsidRPr="00B80D05">
        <w:rPr>
          <w:rFonts w:ascii="Arial" w:eastAsia="Times New Roman" w:hAnsi="Arial" w:cs="Arial"/>
          <w:bCs/>
          <w:sz w:val="18"/>
          <w:szCs w:val="18"/>
          <w:lang w:eastAsia="en-GB"/>
        </w:rPr>
        <w:t>.</w:t>
      </w:r>
      <w:r>
        <w:rPr>
          <w:rFonts w:ascii="Arial" w:eastAsia="Times New Roman" w:hAnsi="Arial" w:cs="Arial"/>
          <w:bCs/>
          <w:sz w:val="18"/>
          <w:szCs w:val="18"/>
          <w:lang w:eastAsia="en-GB"/>
        </w:rPr>
        <w:t xml:space="preserve"> </w:t>
      </w:r>
      <w:r w:rsidRPr="00B80D05">
        <w:rPr>
          <w:rStyle w:val="EndnoteReference"/>
          <w:sz w:val="20"/>
          <w:szCs w:val="20"/>
        </w:rPr>
        <w:t xml:space="preserve"> </w:t>
      </w:r>
    </w:p>
  </w:endnote>
  <w:endnote w:id="49">
    <w:p w:rsidR="003D7611" w:rsidRPr="0084256B" w:rsidRDefault="003D7611" w:rsidP="005A3C1E">
      <w:pPr>
        <w:autoSpaceDE w:val="0"/>
        <w:autoSpaceDN w:val="0"/>
        <w:adjustRightInd w:val="0"/>
        <w:jc w:val="both"/>
        <w:rPr>
          <w:rStyle w:val="EndnoteReference"/>
          <w:rFonts w:ascii="Arial" w:eastAsia="Times New Roman" w:hAnsi="Arial" w:cs="Arial"/>
          <w:bCs/>
          <w:iCs/>
          <w:sz w:val="18"/>
          <w:szCs w:val="18"/>
          <w:vertAlign w:val="baseline"/>
          <w:lang w:eastAsia="en-GB"/>
        </w:rPr>
      </w:pPr>
      <w:r>
        <w:rPr>
          <w:rStyle w:val="EndnoteReference"/>
        </w:rPr>
        <w:endnoteRef/>
      </w:r>
      <w:r>
        <w:t xml:space="preserve"> </w:t>
      </w:r>
      <w:r>
        <w:rPr>
          <w:rFonts w:ascii="Arial" w:hAnsi="Arial" w:cs="Arial"/>
          <w:sz w:val="18"/>
          <w:szCs w:val="18"/>
        </w:rPr>
        <w:t>E</w:t>
      </w:r>
      <w:r>
        <w:rPr>
          <w:rFonts w:ascii="Arial" w:eastAsia="Times New Roman" w:hAnsi="Arial" w:cs="Arial"/>
          <w:bCs/>
          <w:sz w:val="18"/>
          <w:szCs w:val="18"/>
          <w:lang w:eastAsia="en-GB"/>
        </w:rPr>
        <w:t xml:space="preserve">mail communication with </w:t>
      </w:r>
      <w:r>
        <w:rPr>
          <w:rFonts w:ascii="Arial" w:hAnsi="Arial" w:cs="Arial"/>
          <w:sz w:val="18"/>
          <w:szCs w:val="18"/>
        </w:rPr>
        <w:t>Anne Bousquet, GWOPA, UN-HABITAT, and Corinne Cathala, IDB, 30 May 2012</w:t>
      </w:r>
      <w:r w:rsidRPr="00B80D05">
        <w:rPr>
          <w:rFonts w:ascii="Arial" w:eastAsia="Times New Roman" w:hAnsi="Arial" w:cs="Arial"/>
          <w:bCs/>
          <w:sz w:val="18"/>
          <w:szCs w:val="18"/>
          <w:lang w:eastAsia="en-GB"/>
        </w:rPr>
        <w:t>.</w:t>
      </w:r>
      <w:r w:rsidRPr="00B80D05">
        <w:rPr>
          <w:rStyle w:val="EndnoteReference"/>
          <w:sz w:val="20"/>
          <w:szCs w:val="20"/>
        </w:rPr>
        <w:t xml:space="preserve"> </w:t>
      </w:r>
    </w:p>
  </w:endnote>
  <w:endnote w:id="50">
    <w:p w:rsidR="003D7611" w:rsidRPr="005A3C1E" w:rsidRDefault="003D7611" w:rsidP="00C81ACF">
      <w:pPr>
        <w:pStyle w:val="EndnoteText"/>
      </w:pPr>
      <w:r>
        <w:rPr>
          <w:rStyle w:val="EndnoteReference"/>
        </w:rPr>
        <w:endnoteRef/>
      </w:r>
      <w:r w:rsidRPr="005A3C1E">
        <w:t xml:space="preserve"> </w:t>
      </w:r>
      <w:r w:rsidRPr="005A3C1E">
        <w:rPr>
          <w:rFonts w:ascii="Arial" w:hAnsi="Arial" w:cs="Arial"/>
          <w:sz w:val="18"/>
          <w:szCs w:val="18"/>
        </w:rPr>
        <w:t xml:space="preserve">Source: </w:t>
      </w:r>
      <w:hyperlink r:id="rId8" w:history="1">
        <w:r w:rsidRPr="005A3C1E">
          <w:rPr>
            <w:rStyle w:val="Hyperlink"/>
            <w:rFonts w:ascii="Arial" w:hAnsi="Arial" w:cs="Arial"/>
            <w:sz w:val="18"/>
            <w:szCs w:val="18"/>
          </w:rPr>
          <w:t>http://www.waterlinks.org/who-we-are</w:t>
        </w:r>
      </w:hyperlink>
      <w:r w:rsidRPr="005A3C1E">
        <w:rPr>
          <w:rFonts w:ascii="Arial" w:hAnsi="Arial" w:cs="Arial"/>
          <w:sz w:val="18"/>
          <w:szCs w:val="18"/>
        </w:rPr>
        <w:t xml:space="preserve">. </w:t>
      </w:r>
    </w:p>
  </w:endnote>
  <w:endnote w:id="51">
    <w:p w:rsidR="003D7611" w:rsidRPr="00850D5D" w:rsidRDefault="003D7611" w:rsidP="00850D5D">
      <w:pPr>
        <w:rPr>
          <w:rFonts w:ascii="Arial" w:hAnsi="Arial" w:cs="Arial"/>
          <w:sz w:val="18"/>
          <w:szCs w:val="18"/>
          <w:lang w:val="fr-FR"/>
        </w:rPr>
      </w:pPr>
      <w:r>
        <w:rPr>
          <w:rStyle w:val="EndnoteReference"/>
        </w:rPr>
        <w:endnoteRef/>
      </w:r>
      <w:r w:rsidRPr="00850D5D">
        <w:rPr>
          <w:lang w:val="fr-FR"/>
        </w:rPr>
        <w:t xml:space="preserve"> </w:t>
      </w:r>
      <w:r w:rsidRPr="00850D5D">
        <w:rPr>
          <w:rFonts w:ascii="Arial" w:hAnsi="Arial" w:cs="Arial"/>
          <w:sz w:val="18"/>
          <w:szCs w:val="18"/>
          <w:lang w:val="fr-FR"/>
        </w:rPr>
        <w:t xml:space="preserve">Source : </w:t>
      </w:r>
      <w:hyperlink r:id="rId9" w:history="1">
        <w:r w:rsidRPr="00850D5D">
          <w:rPr>
            <w:rStyle w:val="Hyperlink"/>
            <w:rFonts w:ascii="Arial" w:hAnsi="Arial" w:cs="Arial"/>
            <w:sz w:val="18"/>
            <w:szCs w:val="18"/>
            <w:lang w:val="fr-FR"/>
          </w:rPr>
          <w:t>http://www.waterlinks.org/what-we-do</w:t>
        </w:r>
      </w:hyperlink>
      <w:r w:rsidRPr="00850D5D">
        <w:rPr>
          <w:rFonts w:ascii="Arial" w:hAnsi="Arial" w:cs="Arial"/>
          <w:sz w:val="18"/>
          <w:szCs w:val="18"/>
          <w:lang w:val="fr-FR"/>
        </w:rPr>
        <w:t>.</w:t>
      </w:r>
      <w:r>
        <w:rPr>
          <w:rFonts w:ascii="Arial" w:hAnsi="Arial" w:cs="Arial"/>
          <w:sz w:val="18"/>
          <w:szCs w:val="18"/>
          <w:lang w:val="fr-FR"/>
        </w:rPr>
        <w:t xml:space="preserve"> </w:t>
      </w:r>
    </w:p>
  </w:endnote>
  <w:endnote w:id="52">
    <w:p w:rsidR="003D7611" w:rsidRPr="00850D5D" w:rsidRDefault="003D7611" w:rsidP="009C20BE">
      <w:pPr>
        <w:rPr>
          <w:rFonts w:ascii="Arial" w:hAnsi="Arial" w:cs="Arial"/>
          <w:sz w:val="18"/>
          <w:szCs w:val="18"/>
          <w:lang w:val="fr-FR"/>
        </w:rPr>
      </w:pPr>
      <w:r>
        <w:rPr>
          <w:rStyle w:val="EndnoteReference"/>
        </w:rPr>
        <w:endnoteRef/>
      </w:r>
      <w:r w:rsidRPr="00850D5D">
        <w:rPr>
          <w:lang w:val="fr-FR"/>
        </w:rPr>
        <w:t xml:space="preserve"> </w:t>
      </w:r>
      <w:r w:rsidRPr="00850D5D">
        <w:rPr>
          <w:rFonts w:ascii="Arial" w:hAnsi="Arial" w:cs="Arial"/>
          <w:sz w:val="18"/>
          <w:szCs w:val="18"/>
          <w:lang w:val="fr-FR"/>
        </w:rPr>
        <w:t xml:space="preserve">Source : </w:t>
      </w:r>
      <w:hyperlink r:id="rId10" w:history="1">
        <w:r w:rsidRPr="00850D5D">
          <w:rPr>
            <w:rStyle w:val="Hyperlink"/>
            <w:rFonts w:ascii="Arial" w:hAnsi="Arial" w:cs="Arial"/>
            <w:sz w:val="18"/>
            <w:szCs w:val="18"/>
            <w:lang w:val="fr-FR"/>
          </w:rPr>
          <w:t>http://www.waterlinks.org/what-we-do</w:t>
        </w:r>
      </w:hyperlink>
      <w:r w:rsidRPr="00850D5D">
        <w:rPr>
          <w:rFonts w:ascii="Arial" w:hAnsi="Arial" w:cs="Arial"/>
          <w:sz w:val="18"/>
          <w:szCs w:val="18"/>
          <w:lang w:val="fr-FR"/>
        </w:rPr>
        <w:t>.</w:t>
      </w:r>
      <w:r>
        <w:rPr>
          <w:rFonts w:ascii="Arial" w:hAnsi="Arial" w:cs="Arial"/>
          <w:sz w:val="18"/>
          <w:szCs w:val="18"/>
          <w:lang w:val="fr-FR"/>
        </w:rPr>
        <w:t xml:space="preserve"> </w:t>
      </w:r>
    </w:p>
  </w:endnote>
  <w:endnote w:id="53">
    <w:p w:rsidR="003D7611" w:rsidRPr="004E2213" w:rsidRDefault="003D7611" w:rsidP="00C81ACF">
      <w:pPr>
        <w:pStyle w:val="EndnoteText"/>
        <w:rPr>
          <w:lang w:val="fr-FR"/>
        </w:rPr>
      </w:pPr>
      <w:r>
        <w:rPr>
          <w:rStyle w:val="EndnoteReference"/>
        </w:rPr>
        <w:endnoteRef/>
      </w:r>
      <w:r w:rsidRPr="004E2213">
        <w:rPr>
          <w:lang w:val="fr-FR"/>
        </w:rPr>
        <w:t xml:space="preserve"> </w:t>
      </w:r>
      <w:r w:rsidRPr="004E2213">
        <w:rPr>
          <w:rFonts w:ascii="Arial" w:hAnsi="Arial" w:cs="Arial"/>
          <w:sz w:val="18"/>
          <w:szCs w:val="18"/>
          <w:lang w:val="fr-FR"/>
        </w:rPr>
        <w:t xml:space="preserve">Source: </w:t>
      </w:r>
      <w:hyperlink r:id="rId11" w:history="1">
        <w:r w:rsidRPr="004E2213">
          <w:rPr>
            <w:rStyle w:val="Hyperlink"/>
            <w:rFonts w:ascii="Arial" w:hAnsi="Arial" w:cs="Arial"/>
            <w:sz w:val="18"/>
            <w:szCs w:val="18"/>
            <w:lang w:val="fr-FR"/>
          </w:rPr>
          <w:t>http://www.waterlinks.org/who-we-are</w:t>
        </w:r>
      </w:hyperlink>
      <w:r w:rsidRPr="004E2213">
        <w:rPr>
          <w:rFonts w:ascii="Arial" w:hAnsi="Arial" w:cs="Arial"/>
          <w:sz w:val="18"/>
          <w:szCs w:val="18"/>
          <w:lang w:val="fr-FR"/>
        </w:rPr>
        <w:t xml:space="preserve">. </w:t>
      </w:r>
    </w:p>
  </w:endnote>
  <w:endnote w:id="54">
    <w:p w:rsidR="003D7611" w:rsidRDefault="003D7611" w:rsidP="004E2213">
      <w:pPr>
        <w:pStyle w:val="EndnoteText"/>
      </w:pPr>
      <w:r>
        <w:rPr>
          <w:rStyle w:val="EndnoteReference"/>
        </w:rPr>
        <w:endnoteRef/>
      </w:r>
      <w:r>
        <w:t xml:space="preserve"> </w:t>
      </w:r>
      <w:r w:rsidRPr="005B355C">
        <w:rPr>
          <w:rFonts w:ascii="Arial" w:hAnsi="Arial" w:cs="Arial"/>
          <w:sz w:val="18"/>
          <w:szCs w:val="18"/>
        </w:rPr>
        <w:t>Author’s estimate, based on the</w:t>
      </w:r>
      <w:r>
        <w:t xml:space="preserve"> </w:t>
      </w:r>
      <w:r>
        <w:rPr>
          <w:rFonts w:ascii="Arial" w:hAnsi="Arial" w:cs="Arial"/>
          <w:sz w:val="18"/>
          <w:szCs w:val="18"/>
        </w:rPr>
        <w:t>exchange rate US$1 = €</w:t>
      </w:r>
      <w:r w:rsidRPr="005B355C">
        <w:rPr>
          <w:rFonts w:ascii="Arial" w:hAnsi="Arial" w:cs="Arial"/>
          <w:sz w:val="18"/>
          <w:szCs w:val="18"/>
        </w:rPr>
        <w:t>0.760928</w:t>
      </w:r>
      <w:r>
        <w:rPr>
          <w:rFonts w:ascii="Arial" w:hAnsi="Arial" w:cs="Arial"/>
          <w:sz w:val="18"/>
          <w:szCs w:val="18"/>
        </w:rPr>
        <w:t>, 12 April 2012.</w:t>
      </w:r>
      <w:r>
        <w:t xml:space="preserve"> </w:t>
      </w:r>
    </w:p>
  </w:endnote>
  <w:endnote w:id="55">
    <w:p w:rsidR="003D7611" w:rsidRPr="00F978DD" w:rsidRDefault="003D7611" w:rsidP="004F1AB2">
      <w:pPr>
        <w:pStyle w:val="EndnoteText"/>
        <w:jc w:val="both"/>
        <w:rPr>
          <w:rFonts w:ascii="Arial" w:hAnsi="Arial" w:cs="Arial"/>
          <w:sz w:val="18"/>
          <w:szCs w:val="18"/>
        </w:rPr>
      </w:pPr>
      <w:r>
        <w:rPr>
          <w:rStyle w:val="EndnoteReference"/>
        </w:rPr>
        <w:endnoteRef/>
      </w:r>
      <w:r>
        <w:t xml:space="preserve"> </w:t>
      </w:r>
      <w:r w:rsidRPr="00F978DD">
        <w:rPr>
          <w:rFonts w:ascii="Arial" w:hAnsi="Arial" w:cs="Arial"/>
          <w:sz w:val="18"/>
          <w:szCs w:val="18"/>
        </w:rPr>
        <w:t>WOP-SEE, E-Newsletter, Volume 1, Issue 1, January 2011; WOP-SEE, E-Newsletter, Newsletter No. 2, July 2011.</w:t>
      </w:r>
    </w:p>
  </w:endnote>
  <w:endnote w:id="56">
    <w:p w:rsidR="003D7611" w:rsidRPr="00385D52" w:rsidRDefault="003D7611" w:rsidP="00385D52">
      <w:pPr>
        <w:pStyle w:val="EndnoteText"/>
        <w:jc w:val="both"/>
        <w:rPr>
          <w:rFonts w:ascii="Arial" w:hAnsi="Arial" w:cs="Arial"/>
          <w:sz w:val="18"/>
          <w:szCs w:val="18"/>
        </w:rPr>
      </w:pPr>
      <w:r>
        <w:rPr>
          <w:rStyle w:val="EndnoteReference"/>
        </w:rPr>
        <w:endnoteRef/>
      </w:r>
      <w:r w:rsidRPr="00385D52">
        <w:t xml:space="preserve"> </w:t>
      </w:r>
      <w:r w:rsidRPr="00385D52">
        <w:rPr>
          <w:rFonts w:ascii="Arial" w:hAnsi="Arial" w:cs="Arial"/>
          <w:sz w:val="18"/>
          <w:szCs w:val="18"/>
        </w:rPr>
        <w:t>E</w:t>
      </w:r>
      <w:r w:rsidRPr="00385D52">
        <w:rPr>
          <w:rFonts w:ascii="Arial" w:eastAsia="Times New Roman" w:hAnsi="Arial" w:cs="Arial"/>
          <w:bCs/>
          <w:sz w:val="18"/>
          <w:szCs w:val="18"/>
          <w:lang w:eastAsia="en-GB"/>
        </w:rPr>
        <w:t>mail communication</w:t>
      </w:r>
      <w:r>
        <w:rPr>
          <w:rFonts w:ascii="Arial" w:eastAsia="Times New Roman" w:hAnsi="Arial" w:cs="Arial"/>
          <w:bCs/>
          <w:sz w:val="18"/>
          <w:szCs w:val="18"/>
          <w:lang w:eastAsia="en-GB"/>
        </w:rPr>
        <w:t>s</w:t>
      </w:r>
      <w:r w:rsidRPr="00385D52">
        <w:rPr>
          <w:rFonts w:ascii="Arial" w:eastAsia="Times New Roman" w:hAnsi="Arial" w:cs="Arial"/>
          <w:bCs/>
          <w:sz w:val="18"/>
          <w:szCs w:val="18"/>
          <w:lang w:eastAsia="en-GB"/>
        </w:rPr>
        <w:t xml:space="preserve"> with </w:t>
      </w:r>
      <w:r w:rsidRPr="00385D52">
        <w:rPr>
          <w:rFonts w:ascii="Arial" w:hAnsi="Arial" w:cs="Arial"/>
          <w:sz w:val="18"/>
          <w:szCs w:val="18"/>
        </w:rPr>
        <w:t>Julie Perkins, GWOPA, UN-HABITAT, </w:t>
      </w:r>
      <w:r>
        <w:rPr>
          <w:rFonts w:ascii="Arial" w:hAnsi="Arial" w:cs="Arial"/>
          <w:sz w:val="18"/>
          <w:szCs w:val="18"/>
        </w:rPr>
        <w:t>31 May 2012</w:t>
      </w:r>
      <w:r w:rsidRPr="00385D52">
        <w:rPr>
          <w:rFonts w:ascii="Arial" w:hAnsi="Arial" w:cs="Arial"/>
          <w:sz w:val="18"/>
          <w:szCs w:val="18"/>
        </w:rPr>
        <w:t xml:space="preserve">; and with </w:t>
      </w:r>
      <w:r w:rsidRPr="003A0670">
        <w:rPr>
          <w:rFonts w:ascii="Arial" w:hAnsi="Arial" w:cs="Arial"/>
          <w:sz w:val="18"/>
          <w:szCs w:val="18"/>
        </w:rPr>
        <w:t>Aleksandar Krstic, Program Coordinator</w:t>
      </w:r>
      <w:r>
        <w:rPr>
          <w:rFonts w:ascii="Arial" w:hAnsi="Arial" w:cs="Arial"/>
          <w:sz w:val="18"/>
          <w:szCs w:val="18"/>
        </w:rPr>
        <w:t>,</w:t>
      </w:r>
      <w:r w:rsidRPr="00385D52">
        <w:rPr>
          <w:rFonts w:ascii="Arial" w:hAnsi="Arial" w:cs="Arial"/>
          <w:sz w:val="18"/>
          <w:szCs w:val="18"/>
        </w:rPr>
        <w:t xml:space="preserve"> WOP-SEE, </w:t>
      </w:r>
      <w:r>
        <w:rPr>
          <w:rFonts w:ascii="Arial" w:hAnsi="Arial" w:cs="Arial"/>
          <w:sz w:val="18"/>
          <w:szCs w:val="18"/>
        </w:rPr>
        <w:t>11 June 2012</w:t>
      </w:r>
      <w:r w:rsidRPr="00385D52">
        <w:rPr>
          <w:rFonts w:ascii="Arial" w:hAnsi="Arial" w:cs="Arial"/>
          <w:sz w:val="18"/>
          <w:szCs w:val="18"/>
        </w:rPr>
        <w:t>.</w:t>
      </w:r>
    </w:p>
  </w:endnote>
  <w:endnote w:id="57">
    <w:p w:rsidR="003D7611" w:rsidRPr="00F978DD" w:rsidRDefault="003D7611" w:rsidP="008B6F2D">
      <w:pPr>
        <w:pStyle w:val="EndnoteText"/>
        <w:jc w:val="both"/>
        <w:rPr>
          <w:rFonts w:ascii="Arial" w:hAnsi="Arial" w:cs="Arial"/>
          <w:sz w:val="18"/>
          <w:szCs w:val="18"/>
        </w:rPr>
      </w:pPr>
      <w:r>
        <w:rPr>
          <w:rStyle w:val="EndnoteReference"/>
        </w:rPr>
        <w:endnoteRef/>
      </w:r>
      <w:r>
        <w:t xml:space="preserve"> </w:t>
      </w:r>
      <w:r w:rsidRPr="00F978DD">
        <w:rPr>
          <w:rFonts w:ascii="Arial" w:hAnsi="Arial" w:cs="Arial"/>
          <w:sz w:val="18"/>
          <w:szCs w:val="18"/>
        </w:rPr>
        <w:t>WOP-SEE, E-Newsletter, Volume 1, Issue 1, January 2011; WOP-SEE, E-Newsletter, Newsletter No. 2, July 2011.</w:t>
      </w:r>
    </w:p>
  </w:endnote>
  <w:endnote w:id="58">
    <w:p w:rsidR="003D7611" w:rsidRPr="00385D52" w:rsidRDefault="003D7611" w:rsidP="001C6445">
      <w:pPr>
        <w:pStyle w:val="EndnoteText"/>
        <w:jc w:val="both"/>
        <w:rPr>
          <w:rFonts w:ascii="Arial" w:hAnsi="Arial" w:cs="Arial"/>
          <w:sz w:val="18"/>
          <w:szCs w:val="18"/>
        </w:rPr>
      </w:pPr>
      <w:r>
        <w:rPr>
          <w:rStyle w:val="EndnoteReference"/>
        </w:rPr>
        <w:endnoteRef/>
      </w:r>
      <w:r w:rsidRPr="00385D52">
        <w:t xml:space="preserve"> </w:t>
      </w:r>
      <w:r w:rsidRPr="00385D52">
        <w:rPr>
          <w:rFonts w:ascii="Arial" w:hAnsi="Arial" w:cs="Arial"/>
          <w:sz w:val="18"/>
          <w:szCs w:val="18"/>
        </w:rPr>
        <w:t>E</w:t>
      </w:r>
      <w:r w:rsidRPr="00385D52">
        <w:rPr>
          <w:rFonts w:ascii="Arial" w:eastAsia="Times New Roman" w:hAnsi="Arial" w:cs="Arial"/>
          <w:bCs/>
          <w:sz w:val="18"/>
          <w:szCs w:val="18"/>
          <w:lang w:eastAsia="en-GB"/>
        </w:rPr>
        <w:t xml:space="preserve">mail communication with </w:t>
      </w:r>
      <w:r w:rsidRPr="003A0670">
        <w:rPr>
          <w:rFonts w:ascii="Arial" w:hAnsi="Arial" w:cs="Arial"/>
          <w:sz w:val="18"/>
          <w:szCs w:val="18"/>
        </w:rPr>
        <w:t>Aleksandar Krstic, Program Coordinator</w:t>
      </w:r>
      <w:r>
        <w:rPr>
          <w:rFonts w:ascii="Arial" w:hAnsi="Arial" w:cs="Arial"/>
          <w:sz w:val="18"/>
          <w:szCs w:val="18"/>
        </w:rPr>
        <w:t>,</w:t>
      </w:r>
      <w:r w:rsidRPr="00385D52">
        <w:rPr>
          <w:rFonts w:ascii="Arial" w:hAnsi="Arial" w:cs="Arial"/>
          <w:sz w:val="18"/>
          <w:szCs w:val="18"/>
        </w:rPr>
        <w:t xml:space="preserve"> WOP-SEE, </w:t>
      </w:r>
      <w:r>
        <w:rPr>
          <w:rFonts w:ascii="Arial" w:hAnsi="Arial" w:cs="Arial"/>
          <w:sz w:val="18"/>
          <w:szCs w:val="18"/>
        </w:rPr>
        <w:t>11 June 2012</w:t>
      </w:r>
      <w:r w:rsidRPr="00385D52">
        <w:rPr>
          <w:rFonts w:ascii="Arial" w:hAnsi="Arial" w:cs="Arial"/>
          <w:sz w:val="18"/>
          <w:szCs w:val="18"/>
        </w:rPr>
        <w:t>.</w:t>
      </w:r>
    </w:p>
  </w:endnote>
  <w:endnote w:id="59">
    <w:p w:rsidR="003D7611" w:rsidRPr="00F978DD" w:rsidRDefault="003D7611" w:rsidP="00D05D09">
      <w:pPr>
        <w:pStyle w:val="EndnoteText"/>
        <w:jc w:val="both"/>
        <w:rPr>
          <w:rFonts w:ascii="Arial" w:hAnsi="Arial" w:cs="Arial"/>
          <w:sz w:val="18"/>
          <w:szCs w:val="18"/>
        </w:rPr>
      </w:pPr>
      <w:r>
        <w:rPr>
          <w:rStyle w:val="EndnoteReference"/>
        </w:rPr>
        <w:endnoteRef/>
      </w:r>
      <w:r>
        <w:t xml:space="preserve"> </w:t>
      </w:r>
      <w:r w:rsidRPr="00F978DD">
        <w:rPr>
          <w:rFonts w:ascii="Arial" w:hAnsi="Arial" w:cs="Arial"/>
          <w:sz w:val="18"/>
          <w:szCs w:val="18"/>
        </w:rPr>
        <w:t>WOP-SEE, E-Newsletter, Volume 1, Issue 1, January 2011; WOP-SEE, E-Newsletter, Newsletter No. 2, July 2011.</w:t>
      </w:r>
    </w:p>
  </w:endnote>
  <w:endnote w:id="60">
    <w:p w:rsidR="003D7611" w:rsidRPr="00385D52" w:rsidRDefault="003D7611" w:rsidP="00816163">
      <w:pPr>
        <w:pStyle w:val="EndnoteText"/>
        <w:jc w:val="both"/>
        <w:rPr>
          <w:rFonts w:ascii="Arial" w:hAnsi="Arial" w:cs="Arial"/>
          <w:sz w:val="18"/>
          <w:szCs w:val="18"/>
        </w:rPr>
      </w:pPr>
      <w:r>
        <w:rPr>
          <w:rStyle w:val="EndnoteReference"/>
        </w:rPr>
        <w:endnoteRef/>
      </w:r>
      <w:r w:rsidRPr="00385D52">
        <w:t xml:space="preserve"> </w:t>
      </w:r>
      <w:r>
        <w:rPr>
          <w:rFonts w:ascii="Arial" w:hAnsi="Arial" w:cs="Arial"/>
          <w:sz w:val="18"/>
          <w:szCs w:val="18"/>
        </w:rPr>
        <w:t>See Table 2, Annex V</w:t>
      </w:r>
      <w:r w:rsidRPr="00385D52">
        <w:rPr>
          <w:rFonts w:ascii="Arial" w:hAnsi="Arial" w:cs="Arial"/>
          <w:sz w:val="18"/>
          <w:szCs w:val="18"/>
        </w:rPr>
        <w:t>.</w:t>
      </w:r>
    </w:p>
  </w:endnote>
  <w:endnote w:id="61">
    <w:p w:rsidR="003D7611" w:rsidRPr="00385D52" w:rsidRDefault="003D7611" w:rsidP="00A17876">
      <w:pPr>
        <w:pStyle w:val="EndnoteText"/>
        <w:jc w:val="both"/>
        <w:rPr>
          <w:rFonts w:ascii="Arial" w:hAnsi="Arial" w:cs="Arial"/>
          <w:sz w:val="18"/>
          <w:szCs w:val="18"/>
        </w:rPr>
      </w:pPr>
      <w:r>
        <w:rPr>
          <w:rStyle w:val="EndnoteReference"/>
        </w:rPr>
        <w:endnoteRef/>
      </w:r>
      <w:r w:rsidRPr="00385D52">
        <w:t xml:space="preserve"> </w:t>
      </w:r>
      <w:r>
        <w:rPr>
          <w:rFonts w:ascii="Arial" w:hAnsi="Arial" w:cs="Arial"/>
          <w:sz w:val="18"/>
          <w:szCs w:val="18"/>
        </w:rPr>
        <w:t>See Table 4, Annex V</w:t>
      </w:r>
      <w:r w:rsidRPr="00385D52">
        <w:rPr>
          <w:rFonts w:ascii="Arial" w:hAnsi="Arial" w:cs="Arial"/>
          <w:sz w:val="18"/>
          <w:szCs w:val="18"/>
        </w:rPr>
        <w:t>.</w:t>
      </w:r>
    </w:p>
  </w:endnote>
  <w:endnote w:id="62">
    <w:p w:rsidR="003D7611" w:rsidRPr="00477A79" w:rsidRDefault="003D7611" w:rsidP="009A7BF4">
      <w:pPr>
        <w:pStyle w:val="EndnoteText"/>
        <w:jc w:val="both"/>
        <w:rPr>
          <w:rFonts w:ascii="Arial" w:hAnsi="Arial" w:cs="Arial"/>
          <w:sz w:val="18"/>
          <w:szCs w:val="18"/>
          <w:lang w:val="fr-FR"/>
        </w:rPr>
      </w:pPr>
      <w:r>
        <w:rPr>
          <w:rStyle w:val="EndnoteReference"/>
        </w:rPr>
        <w:endnoteRef/>
      </w:r>
      <w:r w:rsidRPr="00477A79">
        <w:rPr>
          <w:lang w:val="fr-FR"/>
        </w:rPr>
        <w:t xml:space="preserve"> </w:t>
      </w:r>
      <w:r w:rsidRPr="00477A79">
        <w:rPr>
          <w:rFonts w:ascii="Arial" w:hAnsi="Arial" w:cs="Arial"/>
          <w:sz w:val="18"/>
          <w:szCs w:val="18"/>
          <w:lang w:val="fr-FR"/>
        </w:rPr>
        <w:t>E</w:t>
      </w:r>
      <w:r w:rsidRPr="00477A79">
        <w:rPr>
          <w:rFonts w:ascii="Arial" w:eastAsia="Times New Roman" w:hAnsi="Arial" w:cs="Arial"/>
          <w:bCs/>
          <w:sz w:val="18"/>
          <w:szCs w:val="18"/>
          <w:lang w:val="fr-FR" w:eastAsia="en-GB"/>
        </w:rPr>
        <w:t xml:space="preserve">mail communication with </w:t>
      </w:r>
      <w:r w:rsidRPr="00477A79">
        <w:rPr>
          <w:rFonts w:ascii="Arial" w:hAnsi="Arial" w:cs="Arial"/>
          <w:sz w:val="18"/>
          <w:szCs w:val="18"/>
          <w:lang w:val="fr-FR"/>
        </w:rPr>
        <w:t>Julie Perkins, GWOPA, UN-HABITAT, 31 May 2012.</w:t>
      </w:r>
    </w:p>
  </w:endnote>
  <w:endnote w:id="63">
    <w:p w:rsidR="003D7611" w:rsidRPr="00477A79" w:rsidRDefault="003D7611" w:rsidP="00523714">
      <w:pPr>
        <w:jc w:val="both"/>
        <w:rPr>
          <w:rFonts w:ascii="Arial" w:hAnsi="Arial" w:cs="Arial"/>
          <w:sz w:val="18"/>
          <w:szCs w:val="18"/>
          <w:lang w:val="fr-FR"/>
        </w:rPr>
      </w:pPr>
      <w:r>
        <w:rPr>
          <w:rStyle w:val="EndnoteReference"/>
        </w:rPr>
        <w:endnoteRef/>
      </w:r>
      <w:r w:rsidRPr="00477A79">
        <w:rPr>
          <w:lang w:val="fr-FR"/>
        </w:rPr>
        <w:t xml:space="preserve"> </w:t>
      </w:r>
      <w:r>
        <w:rPr>
          <w:rFonts w:ascii="Arial" w:hAnsi="Arial" w:cs="Arial"/>
          <w:sz w:val="18"/>
          <w:szCs w:val="18"/>
          <w:lang w:val="fr-FR"/>
        </w:rPr>
        <w:t xml:space="preserve">Source: </w:t>
      </w:r>
      <w:hyperlink r:id="rId12" w:history="1">
        <w:r w:rsidRPr="00523714">
          <w:rPr>
            <w:rStyle w:val="Hyperlink"/>
            <w:rFonts w:ascii="Arial" w:hAnsi="Arial" w:cs="Arial"/>
            <w:sz w:val="18"/>
            <w:szCs w:val="18"/>
            <w:lang w:val="fr-FR"/>
          </w:rPr>
          <w:t>http://www.waterlinks.org/waterlinks-partnerships</w:t>
        </w:r>
      </w:hyperlink>
      <w:r w:rsidRPr="00477A79">
        <w:rPr>
          <w:rFonts w:ascii="Arial" w:hAnsi="Arial" w:cs="Arial"/>
          <w:sz w:val="18"/>
          <w:szCs w:val="18"/>
          <w:lang w:val="fr-FR"/>
        </w:rPr>
        <w:t>.</w:t>
      </w:r>
      <w:r>
        <w:rPr>
          <w:rFonts w:ascii="Arial" w:hAnsi="Arial" w:cs="Arial"/>
          <w:sz w:val="18"/>
          <w:szCs w:val="18"/>
          <w:lang w:val="fr-FR"/>
        </w:rPr>
        <w:t xml:space="preserve"> </w:t>
      </w:r>
      <w:r w:rsidRPr="00523714">
        <w:rPr>
          <w:rFonts w:ascii="Arial" w:hAnsi="Arial" w:cs="Arial"/>
          <w:sz w:val="18"/>
          <w:szCs w:val="18"/>
        </w:rPr>
        <w:t>Accessed</w:t>
      </w:r>
      <w:r>
        <w:rPr>
          <w:rFonts w:ascii="Arial" w:hAnsi="Arial" w:cs="Arial"/>
          <w:sz w:val="18"/>
          <w:szCs w:val="18"/>
          <w:lang w:val="fr-FR"/>
        </w:rPr>
        <w:t xml:space="preserve">: 5 July 2012. </w:t>
      </w:r>
    </w:p>
  </w:endnote>
  <w:endnote w:id="64">
    <w:p w:rsidR="003D7611" w:rsidRDefault="003D7611">
      <w:pPr>
        <w:pStyle w:val="EndnoteText"/>
      </w:pPr>
      <w:r>
        <w:rPr>
          <w:rStyle w:val="EndnoteReference"/>
        </w:rPr>
        <w:endnoteRef/>
      </w:r>
      <w:r>
        <w:t xml:space="preserve"> </w:t>
      </w:r>
      <w:r w:rsidRPr="00CF7EF0">
        <w:rPr>
          <w:rFonts w:ascii="Arial" w:hAnsi="Arial" w:cs="Arial"/>
          <w:bCs/>
          <w:color w:val="000000"/>
          <w:sz w:val="18"/>
          <w:szCs w:val="18"/>
        </w:rPr>
        <w:t xml:space="preserve">UNSGAB (United Nations Secretary-General’s Advisory Board on Water and Sanitation) (2006) </w:t>
      </w:r>
      <w:r w:rsidRPr="00CF7EF0">
        <w:rPr>
          <w:rFonts w:ascii="Arial" w:hAnsi="Arial" w:cs="Arial"/>
          <w:sz w:val="18"/>
          <w:szCs w:val="18"/>
        </w:rPr>
        <w:t>Hashimoto Action Plan - Compendium of Actions, March 2006</w:t>
      </w:r>
      <w:r>
        <w:rPr>
          <w:rFonts w:ascii="Arial" w:hAnsi="Arial" w:cs="Arial"/>
          <w:sz w:val="18"/>
          <w:szCs w:val="18"/>
        </w:rPr>
        <w:t xml:space="preserve">. </w:t>
      </w:r>
    </w:p>
  </w:endnote>
  <w:endnote w:id="65">
    <w:p w:rsidR="003D7611" w:rsidRPr="003F5C4F" w:rsidRDefault="003D7611" w:rsidP="003F5C4F">
      <w:pPr>
        <w:pStyle w:val="NoSpacing"/>
        <w:jc w:val="both"/>
        <w:rPr>
          <w:rFonts w:ascii="Arial" w:hAnsi="Arial" w:cs="Arial"/>
          <w:sz w:val="18"/>
          <w:szCs w:val="18"/>
        </w:rPr>
      </w:pPr>
      <w:r>
        <w:rPr>
          <w:rStyle w:val="EndnoteReference"/>
        </w:rPr>
        <w:endnoteRef/>
      </w:r>
      <w:r>
        <w:t xml:space="preserve"> </w:t>
      </w:r>
      <w:r w:rsidRPr="003F5C4F">
        <w:rPr>
          <w:rFonts w:ascii="Arial" w:hAnsi="Arial" w:cs="Arial"/>
          <w:sz w:val="18"/>
          <w:szCs w:val="18"/>
        </w:rPr>
        <w:t xml:space="preserve">Lobina, E., Hall, D. (2008) The comparative advantage of the public sector in the development of urban water supply, in </w:t>
      </w:r>
      <w:r w:rsidRPr="003F5C4F">
        <w:rPr>
          <w:rFonts w:ascii="Arial" w:hAnsi="Arial" w:cs="Arial"/>
          <w:i/>
          <w:sz w:val="18"/>
          <w:szCs w:val="18"/>
        </w:rPr>
        <w:t>Progress in Development Studies</w:t>
      </w:r>
      <w:r w:rsidRPr="003F5C4F">
        <w:rPr>
          <w:rFonts w:ascii="Arial" w:hAnsi="Arial" w:cs="Arial"/>
          <w:sz w:val="18"/>
          <w:szCs w:val="18"/>
        </w:rPr>
        <w:t xml:space="preserve">, 8(1), pp. 85-101.   </w:t>
      </w:r>
    </w:p>
  </w:endnote>
  <w:endnote w:id="66">
    <w:p w:rsidR="003D7611" w:rsidRPr="001D41B1" w:rsidRDefault="003D7611" w:rsidP="001D16B0">
      <w:pPr>
        <w:pStyle w:val="EndnoteText"/>
        <w:jc w:val="both"/>
        <w:rPr>
          <w:lang w:val="fr-FR"/>
        </w:rPr>
      </w:pPr>
      <w:r>
        <w:rPr>
          <w:rStyle w:val="EndnoteReference"/>
        </w:rPr>
        <w:endnoteRef/>
      </w:r>
      <w:r>
        <w:rPr>
          <w:lang w:val="fr-FR"/>
        </w:rPr>
        <w:t xml:space="preserve"> </w:t>
      </w:r>
      <w:r w:rsidRPr="00B974CB">
        <w:rPr>
          <w:rFonts w:ascii="Arial" w:hAnsi="Arial" w:cs="Arial"/>
          <w:sz w:val="18"/>
          <w:szCs w:val="18"/>
          <w:lang w:val="fr-FR"/>
        </w:rPr>
        <w:t xml:space="preserve">Source: </w:t>
      </w:r>
      <w:hyperlink r:id="rId13" w:history="1">
        <w:r w:rsidRPr="00B974CB">
          <w:rPr>
            <w:rStyle w:val="Hyperlink"/>
            <w:rFonts w:ascii="Arial" w:hAnsi="Arial" w:cs="Arial"/>
            <w:sz w:val="18"/>
            <w:szCs w:val="18"/>
            <w:lang w:val="fr-FR"/>
          </w:rPr>
          <w:t>http://gwopa.org/what-gwopa-does/supporting-wop-platforms/arab-countries</w:t>
        </w:r>
      </w:hyperlink>
      <w:r w:rsidRPr="00B974CB">
        <w:rPr>
          <w:rFonts w:ascii="Arial" w:hAnsi="Arial" w:cs="Arial"/>
          <w:sz w:val="18"/>
          <w:szCs w:val="18"/>
          <w:lang w:val="fr-FR"/>
        </w:rPr>
        <w:t xml:space="preserve">; </w:t>
      </w:r>
      <w:hyperlink r:id="rId14" w:history="1">
        <w:r w:rsidRPr="00B974CB">
          <w:rPr>
            <w:rStyle w:val="Hyperlink"/>
            <w:rFonts w:ascii="Arial" w:hAnsi="Arial" w:cs="Arial"/>
            <w:sz w:val="18"/>
            <w:szCs w:val="18"/>
            <w:lang w:val="fr-FR"/>
          </w:rPr>
          <w:t>http://gwopa.org/what-gwopa-does/supporting-wop-platforms/101-activities/what-gwopa-does/supporting-wop-platforms?layout=blog</w:t>
        </w:r>
      </w:hyperlink>
      <w:r w:rsidRPr="00B974CB">
        <w:rPr>
          <w:rFonts w:ascii="Arial" w:hAnsi="Arial" w:cs="Arial"/>
          <w:sz w:val="18"/>
          <w:szCs w:val="18"/>
          <w:lang w:val="fr-FR"/>
        </w:rPr>
        <w:t>.</w:t>
      </w:r>
      <w:r>
        <w:rPr>
          <w:lang w:val="fr-FR"/>
        </w:rPr>
        <w:t xml:space="preserve"> </w:t>
      </w:r>
    </w:p>
  </w:endnote>
  <w:endnote w:id="67">
    <w:p w:rsidR="003D7611" w:rsidRPr="00B974CB" w:rsidRDefault="003D7611" w:rsidP="00B974CB">
      <w:pPr>
        <w:pStyle w:val="NoSpacing"/>
        <w:rPr>
          <w:rFonts w:ascii="Arial" w:hAnsi="Arial" w:cs="Arial"/>
          <w:kern w:val="36"/>
          <w:sz w:val="18"/>
          <w:szCs w:val="18"/>
        </w:rPr>
      </w:pPr>
      <w:r>
        <w:rPr>
          <w:rStyle w:val="EndnoteReference"/>
        </w:rPr>
        <w:endnoteRef/>
      </w:r>
      <w:r>
        <w:t xml:space="preserve"> </w:t>
      </w:r>
      <w:r w:rsidRPr="00B974CB">
        <w:rPr>
          <w:rFonts w:ascii="Arial" w:hAnsi="Arial" w:cs="Arial"/>
          <w:sz w:val="18"/>
          <w:szCs w:val="18"/>
        </w:rPr>
        <w:t>Source:</w:t>
      </w:r>
      <w:r>
        <w:rPr>
          <w:rFonts w:ascii="Arial" w:hAnsi="Arial" w:cs="Arial"/>
          <w:sz w:val="18"/>
          <w:szCs w:val="18"/>
        </w:rPr>
        <w:t xml:space="preserve"> </w:t>
      </w:r>
      <w:r w:rsidRPr="00C84B0A">
        <w:rPr>
          <w:rFonts w:ascii="Arial" w:hAnsi="Arial" w:cs="Arial"/>
          <w:kern w:val="36"/>
          <w:sz w:val="18"/>
          <w:szCs w:val="18"/>
        </w:rPr>
        <w:t>The Ministerial Declarati</w:t>
      </w:r>
      <w:r>
        <w:rPr>
          <w:rFonts w:ascii="Arial" w:hAnsi="Arial" w:cs="Arial"/>
          <w:kern w:val="36"/>
          <w:sz w:val="18"/>
          <w:szCs w:val="18"/>
        </w:rPr>
        <w:t>on of the 6th World Water Forum</w:t>
      </w:r>
      <w:r w:rsidRPr="00C84B0A">
        <w:rPr>
          <w:rFonts w:ascii="Arial" w:hAnsi="Arial" w:cs="Arial"/>
          <w:kern w:val="36"/>
          <w:sz w:val="18"/>
          <w:szCs w:val="18"/>
        </w:rPr>
        <w:t xml:space="preserve">, </w:t>
      </w:r>
      <w:r w:rsidRPr="00C84B0A">
        <w:rPr>
          <w:rFonts w:ascii="Arial" w:hAnsi="Arial" w:cs="Arial"/>
          <w:sz w:val="18"/>
          <w:szCs w:val="18"/>
        </w:rPr>
        <w:t>13 March 2012 (</w:t>
      </w:r>
      <w:hyperlink r:id="rId15" w:history="1">
        <w:r w:rsidRPr="00C84B0A">
          <w:rPr>
            <w:rStyle w:val="Hyperlink"/>
            <w:rFonts w:ascii="Arial" w:hAnsi="Arial" w:cs="Arial"/>
            <w:sz w:val="18"/>
            <w:szCs w:val="18"/>
          </w:rPr>
          <w:t>http://www.worldwaterforum6.org/en/news/single/article/the-ministerial-declaration-of-the-6th-world-water-forum</w:t>
        </w:r>
      </w:hyperlink>
      <w:r w:rsidRPr="00C84B0A">
        <w:rPr>
          <w:rFonts w:ascii="Arial" w:hAnsi="Arial" w:cs="Arial"/>
          <w:sz w:val="18"/>
          <w:szCs w:val="18"/>
        </w:rPr>
        <w:t xml:space="preserve">). </w:t>
      </w:r>
      <w:r w:rsidRPr="00B974CB">
        <w:rPr>
          <w:rFonts w:ascii="Arial" w:hAnsi="Arial" w:cs="Arial"/>
          <w:sz w:val="18"/>
          <w:szCs w:val="18"/>
        </w:rPr>
        <w:t xml:space="preserve"> </w:t>
      </w:r>
    </w:p>
  </w:endnote>
  <w:endnote w:id="68">
    <w:p w:rsidR="003D7611" w:rsidRPr="005605DA" w:rsidRDefault="003D7611" w:rsidP="00AA57BE">
      <w:pPr>
        <w:autoSpaceDE w:val="0"/>
        <w:autoSpaceDN w:val="0"/>
        <w:adjustRightInd w:val="0"/>
        <w:rPr>
          <w:rStyle w:val="EndnoteReference"/>
          <w:rFonts w:ascii="HelveticaNeue-Light" w:eastAsia="Times New Roman" w:hAnsi="HelveticaNeue-Light" w:cs="HelveticaNeue-Light"/>
          <w:sz w:val="20"/>
          <w:szCs w:val="20"/>
          <w:vertAlign w:val="baseline"/>
          <w:lang w:eastAsia="en-GB"/>
        </w:rPr>
      </w:pPr>
      <w:r w:rsidRPr="00CF7EF0">
        <w:rPr>
          <w:rStyle w:val="EndnoteReference"/>
          <w:sz w:val="20"/>
          <w:szCs w:val="20"/>
        </w:rPr>
        <w:endnoteRef/>
      </w:r>
      <w:r>
        <w:t xml:space="preserve"> </w:t>
      </w:r>
      <w:r>
        <w:rPr>
          <w:rFonts w:ascii="Arial" w:hAnsi="Arial" w:cs="Arial"/>
          <w:sz w:val="18"/>
          <w:szCs w:val="18"/>
        </w:rPr>
        <w:t>World Health Organization (2010</w:t>
      </w:r>
      <w:r w:rsidRPr="005605DA">
        <w:rPr>
          <w:rFonts w:ascii="Arial" w:hAnsi="Arial" w:cs="Arial"/>
          <w:sz w:val="18"/>
          <w:szCs w:val="18"/>
        </w:rPr>
        <w:t xml:space="preserve">) </w:t>
      </w:r>
      <w:r w:rsidRPr="005605DA">
        <w:rPr>
          <w:rFonts w:ascii="Arial" w:eastAsia="Times New Roman" w:hAnsi="Arial" w:cs="Arial"/>
          <w:sz w:val="18"/>
          <w:szCs w:val="18"/>
          <w:lang w:eastAsia="en-GB"/>
        </w:rPr>
        <w:t>UN-water global annual assessment of sanitation and drinking-water (GLAAS) 2010: targeting resources for better results.</w:t>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Geneva</w:t>
          </w:r>
        </w:smartTag>
      </w:smartTag>
      <w:r>
        <w:rPr>
          <w:rFonts w:ascii="Arial" w:hAnsi="Arial" w:cs="Arial"/>
          <w:sz w:val="18"/>
          <w:szCs w:val="18"/>
        </w:rPr>
        <w:t>:</w:t>
      </w:r>
      <w:r w:rsidRPr="005605DA">
        <w:rPr>
          <w:rFonts w:ascii="Arial" w:hAnsi="Arial" w:cs="Arial"/>
          <w:sz w:val="18"/>
          <w:szCs w:val="18"/>
        </w:rPr>
        <w:t xml:space="preserve"> </w:t>
      </w:r>
      <w:r>
        <w:rPr>
          <w:rFonts w:ascii="Arial" w:hAnsi="Arial" w:cs="Arial"/>
          <w:sz w:val="18"/>
          <w:szCs w:val="18"/>
        </w:rPr>
        <w:t xml:space="preserve">World Health Organization, pp. 37-51. </w:t>
      </w:r>
      <w:r w:rsidRPr="009400A5">
        <w:rPr>
          <w:rStyle w:val="EndnoteReferenc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otham Narrow Book">
    <w:altName w:val="Gotham Narrow Book"/>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default"/>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11" w:rsidRPr="00652411" w:rsidRDefault="003D7611" w:rsidP="00A67270">
    <w:pPr>
      <w:pStyle w:val="Footer"/>
      <w:pBdr>
        <w:top w:val="single" w:sz="4" w:space="1" w:color="FF0000"/>
      </w:pBdr>
      <w:rPr>
        <w:rFonts w:cs="Lucida Sans Unicode"/>
        <w:sz w:val="16"/>
        <w:szCs w:val="16"/>
      </w:rPr>
    </w:pPr>
    <w:r>
      <w:rPr>
        <w:rFonts w:cs="Lucida Sans Unicode"/>
        <w:sz w:val="16"/>
        <w:szCs w:val="16"/>
      </w:rPr>
      <w:t>20/10/2010</w:t>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CE21E3">
      <w:rPr>
        <w:rFonts w:cs="Lucida Sans Unicode"/>
        <w:noProof/>
        <w:sz w:val="16"/>
        <w:szCs w:val="16"/>
      </w:rPr>
      <w:t>28</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CE21E3">
      <w:rPr>
        <w:rFonts w:cs="Lucida Sans Unicode"/>
        <w:noProof/>
        <w:sz w:val="16"/>
        <w:szCs w:val="16"/>
      </w:rPr>
      <w:t>28</w:t>
    </w:r>
    <w:r w:rsidRPr="00652411">
      <w:rPr>
        <w:rFonts w:cs="Lucida Sans Unicode"/>
        <w:sz w:val="16"/>
        <w:szCs w:val="16"/>
      </w:rPr>
      <w:fldChar w:fldCharType="end"/>
    </w:r>
    <w:r>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11" w:rsidRPr="007934FC" w:rsidRDefault="003D7611" w:rsidP="00996A6E">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i/>
        <w:sz w:val="16"/>
        <w:szCs w:val="16"/>
      </w:rPr>
    </w:pPr>
    <w:smartTag w:uri="urn:schemas-microsoft-com:office:smarttags" w:element="PersonName">
      <w:r w:rsidRPr="007934FC">
        <w:rPr>
          <w:rFonts w:ascii="Lucida Sans Unicode" w:hAnsi="Lucida Sans Unicode" w:cs="Lucida Sans Unicode"/>
          <w:b/>
          <w:color w:val="FF0000"/>
          <w:sz w:val="16"/>
          <w:szCs w:val="16"/>
        </w:rPr>
        <w:t>PSIRU</w:t>
      </w:r>
    </w:smartTag>
    <w:r w:rsidRPr="007934FC">
      <w:rPr>
        <w:rFonts w:ascii="Lucida Sans Unicode" w:hAnsi="Lucida Sans Unicode" w:cs="Lucida Sans Unicode"/>
        <w:b/>
        <w:color w:val="FF0000"/>
        <w:sz w:val="16"/>
        <w:szCs w:val="16"/>
      </w:rPr>
      <w:t xml:space="preserve">, </w:t>
    </w:r>
    <w:smartTag w:uri="urn:schemas-microsoft-com:office:smarttags" w:element="PlaceName">
      <w:r w:rsidRPr="007934FC">
        <w:rPr>
          <w:rFonts w:ascii="Lucida Sans Unicode" w:hAnsi="Lucida Sans Unicode" w:cs="Lucida Sans Unicode"/>
          <w:b/>
          <w:color w:val="FF0000"/>
          <w:sz w:val="16"/>
          <w:szCs w:val="16"/>
        </w:rPr>
        <w:t>Business</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School</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University</w:t>
      </w:r>
    </w:smartTag>
    <w:r w:rsidRPr="007934FC">
      <w:rPr>
        <w:rFonts w:ascii="Lucida Sans Unicode" w:hAnsi="Lucida Sans Unicode" w:cs="Lucida Sans Unicode"/>
        <w:b/>
        <w:color w:val="FF0000"/>
        <w:sz w:val="16"/>
        <w:szCs w:val="16"/>
      </w:rPr>
      <w:t xml:space="preserve"> of </w:t>
    </w:r>
    <w:smartTag w:uri="urn:schemas-microsoft-com:office:smarttags" w:element="PlaceName">
      <w:r w:rsidRPr="007934FC">
        <w:rPr>
          <w:rFonts w:ascii="Lucida Sans Unicode" w:hAnsi="Lucida Sans Unicode" w:cs="Lucida Sans Unicode"/>
          <w:b/>
          <w:color w:val="FF0000"/>
          <w:sz w:val="16"/>
          <w:szCs w:val="16"/>
        </w:rPr>
        <w:t>Greenwich</w:t>
      </w:r>
    </w:smartTag>
    <w:r w:rsidRPr="007934FC">
      <w:rPr>
        <w:rFonts w:ascii="Lucida Sans Unicode" w:hAnsi="Lucida Sans Unicode" w:cs="Lucida Sans Unicode"/>
        <w:b/>
        <w:color w:val="FF0000"/>
        <w:sz w:val="16"/>
        <w:szCs w:val="16"/>
      </w:rPr>
      <w:t xml:space="preserve">, Park Row, </w:t>
    </w:r>
    <w:smartTag w:uri="urn:schemas-microsoft-com:office:smarttags" w:element="place">
      <w:smartTag w:uri="urn:schemas-microsoft-com:office:smarttags" w:element="State">
        <w:smartTag w:uri="urn:schemas-microsoft-com:office:smarttags" w:element="City">
          <w:r w:rsidRPr="007934FC">
            <w:rPr>
              <w:rFonts w:ascii="Lucida Sans Unicode" w:hAnsi="Lucida Sans Unicode" w:cs="Lucida Sans Unicode"/>
              <w:b/>
              <w:color w:val="FF0000"/>
              <w:sz w:val="16"/>
              <w:szCs w:val="16"/>
            </w:rPr>
            <w:t>London</w:t>
          </w:r>
        </w:smartTag>
        <w:r w:rsidRPr="007934FC">
          <w:rPr>
            <w:rFonts w:ascii="Lucida Sans Unicode" w:hAnsi="Lucida Sans Unicode" w:cs="Lucida Sans Unicode"/>
            <w:b/>
            <w:color w:val="FF0000"/>
            <w:sz w:val="16"/>
            <w:szCs w:val="16"/>
          </w:rPr>
          <w:t xml:space="preserve"> </w:t>
        </w:r>
        <w:smartTag w:uri="urn:schemas-microsoft-com:office:smarttags" w:element="PostalCode">
          <w:r w:rsidRPr="007934FC">
            <w:rPr>
              <w:rFonts w:ascii="Lucida Sans Unicode" w:hAnsi="Lucida Sans Unicode" w:cs="Lucida Sans Unicode"/>
              <w:b/>
              <w:color w:val="FF0000"/>
              <w:sz w:val="16"/>
              <w:szCs w:val="16"/>
            </w:rPr>
            <w:t>SE10 9LS</w:t>
          </w:r>
        </w:smartTag>
        <w:r w:rsidRPr="007934FC">
          <w:rPr>
            <w:rFonts w:ascii="Lucida Sans Unicode" w:hAnsi="Lucida Sans Unicode" w:cs="Lucida Sans Unicode"/>
            <w:b/>
            <w:color w:val="FF0000"/>
            <w:sz w:val="16"/>
            <w:szCs w:val="16"/>
          </w:rPr>
          <w:t xml:space="preserve">, </w:t>
        </w:r>
        <w:smartTag w:uri="urn:schemas-microsoft-com:office:smarttags" w:element="country-region">
          <w:r w:rsidRPr="007934FC">
            <w:rPr>
              <w:rFonts w:ascii="Lucida Sans Unicode" w:hAnsi="Lucida Sans Unicode" w:cs="Lucida Sans Unicode"/>
              <w:b/>
              <w:color w:val="FF0000"/>
              <w:sz w:val="16"/>
              <w:szCs w:val="16"/>
            </w:rPr>
            <w:t>U.K.</w:t>
          </w:r>
        </w:smartTag>
      </w:smartTag>
    </w:smartTag>
    <w:r w:rsidRPr="007934FC">
      <w:rPr>
        <w:rFonts w:ascii="Lucida Sans Unicode" w:hAnsi="Lucida Sans Unicode" w:cs="Lucida Sans Unicode"/>
        <w:i/>
        <w:sz w:val="16"/>
        <w:szCs w:val="16"/>
      </w:rPr>
      <w:t xml:space="preserve"> </w:t>
    </w:r>
  </w:p>
  <w:p w:rsidR="003D7611" w:rsidRPr="007934FC" w:rsidRDefault="003D7611" w:rsidP="00996A6E">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3D7611" w:rsidRDefault="003D7611" w:rsidP="00996A6E">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color w:val="FF0000"/>
        <w:sz w:val="16"/>
        <w:szCs w:val="16"/>
      </w:rPr>
    </w:pP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w:t>
    </w:r>
    <w:smartTag w:uri="urn:schemas-microsoft-com:office:smarttags" w:element="PersonName">
      <w:smartTag w:uri="urn:schemas-microsoft-com:office:smarttags" w:element="PersonName">
        <w:r w:rsidRPr="007934FC">
          <w:rPr>
            <w:rFonts w:ascii="Lucida Sans Unicode" w:hAnsi="Lucida Sans Unicode" w:cs="Lucida Sans Unicode"/>
            <w:color w:val="FF0000"/>
            <w:sz w:val="16"/>
            <w:szCs w:val="16"/>
          </w:rPr>
          <w:t>Emanuele</w:t>
        </w:r>
      </w:smartTag>
      <w:r w:rsidRPr="007934FC">
        <w:rPr>
          <w:rFonts w:ascii="Lucida Sans Unicode" w:hAnsi="Lucida Sans Unicode" w:cs="Lucida Sans Unicode"/>
          <w:color w:val="FF0000"/>
          <w:sz w:val="16"/>
          <w:szCs w:val="16"/>
        </w:rPr>
        <w:t xml:space="preserve"> </w:t>
      </w:r>
      <w:smartTag w:uri="urn:schemas-microsoft-com:office:smarttags" w:element="PersonName">
        <w:r w:rsidRPr="007934FC">
          <w:rPr>
            <w:rFonts w:ascii="Lucida Sans Unicode" w:hAnsi="Lucida Sans Unicode" w:cs="Lucida Sans Unicode"/>
            <w:color w:val="FF0000"/>
            <w:sz w:val="16"/>
            <w:szCs w:val="16"/>
          </w:rPr>
          <w:t>Lobina</w:t>
        </w:r>
      </w:smartTag>
    </w:smartTag>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Corral, Sandra van Niekerk</w:t>
    </w:r>
  </w:p>
  <w:p w:rsidR="003D7611" w:rsidRPr="003F063D" w:rsidRDefault="003D7611"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A6" w:rsidRDefault="00091AA6">
      <w:r>
        <w:separator/>
      </w:r>
    </w:p>
  </w:footnote>
  <w:footnote w:type="continuationSeparator" w:id="0">
    <w:p w:rsidR="00091AA6" w:rsidRDefault="0009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11" w:rsidRPr="00652411" w:rsidRDefault="003D7611"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11" w:rsidRPr="00AD56C1" w:rsidRDefault="00CE21E3" w:rsidP="00AD56C1">
    <w:pPr>
      <w:tabs>
        <w:tab w:val="center" w:pos="4153"/>
        <w:tab w:val="right" w:pos="8306"/>
      </w:tabs>
      <w:rPr>
        <w:rFonts w:ascii="Lucida Sans Unicode" w:eastAsia="Times New Roman" w:hAnsi="Lucida Sans Unicode"/>
        <w:sz w:val="18"/>
        <w:szCs w:val="24"/>
        <w:lang w:eastAsia="en-GB"/>
      </w:rPr>
    </w:pPr>
    <w:r>
      <w:rPr>
        <w:rFonts w:ascii="Lucida Sans Unicode" w:eastAsia="Times New Roman" w:hAnsi="Lucida Sans Unicode"/>
        <w:noProof/>
        <w:sz w:val="18"/>
        <w:szCs w:val="24"/>
        <w:lang w:eastAsia="en-GB"/>
      </w:rPr>
      <mc:AlternateContent>
        <mc:Choice Requires="wps">
          <w:drawing>
            <wp:anchor distT="0" distB="0" distL="114300" distR="114300" simplePos="0" relativeHeight="251657728" behindDoc="0" locked="0" layoutInCell="1" allowOverlap="1">
              <wp:simplePos x="0" y="0"/>
              <wp:positionH relativeFrom="column">
                <wp:posOffset>1598295</wp:posOffset>
              </wp:positionH>
              <wp:positionV relativeFrom="paragraph">
                <wp:posOffset>17145</wp:posOffset>
              </wp:positionV>
              <wp:extent cx="4457700" cy="57150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611" w:rsidRDefault="003D7611" w:rsidP="00AD56C1">
                          <w:pPr>
                            <w:jc w:val="center"/>
                            <w:rPr>
                              <w:rFonts w:ascii="Lucida Sans Unicode" w:hAnsi="Lucida Sans Unicode" w:cs="Lucida Sans Unicode"/>
                              <w:b/>
                              <w:sz w:val="26"/>
                              <w:szCs w:val="26"/>
                            </w:rPr>
                          </w:pPr>
                          <w:r>
                            <w:rPr>
                              <w:rFonts w:ascii="Lucida Sans Unicode" w:hAnsi="Lucida Sans Unicode" w:cs="Lucida Sans Unicode"/>
                              <w:b/>
                              <w:color w:val="FF0000"/>
                              <w:sz w:val="26"/>
                              <w:szCs w:val="26"/>
                            </w:rPr>
                            <w:t>Public Services International Research Unit (PSIRU)</w:t>
                          </w:r>
                          <w:r>
                            <w:rPr>
                              <w:rFonts w:ascii="Lucida Sans Unicode" w:hAnsi="Lucida Sans Unicode" w:cs="Lucida Sans Unicode"/>
                              <w:b/>
                              <w:sz w:val="26"/>
                              <w:szCs w:val="26"/>
                            </w:rPr>
                            <w:t xml:space="preserve"> </w:t>
                          </w:r>
                        </w:p>
                        <w:p w:rsidR="003D7611" w:rsidRDefault="003D7611" w:rsidP="00AD56C1">
                          <w:pPr>
                            <w:spacing w:line="600" w:lineRule="auto"/>
                            <w:jc w:val="center"/>
                            <w:rPr>
                              <w:rFonts w:ascii="Lucida Sans Unicode" w:hAnsi="Lucida Sans Unicode" w:cs="Lucida Sans Unicode"/>
                              <w:sz w:val="20"/>
                              <w:szCs w:val="20"/>
                            </w:rPr>
                          </w:pPr>
                          <w:hyperlink r:id="rId1" w:history="1">
                            <w:r>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85pt;margin-top:1.35pt;width:35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ZJfgIAAA8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" stroked="f">
              <v:textbox inset=".5mm,.3mm,.5mm,.3mm">
                <w:txbxContent>
                  <w:p w:rsidR="003D7611" w:rsidRDefault="003D7611" w:rsidP="00AD56C1">
                    <w:pPr>
                      <w:jc w:val="center"/>
                      <w:rPr>
                        <w:rFonts w:ascii="Lucida Sans Unicode" w:hAnsi="Lucida Sans Unicode" w:cs="Lucida Sans Unicode"/>
                        <w:b/>
                        <w:sz w:val="26"/>
                        <w:szCs w:val="26"/>
                      </w:rPr>
                    </w:pPr>
                    <w:r>
                      <w:rPr>
                        <w:rFonts w:ascii="Lucida Sans Unicode" w:hAnsi="Lucida Sans Unicode" w:cs="Lucida Sans Unicode"/>
                        <w:b/>
                        <w:color w:val="FF0000"/>
                        <w:sz w:val="26"/>
                        <w:szCs w:val="26"/>
                      </w:rPr>
                      <w:t>Public Services International Research Unit (PSIRU)</w:t>
                    </w:r>
                    <w:r>
                      <w:rPr>
                        <w:rFonts w:ascii="Lucida Sans Unicode" w:hAnsi="Lucida Sans Unicode" w:cs="Lucida Sans Unicode"/>
                        <w:b/>
                        <w:sz w:val="26"/>
                        <w:szCs w:val="26"/>
                      </w:rPr>
                      <w:t xml:space="preserve"> </w:t>
                    </w:r>
                  </w:p>
                  <w:p w:rsidR="003D7611" w:rsidRDefault="003D7611" w:rsidP="00AD56C1">
                    <w:pPr>
                      <w:spacing w:line="600" w:lineRule="auto"/>
                      <w:jc w:val="center"/>
                      <w:rPr>
                        <w:rFonts w:ascii="Lucida Sans Unicode" w:hAnsi="Lucida Sans Unicode" w:cs="Lucida Sans Unicode"/>
                        <w:sz w:val="20"/>
                        <w:szCs w:val="20"/>
                      </w:rPr>
                    </w:pPr>
                    <w:hyperlink r:id="rId2" w:history="1">
                      <w:r>
                        <w:rPr>
                          <w:rStyle w:val="Hyperlink"/>
                          <w:rFonts w:ascii="Lucida Sans Unicode" w:hAnsi="Lucida Sans Unicode" w:cs="Lucida Sans Unicode"/>
                          <w:sz w:val="20"/>
                          <w:szCs w:val="20"/>
                          <w:u w:val="none"/>
                        </w:rPr>
                        <w:t>www.psiru.org</w:t>
                      </w:r>
                    </w:hyperlink>
                  </w:p>
                </w:txbxContent>
              </v:textbox>
            </v:shape>
          </w:pict>
        </mc:Fallback>
      </mc:AlternateContent>
    </w:r>
    <w:r>
      <w:rPr>
        <w:rFonts w:ascii="Lucida Sans Unicode" w:eastAsia="Times New Roman" w:hAnsi="Lucida Sans Unicode"/>
        <w:noProof/>
        <w:color w:val="0033FF"/>
        <w:sz w:val="18"/>
        <w:szCs w:val="24"/>
        <w:lang w:eastAsia="en-GB"/>
      </w:rPr>
      <w:drawing>
        <wp:inline distT="0" distB="0" distL="0" distR="0">
          <wp:extent cx="1447800" cy="533400"/>
          <wp:effectExtent l="0" t="0" r="0" b="0"/>
          <wp:docPr id="1" name="Picture 1"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p w:rsidR="003D7611" w:rsidRPr="00AD56C1" w:rsidRDefault="003D7611" w:rsidP="00AD56C1">
    <w:pPr>
      <w:pBdr>
        <w:bottom w:val="single" w:sz="4" w:space="1" w:color="auto"/>
      </w:pBdr>
      <w:tabs>
        <w:tab w:val="center" w:pos="4153"/>
        <w:tab w:val="right" w:pos="8306"/>
      </w:tabs>
      <w:jc w:val="center"/>
      <w:rPr>
        <w:rFonts w:ascii="Lucida Sans Unicode" w:eastAsia="Times New Roman" w:hAnsi="Lucida Sans Unicode"/>
        <w:sz w:val="18"/>
        <w:szCs w:val="24"/>
        <w:lang w:eastAsia="en-GB"/>
      </w:rPr>
    </w:pPr>
  </w:p>
  <w:p w:rsidR="003D7611" w:rsidRPr="00AD56C1" w:rsidRDefault="003D7611" w:rsidP="00AD5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ABE2A94A"/>
    <w:lvl w:ilvl="0">
      <w:start w:val="1"/>
      <w:numFmt w:val="bullet"/>
      <w:lvlText w:val=""/>
      <w:lvlJc w:val="left"/>
      <w:pPr>
        <w:tabs>
          <w:tab w:val="num" w:pos="360"/>
        </w:tabs>
        <w:ind w:left="360" w:hanging="360"/>
      </w:pPr>
      <w:rPr>
        <w:rFonts w:ascii="Symbol" w:hAnsi="Symbol" w:hint="default"/>
      </w:rPr>
    </w:lvl>
  </w:abstractNum>
  <w:abstractNum w:abstractNumId="10">
    <w:nsid w:val="026173C4"/>
    <w:multiLevelType w:val="hybridMultilevel"/>
    <w:tmpl w:val="F9BE9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42B6453"/>
    <w:multiLevelType w:val="multilevel"/>
    <w:tmpl w:val="3B6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786274"/>
    <w:multiLevelType w:val="hybridMultilevel"/>
    <w:tmpl w:val="9DBE2984"/>
    <w:lvl w:ilvl="0" w:tplc="0B7E2A8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0214AC"/>
    <w:multiLevelType w:val="hybridMultilevel"/>
    <w:tmpl w:val="9DB6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E80AF2"/>
    <w:multiLevelType w:val="multilevel"/>
    <w:tmpl w:val="1282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E71FD"/>
    <w:multiLevelType w:val="hybridMultilevel"/>
    <w:tmpl w:val="91C0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CF36CD"/>
    <w:multiLevelType w:val="hybridMultilevel"/>
    <w:tmpl w:val="2B048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1E02A16"/>
    <w:multiLevelType w:val="multilevel"/>
    <w:tmpl w:val="94146E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A575F6"/>
    <w:multiLevelType w:val="multilevel"/>
    <w:tmpl w:val="7E8E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5FB7E3E"/>
    <w:multiLevelType w:val="hybridMultilevel"/>
    <w:tmpl w:val="2688B7E8"/>
    <w:lvl w:ilvl="0" w:tplc="F3D2777E">
      <w:start w:val="1"/>
      <w:numFmt w:val="bullet"/>
      <w:pStyle w:val="FAQ"/>
      <w:lvlText w:val=""/>
      <w:lvlJc w:val="left"/>
      <w:pPr>
        <w:ind w:left="360" w:hanging="360"/>
      </w:pPr>
      <w:rPr>
        <w:rFonts w:ascii="Symbol" w:hAnsi="Symbol" w:hint="default"/>
        <w:b/>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9E54FA"/>
    <w:multiLevelType w:val="hybridMultilevel"/>
    <w:tmpl w:val="9480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635743C"/>
    <w:multiLevelType w:val="hybridMultilevel"/>
    <w:tmpl w:val="C8D0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DF8143A"/>
    <w:multiLevelType w:val="multilevel"/>
    <w:tmpl w:val="67105580"/>
    <w:lvl w:ilvl="0">
      <w:start w:val="1"/>
      <w:numFmt w:val="decimal"/>
      <w:pStyle w:val="Heading1"/>
      <w:lvlText w:val="%1. "/>
      <w:lvlJc w:val="left"/>
      <w:pPr>
        <w:tabs>
          <w:tab w:val="num" w:pos="284"/>
        </w:tabs>
        <w:ind w:left="0" w:firstLine="0"/>
      </w:pPr>
      <w:rPr>
        <w:rFonts w:hint="default"/>
      </w:rPr>
    </w:lvl>
    <w:lvl w:ilvl="1">
      <w:start w:val="1"/>
      <w:numFmt w:val="decimal"/>
      <w:pStyle w:val="Heading2"/>
      <w:lvlText w:val="%1.%2"/>
      <w:lvlJc w:val="left"/>
      <w:pPr>
        <w:tabs>
          <w:tab w:val="num" w:pos="284"/>
        </w:tabs>
        <w:ind w:left="576" w:hanging="576"/>
      </w:pPr>
      <w:rPr>
        <w:rFonts w:hint="default"/>
      </w:rPr>
    </w:lvl>
    <w:lvl w:ilvl="2">
      <w:start w:val="1"/>
      <w:numFmt w:val="decimal"/>
      <w:pStyle w:val="Heading3"/>
      <w:lvlText w:val="%1.%2.%3"/>
      <w:lvlJc w:val="left"/>
      <w:pPr>
        <w:tabs>
          <w:tab w:val="num" w:pos="284"/>
        </w:tabs>
        <w:ind w:left="720" w:hanging="720"/>
      </w:pPr>
      <w:rPr>
        <w:rFonts w:hint="default"/>
      </w:rPr>
    </w:lvl>
    <w:lvl w:ilvl="3">
      <w:start w:val="1"/>
      <w:numFmt w:val="decimal"/>
      <w:pStyle w:val="Heading4"/>
      <w:lvlText w:val="%1.%2.%3.%4"/>
      <w:lvlJc w:val="left"/>
      <w:pPr>
        <w:tabs>
          <w:tab w:val="num" w:pos="284"/>
        </w:tabs>
        <w:ind w:left="864" w:hanging="864"/>
      </w:pPr>
      <w:rPr>
        <w:rFonts w:hint="default"/>
      </w:rPr>
    </w:lvl>
    <w:lvl w:ilvl="4">
      <w:start w:val="1"/>
      <w:numFmt w:val="decimal"/>
      <w:lvlRestart w:val="0"/>
      <w:pStyle w:val="Heading5"/>
      <w:lvlText w:val="Annex: %5"/>
      <w:lvlJc w:val="left"/>
      <w:pPr>
        <w:tabs>
          <w:tab w:val="num" w:pos="284"/>
        </w:tabs>
        <w:ind w:left="1008" w:hanging="1008"/>
      </w:pPr>
      <w:rPr>
        <w:rFonts w:hint="default"/>
      </w:rPr>
    </w:lvl>
    <w:lvl w:ilvl="5">
      <w:start w:val="1"/>
      <w:numFmt w:val="decimal"/>
      <w:pStyle w:val="Heading6"/>
      <w:lvlText w:val="%5.%6"/>
      <w:lvlJc w:val="left"/>
      <w:pPr>
        <w:tabs>
          <w:tab w:val="num" w:pos="1152"/>
        </w:tabs>
        <w:ind w:left="1152" w:hanging="1152"/>
      </w:pPr>
      <w:rPr>
        <w:rFonts w:hint="default"/>
      </w:rPr>
    </w:lvl>
    <w:lvl w:ilvl="6">
      <w:start w:val="1"/>
      <w:numFmt w:val="decimal"/>
      <w:lvlText w:val="Table %7 "/>
      <w:lvlJc w:val="left"/>
      <w:pPr>
        <w:tabs>
          <w:tab w:val="num" w:pos="284"/>
        </w:tabs>
        <w:ind w:left="0" w:firstLine="0"/>
      </w:pPr>
      <w:rPr>
        <w:rFonts w:hint="default"/>
      </w:rPr>
    </w:lvl>
    <w:lvl w:ilvl="7">
      <w:start w:val="1"/>
      <w:numFmt w:val="upperLetter"/>
      <w:lvlText w:val="Chart %8"/>
      <w:lvlJc w:val="left"/>
      <w:pPr>
        <w:tabs>
          <w:tab w:val="num" w:pos="284"/>
        </w:tabs>
        <w:ind w:left="0" w:firstLine="0"/>
      </w:pPr>
      <w:rPr>
        <w:rFonts w:hint="default"/>
      </w:rPr>
    </w:lvl>
    <w:lvl w:ilvl="8">
      <w:start w:val="1"/>
      <w:numFmt w:val="bullet"/>
      <w:pStyle w:val="Heading9"/>
      <w:lvlText w:val=""/>
      <w:lvlJc w:val="left"/>
      <w:pPr>
        <w:tabs>
          <w:tab w:val="num" w:pos="284"/>
        </w:tabs>
        <w:ind w:left="0" w:firstLine="0"/>
      </w:pPr>
      <w:rPr>
        <w:rFonts w:ascii="Wingdings" w:hAnsi="Wingdings" w:hint="default"/>
        <w:color w:val="800080"/>
      </w:rPr>
    </w:lvl>
  </w:abstractNum>
  <w:abstractNum w:abstractNumId="27">
    <w:nsid w:val="76E868D9"/>
    <w:multiLevelType w:val="multilevel"/>
    <w:tmpl w:val="390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D1176"/>
    <w:multiLevelType w:val="hybridMultilevel"/>
    <w:tmpl w:val="27EAA0FC"/>
    <w:lvl w:ilvl="0" w:tplc="DBB2CA0E">
      <w:start w:val="1"/>
      <w:numFmt w:val="decimal"/>
      <w:pStyle w:val="Heading7"/>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6"/>
  </w:num>
  <w:num w:numId="15">
    <w:abstractNumId w:val="18"/>
  </w:num>
  <w:num w:numId="16">
    <w:abstractNumId w:val="17"/>
  </w:num>
  <w:num w:numId="17">
    <w:abstractNumId w:val="23"/>
  </w:num>
  <w:num w:numId="18">
    <w:abstractNumId w:val="10"/>
  </w:num>
  <w:num w:numId="19">
    <w:abstractNumId w:val="19"/>
  </w:num>
  <w:num w:numId="20">
    <w:abstractNumId w:val="15"/>
  </w:num>
  <w:num w:numId="21">
    <w:abstractNumId w:val="28"/>
  </w:num>
  <w:num w:numId="22">
    <w:abstractNumId w:val="26"/>
    <w:lvlOverride w:ilvl="0">
      <w:startOverride w:val="1"/>
    </w:lvlOverride>
  </w:num>
  <w:num w:numId="23">
    <w:abstractNumId w:val="22"/>
  </w:num>
  <w:num w:numId="24">
    <w:abstractNumId w:val="28"/>
    <w:lvlOverride w:ilvl="0">
      <w:startOverride w:val="1"/>
    </w:lvlOverride>
  </w:num>
  <w:num w:numId="25">
    <w:abstractNumId w:val="14"/>
  </w:num>
  <w:num w:numId="26">
    <w:abstractNumId w:val="20"/>
  </w:num>
  <w:num w:numId="27">
    <w:abstractNumId w:val="16"/>
  </w:num>
  <w:num w:numId="28">
    <w:abstractNumId w:val="27"/>
  </w:num>
  <w:num w:numId="29">
    <w:abstractNumId w:val="9"/>
  </w:num>
  <w:num w:numId="30">
    <w:abstractNumId w:val="28"/>
    <w:lvlOverride w:ilvl="0">
      <w:startOverride w:val="1"/>
    </w:lvlOverride>
  </w:num>
  <w:num w:numId="31">
    <w:abstractNumId w:val="28"/>
    <w:lvlOverride w:ilvl="0"/>
  </w:num>
  <w:num w:numId="32">
    <w:abstractNumId w:val="28"/>
    <w:lvlOverride w:ilvl="0"/>
  </w:num>
  <w:num w:numId="33">
    <w:abstractNumId w:val="28"/>
    <w:lvlOverride w:ilvl="0"/>
  </w:num>
  <w:num w:numId="34">
    <w:abstractNumId w:val="28"/>
    <w:lvlOverride w:ilvl="0"/>
  </w:num>
  <w:num w:numId="35">
    <w:abstractNumId w:val="12"/>
  </w:num>
  <w:num w:numId="36">
    <w:abstractNumId w:val="28"/>
    <w:lvlOverride w:ilvl="0"/>
  </w:num>
  <w:num w:numId="3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ZA"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3074" fillcolor="white" stroke="f">
      <v:fill color="white"/>
      <v:stroke on="f"/>
    </o:shapedefaults>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41"/>
    <w:rsid w:val="0000193A"/>
    <w:rsid w:val="00001C29"/>
    <w:rsid w:val="00004C0F"/>
    <w:rsid w:val="0001044A"/>
    <w:rsid w:val="00015F93"/>
    <w:rsid w:val="0001666A"/>
    <w:rsid w:val="0001747D"/>
    <w:rsid w:val="00020A43"/>
    <w:rsid w:val="000224FB"/>
    <w:rsid w:val="00022915"/>
    <w:rsid w:val="00022D65"/>
    <w:rsid w:val="00024A57"/>
    <w:rsid w:val="0002736E"/>
    <w:rsid w:val="00027D88"/>
    <w:rsid w:val="00030017"/>
    <w:rsid w:val="000301E7"/>
    <w:rsid w:val="000330D7"/>
    <w:rsid w:val="00033244"/>
    <w:rsid w:val="00034898"/>
    <w:rsid w:val="00040579"/>
    <w:rsid w:val="00040824"/>
    <w:rsid w:val="00040861"/>
    <w:rsid w:val="00040A56"/>
    <w:rsid w:val="00041FA9"/>
    <w:rsid w:val="0004363C"/>
    <w:rsid w:val="00043954"/>
    <w:rsid w:val="00043B0A"/>
    <w:rsid w:val="0004591D"/>
    <w:rsid w:val="00046623"/>
    <w:rsid w:val="000469F7"/>
    <w:rsid w:val="00047D0E"/>
    <w:rsid w:val="00050479"/>
    <w:rsid w:val="000507B4"/>
    <w:rsid w:val="000514E4"/>
    <w:rsid w:val="0005223D"/>
    <w:rsid w:val="000553FF"/>
    <w:rsid w:val="000554E5"/>
    <w:rsid w:val="00060288"/>
    <w:rsid w:val="00060817"/>
    <w:rsid w:val="0006197A"/>
    <w:rsid w:val="00062280"/>
    <w:rsid w:val="000626EC"/>
    <w:rsid w:val="00065ED9"/>
    <w:rsid w:val="00066418"/>
    <w:rsid w:val="00066DF9"/>
    <w:rsid w:val="00067542"/>
    <w:rsid w:val="00070551"/>
    <w:rsid w:val="00070DF7"/>
    <w:rsid w:val="000716C4"/>
    <w:rsid w:val="00074975"/>
    <w:rsid w:val="0007530C"/>
    <w:rsid w:val="000753D5"/>
    <w:rsid w:val="00077B9A"/>
    <w:rsid w:val="00077F2E"/>
    <w:rsid w:val="00082118"/>
    <w:rsid w:val="000832B1"/>
    <w:rsid w:val="00083A7D"/>
    <w:rsid w:val="000910AC"/>
    <w:rsid w:val="00091675"/>
    <w:rsid w:val="00091AA6"/>
    <w:rsid w:val="00097391"/>
    <w:rsid w:val="000A11D3"/>
    <w:rsid w:val="000A1F12"/>
    <w:rsid w:val="000A2014"/>
    <w:rsid w:val="000A2AC1"/>
    <w:rsid w:val="000A4068"/>
    <w:rsid w:val="000A419F"/>
    <w:rsid w:val="000A4516"/>
    <w:rsid w:val="000B1B06"/>
    <w:rsid w:val="000B296D"/>
    <w:rsid w:val="000B3950"/>
    <w:rsid w:val="000C23E2"/>
    <w:rsid w:val="000C2E61"/>
    <w:rsid w:val="000C3890"/>
    <w:rsid w:val="000C5318"/>
    <w:rsid w:val="000C7B1A"/>
    <w:rsid w:val="000C7ED8"/>
    <w:rsid w:val="000D204C"/>
    <w:rsid w:val="000D601A"/>
    <w:rsid w:val="000D7014"/>
    <w:rsid w:val="000D777A"/>
    <w:rsid w:val="000E03C5"/>
    <w:rsid w:val="000E0DF0"/>
    <w:rsid w:val="000E49D5"/>
    <w:rsid w:val="000E5DB6"/>
    <w:rsid w:val="000E67E2"/>
    <w:rsid w:val="000E6A51"/>
    <w:rsid w:val="000F11DE"/>
    <w:rsid w:val="000F2498"/>
    <w:rsid w:val="000F289C"/>
    <w:rsid w:val="000F61F4"/>
    <w:rsid w:val="0010090C"/>
    <w:rsid w:val="00101A75"/>
    <w:rsid w:val="00104F07"/>
    <w:rsid w:val="0010531F"/>
    <w:rsid w:val="001054F8"/>
    <w:rsid w:val="0010643D"/>
    <w:rsid w:val="00111462"/>
    <w:rsid w:val="00112113"/>
    <w:rsid w:val="00114CD2"/>
    <w:rsid w:val="00116145"/>
    <w:rsid w:val="0011638C"/>
    <w:rsid w:val="00121266"/>
    <w:rsid w:val="001212E0"/>
    <w:rsid w:val="001231D3"/>
    <w:rsid w:val="00124A5B"/>
    <w:rsid w:val="001309C9"/>
    <w:rsid w:val="00130F60"/>
    <w:rsid w:val="00132037"/>
    <w:rsid w:val="00136123"/>
    <w:rsid w:val="00137013"/>
    <w:rsid w:val="00137D1A"/>
    <w:rsid w:val="00137E89"/>
    <w:rsid w:val="001437D4"/>
    <w:rsid w:val="00143DDB"/>
    <w:rsid w:val="00144029"/>
    <w:rsid w:val="00144A25"/>
    <w:rsid w:val="00145610"/>
    <w:rsid w:val="0015069A"/>
    <w:rsid w:val="00152193"/>
    <w:rsid w:val="0015331E"/>
    <w:rsid w:val="00153AD8"/>
    <w:rsid w:val="001579E3"/>
    <w:rsid w:val="001606FD"/>
    <w:rsid w:val="00160DF2"/>
    <w:rsid w:val="00162C41"/>
    <w:rsid w:val="00165A6D"/>
    <w:rsid w:val="0016619D"/>
    <w:rsid w:val="001665CC"/>
    <w:rsid w:val="001670F1"/>
    <w:rsid w:val="00180793"/>
    <w:rsid w:val="00181A2C"/>
    <w:rsid w:val="00181D7A"/>
    <w:rsid w:val="00182432"/>
    <w:rsid w:val="00187422"/>
    <w:rsid w:val="00191954"/>
    <w:rsid w:val="00191E6C"/>
    <w:rsid w:val="00192592"/>
    <w:rsid w:val="00193AE4"/>
    <w:rsid w:val="00193B9C"/>
    <w:rsid w:val="00194C44"/>
    <w:rsid w:val="001960F2"/>
    <w:rsid w:val="001962E6"/>
    <w:rsid w:val="00197150"/>
    <w:rsid w:val="00197E6B"/>
    <w:rsid w:val="001A113A"/>
    <w:rsid w:val="001B15AD"/>
    <w:rsid w:val="001B2FC9"/>
    <w:rsid w:val="001B4585"/>
    <w:rsid w:val="001B59DF"/>
    <w:rsid w:val="001B617E"/>
    <w:rsid w:val="001B7232"/>
    <w:rsid w:val="001B7EC0"/>
    <w:rsid w:val="001C20A2"/>
    <w:rsid w:val="001C22FD"/>
    <w:rsid w:val="001C2C8E"/>
    <w:rsid w:val="001C53EF"/>
    <w:rsid w:val="001C6445"/>
    <w:rsid w:val="001C77E0"/>
    <w:rsid w:val="001D16B0"/>
    <w:rsid w:val="001D3B1F"/>
    <w:rsid w:val="001D410C"/>
    <w:rsid w:val="001D41B1"/>
    <w:rsid w:val="001D468E"/>
    <w:rsid w:val="001D6804"/>
    <w:rsid w:val="001D68F4"/>
    <w:rsid w:val="001D6FD8"/>
    <w:rsid w:val="001E259F"/>
    <w:rsid w:val="001E28E7"/>
    <w:rsid w:val="001E40A2"/>
    <w:rsid w:val="001E5211"/>
    <w:rsid w:val="001E7686"/>
    <w:rsid w:val="001E7C11"/>
    <w:rsid w:val="001E7D52"/>
    <w:rsid w:val="001F2767"/>
    <w:rsid w:val="001F4081"/>
    <w:rsid w:val="001F6523"/>
    <w:rsid w:val="001F7525"/>
    <w:rsid w:val="00200512"/>
    <w:rsid w:val="00201114"/>
    <w:rsid w:val="002032CD"/>
    <w:rsid w:val="00203E8E"/>
    <w:rsid w:val="002043B6"/>
    <w:rsid w:val="00212225"/>
    <w:rsid w:val="002140B5"/>
    <w:rsid w:val="002140D0"/>
    <w:rsid w:val="002146B8"/>
    <w:rsid w:val="00214AC2"/>
    <w:rsid w:val="00221A4C"/>
    <w:rsid w:val="00225C72"/>
    <w:rsid w:val="00233B53"/>
    <w:rsid w:val="002353BF"/>
    <w:rsid w:val="0023648D"/>
    <w:rsid w:val="0024107D"/>
    <w:rsid w:val="002412BE"/>
    <w:rsid w:val="00241D40"/>
    <w:rsid w:val="00242081"/>
    <w:rsid w:val="00244E40"/>
    <w:rsid w:val="0024753A"/>
    <w:rsid w:val="002531C7"/>
    <w:rsid w:val="00253C8F"/>
    <w:rsid w:val="00254EFE"/>
    <w:rsid w:val="002574BB"/>
    <w:rsid w:val="00261BEC"/>
    <w:rsid w:val="00262C4A"/>
    <w:rsid w:val="00265516"/>
    <w:rsid w:val="002668CB"/>
    <w:rsid w:val="00266940"/>
    <w:rsid w:val="00267FDC"/>
    <w:rsid w:val="002712AD"/>
    <w:rsid w:val="00271B91"/>
    <w:rsid w:val="00272E24"/>
    <w:rsid w:val="0027317A"/>
    <w:rsid w:val="00274414"/>
    <w:rsid w:val="00281F48"/>
    <w:rsid w:val="00284F2C"/>
    <w:rsid w:val="002871CC"/>
    <w:rsid w:val="00290694"/>
    <w:rsid w:val="0029225F"/>
    <w:rsid w:val="00293ACE"/>
    <w:rsid w:val="00294B08"/>
    <w:rsid w:val="00295905"/>
    <w:rsid w:val="002971CC"/>
    <w:rsid w:val="002A056D"/>
    <w:rsid w:val="002A05F3"/>
    <w:rsid w:val="002A0C48"/>
    <w:rsid w:val="002A0EA7"/>
    <w:rsid w:val="002A153C"/>
    <w:rsid w:val="002A3B0D"/>
    <w:rsid w:val="002A3CBB"/>
    <w:rsid w:val="002A3E47"/>
    <w:rsid w:val="002A476B"/>
    <w:rsid w:val="002A6EF0"/>
    <w:rsid w:val="002B013F"/>
    <w:rsid w:val="002C04DE"/>
    <w:rsid w:val="002C04DF"/>
    <w:rsid w:val="002C750B"/>
    <w:rsid w:val="002D1364"/>
    <w:rsid w:val="002D2962"/>
    <w:rsid w:val="002D2D7F"/>
    <w:rsid w:val="002D55D4"/>
    <w:rsid w:val="002D5674"/>
    <w:rsid w:val="002D56F6"/>
    <w:rsid w:val="002D6A37"/>
    <w:rsid w:val="002D76C9"/>
    <w:rsid w:val="002D7807"/>
    <w:rsid w:val="002E0566"/>
    <w:rsid w:val="002E4005"/>
    <w:rsid w:val="002E4C68"/>
    <w:rsid w:val="002E601D"/>
    <w:rsid w:val="002E6646"/>
    <w:rsid w:val="002F2A52"/>
    <w:rsid w:val="002F76DB"/>
    <w:rsid w:val="00300A74"/>
    <w:rsid w:val="00302E52"/>
    <w:rsid w:val="003057A1"/>
    <w:rsid w:val="00306154"/>
    <w:rsid w:val="00307EA3"/>
    <w:rsid w:val="0031037E"/>
    <w:rsid w:val="003104B4"/>
    <w:rsid w:val="00310DE0"/>
    <w:rsid w:val="00311408"/>
    <w:rsid w:val="00311AC3"/>
    <w:rsid w:val="00313174"/>
    <w:rsid w:val="00313177"/>
    <w:rsid w:val="00313A80"/>
    <w:rsid w:val="00314EA9"/>
    <w:rsid w:val="00316000"/>
    <w:rsid w:val="00316070"/>
    <w:rsid w:val="00317C4F"/>
    <w:rsid w:val="00320F65"/>
    <w:rsid w:val="00324368"/>
    <w:rsid w:val="003270DC"/>
    <w:rsid w:val="003278A3"/>
    <w:rsid w:val="00327C13"/>
    <w:rsid w:val="00331E8C"/>
    <w:rsid w:val="003379D5"/>
    <w:rsid w:val="00340EFF"/>
    <w:rsid w:val="00342485"/>
    <w:rsid w:val="0034291B"/>
    <w:rsid w:val="00342B50"/>
    <w:rsid w:val="00342DC4"/>
    <w:rsid w:val="00343359"/>
    <w:rsid w:val="00344D87"/>
    <w:rsid w:val="003453FE"/>
    <w:rsid w:val="0035322E"/>
    <w:rsid w:val="00353BF8"/>
    <w:rsid w:val="003613F2"/>
    <w:rsid w:val="00362BF7"/>
    <w:rsid w:val="0036387D"/>
    <w:rsid w:val="00364142"/>
    <w:rsid w:val="003660F9"/>
    <w:rsid w:val="00366E56"/>
    <w:rsid w:val="0037033A"/>
    <w:rsid w:val="00370504"/>
    <w:rsid w:val="00373C70"/>
    <w:rsid w:val="00373D7A"/>
    <w:rsid w:val="00373DE2"/>
    <w:rsid w:val="003740DC"/>
    <w:rsid w:val="0037459C"/>
    <w:rsid w:val="00374DBD"/>
    <w:rsid w:val="00384D67"/>
    <w:rsid w:val="00385021"/>
    <w:rsid w:val="00385D52"/>
    <w:rsid w:val="003877E7"/>
    <w:rsid w:val="00391100"/>
    <w:rsid w:val="0039265C"/>
    <w:rsid w:val="00392D31"/>
    <w:rsid w:val="003951B0"/>
    <w:rsid w:val="00395DC7"/>
    <w:rsid w:val="003A204C"/>
    <w:rsid w:val="003A5667"/>
    <w:rsid w:val="003A5ACB"/>
    <w:rsid w:val="003A7111"/>
    <w:rsid w:val="003A7DD0"/>
    <w:rsid w:val="003B0C59"/>
    <w:rsid w:val="003B17E1"/>
    <w:rsid w:val="003B1E18"/>
    <w:rsid w:val="003B32DD"/>
    <w:rsid w:val="003B4EF8"/>
    <w:rsid w:val="003B514D"/>
    <w:rsid w:val="003B5324"/>
    <w:rsid w:val="003B5C47"/>
    <w:rsid w:val="003B7AD1"/>
    <w:rsid w:val="003C2C5B"/>
    <w:rsid w:val="003C4CD9"/>
    <w:rsid w:val="003C620D"/>
    <w:rsid w:val="003D0A29"/>
    <w:rsid w:val="003D4DA5"/>
    <w:rsid w:val="003D5112"/>
    <w:rsid w:val="003D6208"/>
    <w:rsid w:val="003D7611"/>
    <w:rsid w:val="003D778A"/>
    <w:rsid w:val="003E0718"/>
    <w:rsid w:val="003E5565"/>
    <w:rsid w:val="003F0284"/>
    <w:rsid w:val="003F063D"/>
    <w:rsid w:val="003F11B4"/>
    <w:rsid w:val="003F13DF"/>
    <w:rsid w:val="003F25A2"/>
    <w:rsid w:val="003F58B0"/>
    <w:rsid w:val="003F5C4F"/>
    <w:rsid w:val="00400A22"/>
    <w:rsid w:val="00400E05"/>
    <w:rsid w:val="004032D2"/>
    <w:rsid w:val="0040535B"/>
    <w:rsid w:val="00407B25"/>
    <w:rsid w:val="00410CAB"/>
    <w:rsid w:val="004119C8"/>
    <w:rsid w:val="00420DA1"/>
    <w:rsid w:val="00420FBB"/>
    <w:rsid w:val="00422014"/>
    <w:rsid w:val="00426A89"/>
    <w:rsid w:val="00426B0F"/>
    <w:rsid w:val="00426E92"/>
    <w:rsid w:val="00431035"/>
    <w:rsid w:val="004319FF"/>
    <w:rsid w:val="00431A20"/>
    <w:rsid w:val="004322CF"/>
    <w:rsid w:val="0043537A"/>
    <w:rsid w:val="004374D5"/>
    <w:rsid w:val="004375F5"/>
    <w:rsid w:val="00437A69"/>
    <w:rsid w:val="00442B6E"/>
    <w:rsid w:val="00443B16"/>
    <w:rsid w:val="00443D7C"/>
    <w:rsid w:val="00444080"/>
    <w:rsid w:val="00444255"/>
    <w:rsid w:val="00445315"/>
    <w:rsid w:val="00445F07"/>
    <w:rsid w:val="00446BED"/>
    <w:rsid w:val="004510CD"/>
    <w:rsid w:val="00451105"/>
    <w:rsid w:val="004512D3"/>
    <w:rsid w:val="00452178"/>
    <w:rsid w:val="00452642"/>
    <w:rsid w:val="0045338D"/>
    <w:rsid w:val="004563F7"/>
    <w:rsid w:val="00456DF8"/>
    <w:rsid w:val="004570A0"/>
    <w:rsid w:val="00457F58"/>
    <w:rsid w:val="00462794"/>
    <w:rsid w:val="004645DE"/>
    <w:rsid w:val="00464A1A"/>
    <w:rsid w:val="00465211"/>
    <w:rsid w:val="00467B4D"/>
    <w:rsid w:val="00473D8A"/>
    <w:rsid w:val="004769AC"/>
    <w:rsid w:val="00477654"/>
    <w:rsid w:val="00477A79"/>
    <w:rsid w:val="004846EA"/>
    <w:rsid w:val="0048580A"/>
    <w:rsid w:val="00490709"/>
    <w:rsid w:val="00495F70"/>
    <w:rsid w:val="004A724D"/>
    <w:rsid w:val="004A7FD1"/>
    <w:rsid w:val="004B6604"/>
    <w:rsid w:val="004B7608"/>
    <w:rsid w:val="004B7CCC"/>
    <w:rsid w:val="004C04A1"/>
    <w:rsid w:val="004C582F"/>
    <w:rsid w:val="004C7E96"/>
    <w:rsid w:val="004D0EFE"/>
    <w:rsid w:val="004D2873"/>
    <w:rsid w:val="004D5CEC"/>
    <w:rsid w:val="004D7323"/>
    <w:rsid w:val="004D768A"/>
    <w:rsid w:val="004E03F4"/>
    <w:rsid w:val="004E0882"/>
    <w:rsid w:val="004E122C"/>
    <w:rsid w:val="004E1534"/>
    <w:rsid w:val="004E1907"/>
    <w:rsid w:val="004E2213"/>
    <w:rsid w:val="004E2419"/>
    <w:rsid w:val="004E334E"/>
    <w:rsid w:val="004E3457"/>
    <w:rsid w:val="004E509E"/>
    <w:rsid w:val="004E5DCB"/>
    <w:rsid w:val="004E75E6"/>
    <w:rsid w:val="004E7FBE"/>
    <w:rsid w:val="004F0DE3"/>
    <w:rsid w:val="004F1571"/>
    <w:rsid w:val="004F19FA"/>
    <w:rsid w:val="004F1AB2"/>
    <w:rsid w:val="004F3BA7"/>
    <w:rsid w:val="004F511D"/>
    <w:rsid w:val="004F58E8"/>
    <w:rsid w:val="004F5F93"/>
    <w:rsid w:val="004F7B10"/>
    <w:rsid w:val="004F7C80"/>
    <w:rsid w:val="00500AC1"/>
    <w:rsid w:val="00501385"/>
    <w:rsid w:val="00503E57"/>
    <w:rsid w:val="00507056"/>
    <w:rsid w:val="00510A96"/>
    <w:rsid w:val="00514D1C"/>
    <w:rsid w:val="00515D49"/>
    <w:rsid w:val="005166AF"/>
    <w:rsid w:val="005173DB"/>
    <w:rsid w:val="005230DD"/>
    <w:rsid w:val="00523714"/>
    <w:rsid w:val="00524B49"/>
    <w:rsid w:val="0052568E"/>
    <w:rsid w:val="00527B2A"/>
    <w:rsid w:val="0053183E"/>
    <w:rsid w:val="00531D3A"/>
    <w:rsid w:val="00531E76"/>
    <w:rsid w:val="00531F74"/>
    <w:rsid w:val="0053720D"/>
    <w:rsid w:val="005424FB"/>
    <w:rsid w:val="0054422D"/>
    <w:rsid w:val="0054642A"/>
    <w:rsid w:val="00546A79"/>
    <w:rsid w:val="00547333"/>
    <w:rsid w:val="00547F8D"/>
    <w:rsid w:val="005524AE"/>
    <w:rsid w:val="005528B3"/>
    <w:rsid w:val="005543C8"/>
    <w:rsid w:val="00555D5C"/>
    <w:rsid w:val="00556BE1"/>
    <w:rsid w:val="005605DA"/>
    <w:rsid w:val="00562295"/>
    <w:rsid w:val="0056235E"/>
    <w:rsid w:val="005630BE"/>
    <w:rsid w:val="005660D3"/>
    <w:rsid w:val="00567468"/>
    <w:rsid w:val="005678DB"/>
    <w:rsid w:val="00567FAB"/>
    <w:rsid w:val="0057385C"/>
    <w:rsid w:val="00573AB5"/>
    <w:rsid w:val="00574725"/>
    <w:rsid w:val="0057725C"/>
    <w:rsid w:val="00582E1A"/>
    <w:rsid w:val="00585A77"/>
    <w:rsid w:val="00585D2C"/>
    <w:rsid w:val="00591177"/>
    <w:rsid w:val="00591204"/>
    <w:rsid w:val="005919BF"/>
    <w:rsid w:val="0059426D"/>
    <w:rsid w:val="005A15B2"/>
    <w:rsid w:val="005A3C1E"/>
    <w:rsid w:val="005A5761"/>
    <w:rsid w:val="005A6940"/>
    <w:rsid w:val="005A6CA1"/>
    <w:rsid w:val="005B2FD1"/>
    <w:rsid w:val="005B355C"/>
    <w:rsid w:val="005B389F"/>
    <w:rsid w:val="005B4822"/>
    <w:rsid w:val="005B5F40"/>
    <w:rsid w:val="005B6E7D"/>
    <w:rsid w:val="005C0028"/>
    <w:rsid w:val="005C1760"/>
    <w:rsid w:val="005C2ABC"/>
    <w:rsid w:val="005C3030"/>
    <w:rsid w:val="005C4F60"/>
    <w:rsid w:val="005C5334"/>
    <w:rsid w:val="005C6EE6"/>
    <w:rsid w:val="005C7CD0"/>
    <w:rsid w:val="005D1CA8"/>
    <w:rsid w:val="005D296F"/>
    <w:rsid w:val="005D5171"/>
    <w:rsid w:val="005D723E"/>
    <w:rsid w:val="005E32A2"/>
    <w:rsid w:val="005E3B55"/>
    <w:rsid w:val="005E599A"/>
    <w:rsid w:val="005E7FB8"/>
    <w:rsid w:val="005F2EFE"/>
    <w:rsid w:val="005F2F99"/>
    <w:rsid w:val="005F4287"/>
    <w:rsid w:val="005F4F95"/>
    <w:rsid w:val="005F5273"/>
    <w:rsid w:val="005F5721"/>
    <w:rsid w:val="005F59AB"/>
    <w:rsid w:val="005F64B2"/>
    <w:rsid w:val="005F7632"/>
    <w:rsid w:val="006057D3"/>
    <w:rsid w:val="0061006F"/>
    <w:rsid w:val="00611B7F"/>
    <w:rsid w:val="00611CF0"/>
    <w:rsid w:val="00611D58"/>
    <w:rsid w:val="00613646"/>
    <w:rsid w:val="00614638"/>
    <w:rsid w:val="0061565E"/>
    <w:rsid w:val="0061695B"/>
    <w:rsid w:val="00621425"/>
    <w:rsid w:val="00623684"/>
    <w:rsid w:val="00623C21"/>
    <w:rsid w:val="00623CCE"/>
    <w:rsid w:val="006251B7"/>
    <w:rsid w:val="00625ED5"/>
    <w:rsid w:val="006306CD"/>
    <w:rsid w:val="00635EF4"/>
    <w:rsid w:val="00636D22"/>
    <w:rsid w:val="0063731B"/>
    <w:rsid w:val="00637970"/>
    <w:rsid w:val="00650C03"/>
    <w:rsid w:val="00650EC5"/>
    <w:rsid w:val="0065167D"/>
    <w:rsid w:val="00651CCD"/>
    <w:rsid w:val="00652411"/>
    <w:rsid w:val="006550D2"/>
    <w:rsid w:val="006570FE"/>
    <w:rsid w:val="00660DDB"/>
    <w:rsid w:val="00661F91"/>
    <w:rsid w:val="006633B7"/>
    <w:rsid w:val="00663AB9"/>
    <w:rsid w:val="00663B92"/>
    <w:rsid w:val="00663C93"/>
    <w:rsid w:val="0066409C"/>
    <w:rsid w:val="0066469B"/>
    <w:rsid w:val="006647BC"/>
    <w:rsid w:val="00664F46"/>
    <w:rsid w:val="00665AC9"/>
    <w:rsid w:val="006669E8"/>
    <w:rsid w:val="00667985"/>
    <w:rsid w:val="006722D0"/>
    <w:rsid w:val="00675A7B"/>
    <w:rsid w:val="00677320"/>
    <w:rsid w:val="00680AAB"/>
    <w:rsid w:val="0068192C"/>
    <w:rsid w:val="00684580"/>
    <w:rsid w:val="006863C0"/>
    <w:rsid w:val="00686CE9"/>
    <w:rsid w:val="00690E93"/>
    <w:rsid w:val="00692896"/>
    <w:rsid w:val="00694147"/>
    <w:rsid w:val="00695730"/>
    <w:rsid w:val="00697403"/>
    <w:rsid w:val="006976D4"/>
    <w:rsid w:val="006A183C"/>
    <w:rsid w:val="006A1EE2"/>
    <w:rsid w:val="006A47E3"/>
    <w:rsid w:val="006A48B3"/>
    <w:rsid w:val="006A5114"/>
    <w:rsid w:val="006A51D1"/>
    <w:rsid w:val="006A5BD4"/>
    <w:rsid w:val="006A5D65"/>
    <w:rsid w:val="006A6779"/>
    <w:rsid w:val="006A7956"/>
    <w:rsid w:val="006B0F73"/>
    <w:rsid w:val="006B102B"/>
    <w:rsid w:val="006B28DF"/>
    <w:rsid w:val="006B308D"/>
    <w:rsid w:val="006B3E82"/>
    <w:rsid w:val="006B49E8"/>
    <w:rsid w:val="006B591D"/>
    <w:rsid w:val="006B5C3D"/>
    <w:rsid w:val="006B6A4E"/>
    <w:rsid w:val="006C0206"/>
    <w:rsid w:val="006C1528"/>
    <w:rsid w:val="006C3847"/>
    <w:rsid w:val="006C50B4"/>
    <w:rsid w:val="006C5A9C"/>
    <w:rsid w:val="006C6E64"/>
    <w:rsid w:val="006D0369"/>
    <w:rsid w:val="006D0631"/>
    <w:rsid w:val="006D29A8"/>
    <w:rsid w:val="006D3CE9"/>
    <w:rsid w:val="006D6206"/>
    <w:rsid w:val="006D748B"/>
    <w:rsid w:val="006E3235"/>
    <w:rsid w:val="006E5A91"/>
    <w:rsid w:val="006E700F"/>
    <w:rsid w:val="006E72B0"/>
    <w:rsid w:val="006F109B"/>
    <w:rsid w:val="00704BA9"/>
    <w:rsid w:val="00705E4F"/>
    <w:rsid w:val="0070637D"/>
    <w:rsid w:val="00706488"/>
    <w:rsid w:val="00710055"/>
    <w:rsid w:val="0071035D"/>
    <w:rsid w:val="00710653"/>
    <w:rsid w:val="00710DC7"/>
    <w:rsid w:val="007115EF"/>
    <w:rsid w:val="00712D29"/>
    <w:rsid w:val="00713D4D"/>
    <w:rsid w:val="0071448D"/>
    <w:rsid w:val="00720DFB"/>
    <w:rsid w:val="00724DD7"/>
    <w:rsid w:val="007254D1"/>
    <w:rsid w:val="00725A61"/>
    <w:rsid w:val="00726B1C"/>
    <w:rsid w:val="00727226"/>
    <w:rsid w:val="007320D7"/>
    <w:rsid w:val="0073422C"/>
    <w:rsid w:val="00735533"/>
    <w:rsid w:val="007371EE"/>
    <w:rsid w:val="00740C3A"/>
    <w:rsid w:val="00746B48"/>
    <w:rsid w:val="00752D57"/>
    <w:rsid w:val="007536B8"/>
    <w:rsid w:val="00754400"/>
    <w:rsid w:val="00760963"/>
    <w:rsid w:val="00765061"/>
    <w:rsid w:val="007662B7"/>
    <w:rsid w:val="007664CF"/>
    <w:rsid w:val="00766708"/>
    <w:rsid w:val="0076726A"/>
    <w:rsid w:val="0077364C"/>
    <w:rsid w:val="007743DE"/>
    <w:rsid w:val="007746B0"/>
    <w:rsid w:val="0077665E"/>
    <w:rsid w:val="0077681E"/>
    <w:rsid w:val="0078006A"/>
    <w:rsid w:val="0078087D"/>
    <w:rsid w:val="00785AC1"/>
    <w:rsid w:val="00785DDB"/>
    <w:rsid w:val="00786280"/>
    <w:rsid w:val="00786556"/>
    <w:rsid w:val="007872A4"/>
    <w:rsid w:val="00791031"/>
    <w:rsid w:val="00791131"/>
    <w:rsid w:val="00792AEE"/>
    <w:rsid w:val="007934FC"/>
    <w:rsid w:val="00797DAD"/>
    <w:rsid w:val="007A3726"/>
    <w:rsid w:val="007A38A1"/>
    <w:rsid w:val="007B0D87"/>
    <w:rsid w:val="007B143D"/>
    <w:rsid w:val="007B1F8A"/>
    <w:rsid w:val="007B2F33"/>
    <w:rsid w:val="007B3DCC"/>
    <w:rsid w:val="007C0CB1"/>
    <w:rsid w:val="007C2EC0"/>
    <w:rsid w:val="007C39F2"/>
    <w:rsid w:val="007C4D02"/>
    <w:rsid w:val="007D0509"/>
    <w:rsid w:val="007D15CC"/>
    <w:rsid w:val="007D2E77"/>
    <w:rsid w:val="007D46CB"/>
    <w:rsid w:val="007E1E5F"/>
    <w:rsid w:val="007E220B"/>
    <w:rsid w:val="007E241D"/>
    <w:rsid w:val="007E31B1"/>
    <w:rsid w:val="007E4A85"/>
    <w:rsid w:val="007F0481"/>
    <w:rsid w:val="007F0C5C"/>
    <w:rsid w:val="007F1141"/>
    <w:rsid w:val="007F1A8B"/>
    <w:rsid w:val="007F1DB3"/>
    <w:rsid w:val="007F2913"/>
    <w:rsid w:val="007F4613"/>
    <w:rsid w:val="007F79D9"/>
    <w:rsid w:val="007F79DE"/>
    <w:rsid w:val="007F7ADA"/>
    <w:rsid w:val="00800002"/>
    <w:rsid w:val="00801D10"/>
    <w:rsid w:val="00801E33"/>
    <w:rsid w:val="008042ED"/>
    <w:rsid w:val="00806819"/>
    <w:rsid w:val="0081196E"/>
    <w:rsid w:val="00813EB9"/>
    <w:rsid w:val="00814BF3"/>
    <w:rsid w:val="008151A4"/>
    <w:rsid w:val="00816069"/>
    <w:rsid w:val="00816163"/>
    <w:rsid w:val="008207C7"/>
    <w:rsid w:val="00820829"/>
    <w:rsid w:val="0082127C"/>
    <w:rsid w:val="008238D4"/>
    <w:rsid w:val="00824A47"/>
    <w:rsid w:val="00824C42"/>
    <w:rsid w:val="00825775"/>
    <w:rsid w:val="00826BFC"/>
    <w:rsid w:val="00831B0F"/>
    <w:rsid w:val="008321A4"/>
    <w:rsid w:val="00833846"/>
    <w:rsid w:val="00840D22"/>
    <w:rsid w:val="008410FC"/>
    <w:rsid w:val="008421FC"/>
    <w:rsid w:val="0084256B"/>
    <w:rsid w:val="0084766E"/>
    <w:rsid w:val="00850602"/>
    <w:rsid w:val="00850D1C"/>
    <w:rsid w:val="00850D5D"/>
    <w:rsid w:val="008534EA"/>
    <w:rsid w:val="008551F0"/>
    <w:rsid w:val="00856408"/>
    <w:rsid w:val="008564E4"/>
    <w:rsid w:val="0085794C"/>
    <w:rsid w:val="00866696"/>
    <w:rsid w:val="00867ACD"/>
    <w:rsid w:val="008714A7"/>
    <w:rsid w:val="00872D50"/>
    <w:rsid w:val="00873978"/>
    <w:rsid w:val="00873A3E"/>
    <w:rsid w:val="00876C2A"/>
    <w:rsid w:val="00880AF4"/>
    <w:rsid w:val="00882B84"/>
    <w:rsid w:val="008838E6"/>
    <w:rsid w:val="00885447"/>
    <w:rsid w:val="00890BAC"/>
    <w:rsid w:val="00890E74"/>
    <w:rsid w:val="008915F1"/>
    <w:rsid w:val="00891608"/>
    <w:rsid w:val="00891C03"/>
    <w:rsid w:val="00895A2F"/>
    <w:rsid w:val="00895A67"/>
    <w:rsid w:val="00895E77"/>
    <w:rsid w:val="008964E7"/>
    <w:rsid w:val="00897E74"/>
    <w:rsid w:val="008A1EC9"/>
    <w:rsid w:val="008A5FE5"/>
    <w:rsid w:val="008A6B9E"/>
    <w:rsid w:val="008A72E0"/>
    <w:rsid w:val="008B00D2"/>
    <w:rsid w:val="008B0904"/>
    <w:rsid w:val="008B18D5"/>
    <w:rsid w:val="008B5ED0"/>
    <w:rsid w:val="008B6F2D"/>
    <w:rsid w:val="008C00DB"/>
    <w:rsid w:val="008C0E0A"/>
    <w:rsid w:val="008C1921"/>
    <w:rsid w:val="008C19B5"/>
    <w:rsid w:val="008C1F4B"/>
    <w:rsid w:val="008C2BAD"/>
    <w:rsid w:val="008C4389"/>
    <w:rsid w:val="008C43B5"/>
    <w:rsid w:val="008C5BE3"/>
    <w:rsid w:val="008C6CCF"/>
    <w:rsid w:val="008D4018"/>
    <w:rsid w:val="008D4838"/>
    <w:rsid w:val="008D5622"/>
    <w:rsid w:val="008E120A"/>
    <w:rsid w:val="008E14FC"/>
    <w:rsid w:val="008E2F6F"/>
    <w:rsid w:val="008E2FB1"/>
    <w:rsid w:val="008E5AA4"/>
    <w:rsid w:val="008E66E9"/>
    <w:rsid w:val="008E6CF6"/>
    <w:rsid w:val="008F019B"/>
    <w:rsid w:val="008F403D"/>
    <w:rsid w:val="008F6C74"/>
    <w:rsid w:val="0090022F"/>
    <w:rsid w:val="00901A1E"/>
    <w:rsid w:val="00903051"/>
    <w:rsid w:val="00903B09"/>
    <w:rsid w:val="009050E0"/>
    <w:rsid w:val="009061C3"/>
    <w:rsid w:val="00906BB9"/>
    <w:rsid w:val="00907107"/>
    <w:rsid w:val="00911C47"/>
    <w:rsid w:val="00912A26"/>
    <w:rsid w:val="0091450E"/>
    <w:rsid w:val="00914876"/>
    <w:rsid w:val="00920736"/>
    <w:rsid w:val="009218D1"/>
    <w:rsid w:val="00923581"/>
    <w:rsid w:val="009240AC"/>
    <w:rsid w:val="00924322"/>
    <w:rsid w:val="009255C1"/>
    <w:rsid w:val="009257AD"/>
    <w:rsid w:val="009264D9"/>
    <w:rsid w:val="009273EF"/>
    <w:rsid w:val="009317DD"/>
    <w:rsid w:val="00931E41"/>
    <w:rsid w:val="009342B4"/>
    <w:rsid w:val="00935CB6"/>
    <w:rsid w:val="00935E73"/>
    <w:rsid w:val="00936C23"/>
    <w:rsid w:val="009373C6"/>
    <w:rsid w:val="009400A5"/>
    <w:rsid w:val="009401B4"/>
    <w:rsid w:val="00942A2F"/>
    <w:rsid w:val="00943B0A"/>
    <w:rsid w:val="00946D6F"/>
    <w:rsid w:val="00946FB8"/>
    <w:rsid w:val="0095268E"/>
    <w:rsid w:val="00955C91"/>
    <w:rsid w:val="009628CB"/>
    <w:rsid w:val="00964AED"/>
    <w:rsid w:val="00964ECD"/>
    <w:rsid w:val="009679BC"/>
    <w:rsid w:val="00970242"/>
    <w:rsid w:val="009702D3"/>
    <w:rsid w:val="009713FB"/>
    <w:rsid w:val="00972822"/>
    <w:rsid w:val="00974034"/>
    <w:rsid w:val="00975B1D"/>
    <w:rsid w:val="009760AB"/>
    <w:rsid w:val="00977D4E"/>
    <w:rsid w:val="00982FC3"/>
    <w:rsid w:val="009834DE"/>
    <w:rsid w:val="009841E2"/>
    <w:rsid w:val="00984943"/>
    <w:rsid w:val="009851E7"/>
    <w:rsid w:val="009856B4"/>
    <w:rsid w:val="00991F47"/>
    <w:rsid w:val="0099238B"/>
    <w:rsid w:val="009929F6"/>
    <w:rsid w:val="0099579E"/>
    <w:rsid w:val="00996A6E"/>
    <w:rsid w:val="00997B43"/>
    <w:rsid w:val="009A6F5A"/>
    <w:rsid w:val="009A79AA"/>
    <w:rsid w:val="009A7BF4"/>
    <w:rsid w:val="009B4038"/>
    <w:rsid w:val="009B6499"/>
    <w:rsid w:val="009B7354"/>
    <w:rsid w:val="009C0030"/>
    <w:rsid w:val="009C20BE"/>
    <w:rsid w:val="009C2E42"/>
    <w:rsid w:val="009C571E"/>
    <w:rsid w:val="009D00F5"/>
    <w:rsid w:val="009E02ED"/>
    <w:rsid w:val="009E4755"/>
    <w:rsid w:val="009E48FD"/>
    <w:rsid w:val="009E66D2"/>
    <w:rsid w:val="009F07E5"/>
    <w:rsid w:val="009F4813"/>
    <w:rsid w:val="009F4F54"/>
    <w:rsid w:val="009F5288"/>
    <w:rsid w:val="009F547F"/>
    <w:rsid w:val="009F59E2"/>
    <w:rsid w:val="009F63F0"/>
    <w:rsid w:val="009F6624"/>
    <w:rsid w:val="009F7BD9"/>
    <w:rsid w:val="00A02DB0"/>
    <w:rsid w:val="00A038BB"/>
    <w:rsid w:val="00A0437F"/>
    <w:rsid w:val="00A073F1"/>
    <w:rsid w:val="00A12FE4"/>
    <w:rsid w:val="00A137EC"/>
    <w:rsid w:val="00A13C71"/>
    <w:rsid w:val="00A17389"/>
    <w:rsid w:val="00A17876"/>
    <w:rsid w:val="00A20125"/>
    <w:rsid w:val="00A22B80"/>
    <w:rsid w:val="00A23F45"/>
    <w:rsid w:val="00A306E3"/>
    <w:rsid w:val="00A3314B"/>
    <w:rsid w:val="00A33535"/>
    <w:rsid w:val="00A346C0"/>
    <w:rsid w:val="00A40766"/>
    <w:rsid w:val="00A40C35"/>
    <w:rsid w:val="00A433A4"/>
    <w:rsid w:val="00A44AE0"/>
    <w:rsid w:val="00A465D8"/>
    <w:rsid w:val="00A469D0"/>
    <w:rsid w:val="00A46EEC"/>
    <w:rsid w:val="00A4705C"/>
    <w:rsid w:val="00A47CB5"/>
    <w:rsid w:val="00A523E2"/>
    <w:rsid w:val="00A52CDA"/>
    <w:rsid w:val="00A5438A"/>
    <w:rsid w:val="00A6068D"/>
    <w:rsid w:val="00A61868"/>
    <w:rsid w:val="00A61ADD"/>
    <w:rsid w:val="00A638AF"/>
    <w:rsid w:val="00A67270"/>
    <w:rsid w:val="00A67AD7"/>
    <w:rsid w:val="00A67DCC"/>
    <w:rsid w:val="00A70A6C"/>
    <w:rsid w:val="00A745FE"/>
    <w:rsid w:val="00A7603F"/>
    <w:rsid w:val="00A761E0"/>
    <w:rsid w:val="00A77493"/>
    <w:rsid w:val="00A80547"/>
    <w:rsid w:val="00A842B9"/>
    <w:rsid w:val="00A855F3"/>
    <w:rsid w:val="00A856E3"/>
    <w:rsid w:val="00A86634"/>
    <w:rsid w:val="00A869A3"/>
    <w:rsid w:val="00A90348"/>
    <w:rsid w:val="00A91807"/>
    <w:rsid w:val="00A924AC"/>
    <w:rsid w:val="00A934A5"/>
    <w:rsid w:val="00A949BD"/>
    <w:rsid w:val="00A955D4"/>
    <w:rsid w:val="00AA1C5E"/>
    <w:rsid w:val="00AA2943"/>
    <w:rsid w:val="00AA2AC8"/>
    <w:rsid w:val="00AA3542"/>
    <w:rsid w:val="00AA43A8"/>
    <w:rsid w:val="00AA57BE"/>
    <w:rsid w:val="00AB2630"/>
    <w:rsid w:val="00AB471A"/>
    <w:rsid w:val="00AB476A"/>
    <w:rsid w:val="00AB48D6"/>
    <w:rsid w:val="00AB572D"/>
    <w:rsid w:val="00AB722C"/>
    <w:rsid w:val="00AC2282"/>
    <w:rsid w:val="00AC3023"/>
    <w:rsid w:val="00AC4645"/>
    <w:rsid w:val="00AC6647"/>
    <w:rsid w:val="00AD04DD"/>
    <w:rsid w:val="00AD0E4D"/>
    <w:rsid w:val="00AD0F23"/>
    <w:rsid w:val="00AD1F57"/>
    <w:rsid w:val="00AD2668"/>
    <w:rsid w:val="00AD2F69"/>
    <w:rsid w:val="00AD47D7"/>
    <w:rsid w:val="00AD56C1"/>
    <w:rsid w:val="00AD75A1"/>
    <w:rsid w:val="00AD7F2B"/>
    <w:rsid w:val="00AE19B1"/>
    <w:rsid w:val="00AE276D"/>
    <w:rsid w:val="00AE3227"/>
    <w:rsid w:val="00AE4A9F"/>
    <w:rsid w:val="00AE5DBB"/>
    <w:rsid w:val="00AE7246"/>
    <w:rsid w:val="00AE7FF3"/>
    <w:rsid w:val="00AF103D"/>
    <w:rsid w:val="00AF2FFA"/>
    <w:rsid w:val="00AF365E"/>
    <w:rsid w:val="00AF3C12"/>
    <w:rsid w:val="00AF3E64"/>
    <w:rsid w:val="00AF53BF"/>
    <w:rsid w:val="00AF605A"/>
    <w:rsid w:val="00AF7033"/>
    <w:rsid w:val="00B000A0"/>
    <w:rsid w:val="00B00C4F"/>
    <w:rsid w:val="00B01DF7"/>
    <w:rsid w:val="00B02CE8"/>
    <w:rsid w:val="00B03FB1"/>
    <w:rsid w:val="00B05F6D"/>
    <w:rsid w:val="00B0609B"/>
    <w:rsid w:val="00B065A8"/>
    <w:rsid w:val="00B076E0"/>
    <w:rsid w:val="00B1055E"/>
    <w:rsid w:val="00B1272C"/>
    <w:rsid w:val="00B12F6E"/>
    <w:rsid w:val="00B14F33"/>
    <w:rsid w:val="00B15061"/>
    <w:rsid w:val="00B15BB7"/>
    <w:rsid w:val="00B168CA"/>
    <w:rsid w:val="00B1696B"/>
    <w:rsid w:val="00B175D1"/>
    <w:rsid w:val="00B20D51"/>
    <w:rsid w:val="00B214FD"/>
    <w:rsid w:val="00B2231F"/>
    <w:rsid w:val="00B22604"/>
    <w:rsid w:val="00B234FF"/>
    <w:rsid w:val="00B237AA"/>
    <w:rsid w:val="00B2532E"/>
    <w:rsid w:val="00B25479"/>
    <w:rsid w:val="00B25E72"/>
    <w:rsid w:val="00B2660B"/>
    <w:rsid w:val="00B3114C"/>
    <w:rsid w:val="00B32FEA"/>
    <w:rsid w:val="00B341A0"/>
    <w:rsid w:val="00B36004"/>
    <w:rsid w:val="00B3611C"/>
    <w:rsid w:val="00B3769F"/>
    <w:rsid w:val="00B405E6"/>
    <w:rsid w:val="00B4424C"/>
    <w:rsid w:val="00B50157"/>
    <w:rsid w:val="00B5109A"/>
    <w:rsid w:val="00B55310"/>
    <w:rsid w:val="00B56C8C"/>
    <w:rsid w:val="00B56FD2"/>
    <w:rsid w:val="00B57202"/>
    <w:rsid w:val="00B57E86"/>
    <w:rsid w:val="00B60700"/>
    <w:rsid w:val="00B6726C"/>
    <w:rsid w:val="00B70956"/>
    <w:rsid w:val="00B70C60"/>
    <w:rsid w:val="00B72CDC"/>
    <w:rsid w:val="00B72EA8"/>
    <w:rsid w:val="00B72EBD"/>
    <w:rsid w:val="00B73A69"/>
    <w:rsid w:val="00B74F98"/>
    <w:rsid w:val="00B76681"/>
    <w:rsid w:val="00B76858"/>
    <w:rsid w:val="00B77767"/>
    <w:rsid w:val="00B80D05"/>
    <w:rsid w:val="00B81049"/>
    <w:rsid w:val="00B81940"/>
    <w:rsid w:val="00B8463E"/>
    <w:rsid w:val="00B847FC"/>
    <w:rsid w:val="00B85CCB"/>
    <w:rsid w:val="00B86D2C"/>
    <w:rsid w:val="00B914A4"/>
    <w:rsid w:val="00B92605"/>
    <w:rsid w:val="00B937A0"/>
    <w:rsid w:val="00B943DC"/>
    <w:rsid w:val="00B94D15"/>
    <w:rsid w:val="00B953AB"/>
    <w:rsid w:val="00B974CB"/>
    <w:rsid w:val="00BA1311"/>
    <w:rsid w:val="00BA177C"/>
    <w:rsid w:val="00BA4CC7"/>
    <w:rsid w:val="00BB25FD"/>
    <w:rsid w:val="00BB3F43"/>
    <w:rsid w:val="00BB4DBF"/>
    <w:rsid w:val="00BB5C10"/>
    <w:rsid w:val="00BC0256"/>
    <w:rsid w:val="00BC5FF1"/>
    <w:rsid w:val="00BC698A"/>
    <w:rsid w:val="00BD37B7"/>
    <w:rsid w:val="00BD4410"/>
    <w:rsid w:val="00BD7CCB"/>
    <w:rsid w:val="00BE08AC"/>
    <w:rsid w:val="00BE1072"/>
    <w:rsid w:val="00BE17F2"/>
    <w:rsid w:val="00BE4382"/>
    <w:rsid w:val="00BE5C0E"/>
    <w:rsid w:val="00BF0E99"/>
    <w:rsid w:val="00BF1470"/>
    <w:rsid w:val="00BF5CDD"/>
    <w:rsid w:val="00BF6745"/>
    <w:rsid w:val="00BF6BF9"/>
    <w:rsid w:val="00C04465"/>
    <w:rsid w:val="00C076CB"/>
    <w:rsid w:val="00C10454"/>
    <w:rsid w:val="00C12193"/>
    <w:rsid w:val="00C12B24"/>
    <w:rsid w:val="00C1610D"/>
    <w:rsid w:val="00C16D13"/>
    <w:rsid w:val="00C21FB9"/>
    <w:rsid w:val="00C243EF"/>
    <w:rsid w:val="00C24D5C"/>
    <w:rsid w:val="00C33B52"/>
    <w:rsid w:val="00C343FC"/>
    <w:rsid w:val="00C34B28"/>
    <w:rsid w:val="00C358F0"/>
    <w:rsid w:val="00C37AEC"/>
    <w:rsid w:val="00C41CFF"/>
    <w:rsid w:val="00C421E4"/>
    <w:rsid w:val="00C4429D"/>
    <w:rsid w:val="00C479F6"/>
    <w:rsid w:val="00C53E1E"/>
    <w:rsid w:val="00C55789"/>
    <w:rsid w:val="00C63575"/>
    <w:rsid w:val="00C65D31"/>
    <w:rsid w:val="00C66CF1"/>
    <w:rsid w:val="00C70190"/>
    <w:rsid w:val="00C7152E"/>
    <w:rsid w:val="00C7563F"/>
    <w:rsid w:val="00C75A2B"/>
    <w:rsid w:val="00C75F04"/>
    <w:rsid w:val="00C80761"/>
    <w:rsid w:val="00C818C9"/>
    <w:rsid w:val="00C81ACF"/>
    <w:rsid w:val="00C81E06"/>
    <w:rsid w:val="00C83353"/>
    <w:rsid w:val="00C854E0"/>
    <w:rsid w:val="00C85F03"/>
    <w:rsid w:val="00C92AA3"/>
    <w:rsid w:val="00C95E9E"/>
    <w:rsid w:val="00C96FAF"/>
    <w:rsid w:val="00C97613"/>
    <w:rsid w:val="00C97734"/>
    <w:rsid w:val="00C978B4"/>
    <w:rsid w:val="00CA0BEA"/>
    <w:rsid w:val="00CA12F8"/>
    <w:rsid w:val="00CA3058"/>
    <w:rsid w:val="00CA4867"/>
    <w:rsid w:val="00CA5816"/>
    <w:rsid w:val="00CA5E4D"/>
    <w:rsid w:val="00CA66DC"/>
    <w:rsid w:val="00CA748A"/>
    <w:rsid w:val="00CA7EC2"/>
    <w:rsid w:val="00CB0F1C"/>
    <w:rsid w:val="00CB1702"/>
    <w:rsid w:val="00CB37C5"/>
    <w:rsid w:val="00CB3B66"/>
    <w:rsid w:val="00CB5C7F"/>
    <w:rsid w:val="00CB6DF6"/>
    <w:rsid w:val="00CC0933"/>
    <w:rsid w:val="00CC0C98"/>
    <w:rsid w:val="00CC2B00"/>
    <w:rsid w:val="00CC4493"/>
    <w:rsid w:val="00CC556F"/>
    <w:rsid w:val="00CC6304"/>
    <w:rsid w:val="00CC6902"/>
    <w:rsid w:val="00CC6A26"/>
    <w:rsid w:val="00CC71C9"/>
    <w:rsid w:val="00CD1616"/>
    <w:rsid w:val="00CD229F"/>
    <w:rsid w:val="00CD459E"/>
    <w:rsid w:val="00CD5005"/>
    <w:rsid w:val="00CD761D"/>
    <w:rsid w:val="00CE0018"/>
    <w:rsid w:val="00CE21E3"/>
    <w:rsid w:val="00CE4AEE"/>
    <w:rsid w:val="00CE68A1"/>
    <w:rsid w:val="00CF01AE"/>
    <w:rsid w:val="00CF0D80"/>
    <w:rsid w:val="00CF14EA"/>
    <w:rsid w:val="00CF19CE"/>
    <w:rsid w:val="00CF3E9A"/>
    <w:rsid w:val="00CF4AE6"/>
    <w:rsid w:val="00CF4BCA"/>
    <w:rsid w:val="00CF7232"/>
    <w:rsid w:val="00CF7806"/>
    <w:rsid w:val="00CF7EF0"/>
    <w:rsid w:val="00D0297F"/>
    <w:rsid w:val="00D05D09"/>
    <w:rsid w:val="00D1099F"/>
    <w:rsid w:val="00D10B55"/>
    <w:rsid w:val="00D113E9"/>
    <w:rsid w:val="00D119BD"/>
    <w:rsid w:val="00D13C40"/>
    <w:rsid w:val="00D14663"/>
    <w:rsid w:val="00D16F62"/>
    <w:rsid w:val="00D2237A"/>
    <w:rsid w:val="00D22F29"/>
    <w:rsid w:val="00D23F85"/>
    <w:rsid w:val="00D2422D"/>
    <w:rsid w:val="00D2720E"/>
    <w:rsid w:val="00D27C18"/>
    <w:rsid w:val="00D27D52"/>
    <w:rsid w:val="00D30C55"/>
    <w:rsid w:val="00D322B2"/>
    <w:rsid w:val="00D35207"/>
    <w:rsid w:val="00D36692"/>
    <w:rsid w:val="00D37A5D"/>
    <w:rsid w:val="00D4447A"/>
    <w:rsid w:val="00D47428"/>
    <w:rsid w:val="00D47446"/>
    <w:rsid w:val="00D5178B"/>
    <w:rsid w:val="00D526BA"/>
    <w:rsid w:val="00D54117"/>
    <w:rsid w:val="00D5574C"/>
    <w:rsid w:val="00D56741"/>
    <w:rsid w:val="00D56772"/>
    <w:rsid w:val="00D6072D"/>
    <w:rsid w:val="00D62A22"/>
    <w:rsid w:val="00D62CC0"/>
    <w:rsid w:val="00D67097"/>
    <w:rsid w:val="00D70217"/>
    <w:rsid w:val="00D71DFB"/>
    <w:rsid w:val="00D71FBC"/>
    <w:rsid w:val="00D72425"/>
    <w:rsid w:val="00D73F13"/>
    <w:rsid w:val="00D74947"/>
    <w:rsid w:val="00D77879"/>
    <w:rsid w:val="00D77BF7"/>
    <w:rsid w:val="00D81C5A"/>
    <w:rsid w:val="00D90026"/>
    <w:rsid w:val="00D90A0D"/>
    <w:rsid w:val="00D910D6"/>
    <w:rsid w:val="00D93A8A"/>
    <w:rsid w:val="00D943EF"/>
    <w:rsid w:val="00D94C45"/>
    <w:rsid w:val="00D97D19"/>
    <w:rsid w:val="00DA00FF"/>
    <w:rsid w:val="00DA0485"/>
    <w:rsid w:val="00DA0F6E"/>
    <w:rsid w:val="00DA1FCA"/>
    <w:rsid w:val="00DA2ADA"/>
    <w:rsid w:val="00DA4464"/>
    <w:rsid w:val="00DA483E"/>
    <w:rsid w:val="00DA5523"/>
    <w:rsid w:val="00DA61E0"/>
    <w:rsid w:val="00DA6BB3"/>
    <w:rsid w:val="00DB3474"/>
    <w:rsid w:val="00DB3593"/>
    <w:rsid w:val="00DB4FF7"/>
    <w:rsid w:val="00DB77B4"/>
    <w:rsid w:val="00DC0141"/>
    <w:rsid w:val="00DC028B"/>
    <w:rsid w:val="00DC0A27"/>
    <w:rsid w:val="00DC5919"/>
    <w:rsid w:val="00DC6748"/>
    <w:rsid w:val="00DD06BE"/>
    <w:rsid w:val="00DD1D20"/>
    <w:rsid w:val="00DD1FC3"/>
    <w:rsid w:val="00DD41F7"/>
    <w:rsid w:val="00DE24E6"/>
    <w:rsid w:val="00DE2A02"/>
    <w:rsid w:val="00DE692B"/>
    <w:rsid w:val="00DE71E4"/>
    <w:rsid w:val="00DE727B"/>
    <w:rsid w:val="00DF598E"/>
    <w:rsid w:val="00E0016E"/>
    <w:rsid w:val="00E0166A"/>
    <w:rsid w:val="00E02149"/>
    <w:rsid w:val="00E034BA"/>
    <w:rsid w:val="00E115D3"/>
    <w:rsid w:val="00E1452F"/>
    <w:rsid w:val="00E15BE6"/>
    <w:rsid w:val="00E16EE5"/>
    <w:rsid w:val="00E2546B"/>
    <w:rsid w:val="00E25A4A"/>
    <w:rsid w:val="00E30B42"/>
    <w:rsid w:val="00E3141D"/>
    <w:rsid w:val="00E317AE"/>
    <w:rsid w:val="00E31DBB"/>
    <w:rsid w:val="00E31DC1"/>
    <w:rsid w:val="00E32BD4"/>
    <w:rsid w:val="00E3357B"/>
    <w:rsid w:val="00E33801"/>
    <w:rsid w:val="00E350A6"/>
    <w:rsid w:val="00E35EEE"/>
    <w:rsid w:val="00E36AAF"/>
    <w:rsid w:val="00E37DA6"/>
    <w:rsid w:val="00E4062F"/>
    <w:rsid w:val="00E42C6E"/>
    <w:rsid w:val="00E442B4"/>
    <w:rsid w:val="00E50914"/>
    <w:rsid w:val="00E51120"/>
    <w:rsid w:val="00E514D9"/>
    <w:rsid w:val="00E535EC"/>
    <w:rsid w:val="00E541EA"/>
    <w:rsid w:val="00E578C3"/>
    <w:rsid w:val="00E61EF8"/>
    <w:rsid w:val="00E635EC"/>
    <w:rsid w:val="00E64871"/>
    <w:rsid w:val="00E6561F"/>
    <w:rsid w:val="00E65A41"/>
    <w:rsid w:val="00E66DC4"/>
    <w:rsid w:val="00E70FB9"/>
    <w:rsid w:val="00E7222D"/>
    <w:rsid w:val="00E735B0"/>
    <w:rsid w:val="00E74566"/>
    <w:rsid w:val="00E74712"/>
    <w:rsid w:val="00E77D1B"/>
    <w:rsid w:val="00E820A1"/>
    <w:rsid w:val="00E87802"/>
    <w:rsid w:val="00E928DF"/>
    <w:rsid w:val="00E92BC0"/>
    <w:rsid w:val="00E93132"/>
    <w:rsid w:val="00E93E03"/>
    <w:rsid w:val="00EA1443"/>
    <w:rsid w:val="00EA1E97"/>
    <w:rsid w:val="00EA4945"/>
    <w:rsid w:val="00EA5A74"/>
    <w:rsid w:val="00EA6F9D"/>
    <w:rsid w:val="00EA7B9E"/>
    <w:rsid w:val="00EA7DE3"/>
    <w:rsid w:val="00EB2085"/>
    <w:rsid w:val="00EB4103"/>
    <w:rsid w:val="00EC012E"/>
    <w:rsid w:val="00EC3651"/>
    <w:rsid w:val="00EC3853"/>
    <w:rsid w:val="00EC5E1C"/>
    <w:rsid w:val="00EC6184"/>
    <w:rsid w:val="00EC71BD"/>
    <w:rsid w:val="00ED4925"/>
    <w:rsid w:val="00ED4DA5"/>
    <w:rsid w:val="00ED4FC1"/>
    <w:rsid w:val="00EE0B43"/>
    <w:rsid w:val="00EE0CD5"/>
    <w:rsid w:val="00EE2905"/>
    <w:rsid w:val="00EE2CC8"/>
    <w:rsid w:val="00EE3E92"/>
    <w:rsid w:val="00EE3FDF"/>
    <w:rsid w:val="00EE4E88"/>
    <w:rsid w:val="00EE6415"/>
    <w:rsid w:val="00EF02C5"/>
    <w:rsid w:val="00EF09E6"/>
    <w:rsid w:val="00EF1AD0"/>
    <w:rsid w:val="00EF47C9"/>
    <w:rsid w:val="00EF5FC2"/>
    <w:rsid w:val="00EF699C"/>
    <w:rsid w:val="00F016A6"/>
    <w:rsid w:val="00F01D58"/>
    <w:rsid w:val="00F024D0"/>
    <w:rsid w:val="00F0273D"/>
    <w:rsid w:val="00F0305B"/>
    <w:rsid w:val="00F03885"/>
    <w:rsid w:val="00F04F93"/>
    <w:rsid w:val="00F06919"/>
    <w:rsid w:val="00F11980"/>
    <w:rsid w:val="00F13F2E"/>
    <w:rsid w:val="00F15712"/>
    <w:rsid w:val="00F16748"/>
    <w:rsid w:val="00F1712A"/>
    <w:rsid w:val="00F20695"/>
    <w:rsid w:val="00F2131D"/>
    <w:rsid w:val="00F21508"/>
    <w:rsid w:val="00F232E4"/>
    <w:rsid w:val="00F24D19"/>
    <w:rsid w:val="00F25E35"/>
    <w:rsid w:val="00F2643F"/>
    <w:rsid w:val="00F26EB0"/>
    <w:rsid w:val="00F43B09"/>
    <w:rsid w:val="00F51DA4"/>
    <w:rsid w:val="00F52240"/>
    <w:rsid w:val="00F53E14"/>
    <w:rsid w:val="00F547AF"/>
    <w:rsid w:val="00F54D7F"/>
    <w:rsid w:val="00F56802"/>
    <w:rsid w:val="00F606DE"/>
    <w:rsid w:val="00F61058"/>
    <w:rsid w:val="00F61EB8"/>
    <w:rsid w:val="00F637CA"/>
    <w:rsid w:val="00F67EE2"/>
    <w:rsid w:val="00F71C09"/>
    <w:rsid w:val="00F76702"/>
    <w:rsid w:val="00F772F0"/>
    <w:rsid w:val="00F805B2"/>
    <w:rsid w:val="00F8094B"/>
    <w:rsid w:val="00F8160B"/>
    <w:rsid w:val="00F8216D"/>
    <w:rsid w:val="00F83FF4"/>
    <w:rsid w:val="00F85141"/>
    <w:rsid w:val="00F8514F"/>
    <w:rsid w:val="00F85D36"/>
    <w:rsid w:val="00F93133"/>
    <w:rsid w:val="00F96DEA"/>
    <w:rsid w:val="00F978DD"/>
    <w:rsid w:val="00FA016F"/>
    <w:rsid w:val="00FA0750"/>
    <w:rsid w:val="00FA0E37"/>
    <w:rsid w:val="00FA298F"/>
    <w:rsid w:val="00FA455F"/>
    <w:rsid w:val="00FB03B9"/>
    <w:rsid w:val="00FB1CEC"/>
    <w:rsid w:val="00FB54CC"/>
    <w:rsid w:val="00FB5A56"/>
    <w:rsid w:val="00FC00AD"/>
    <w:rsid w:val="00FC116E"/>
    <w:rsid w:val="00FC26A0"/>
    <w:rsid w:val="00FC2CB7"/>
    <w:rsid w:val="00FC31F0"/>
    <w:rsid w:val="00FC330B"/>
    <w:rsid w:val="00FC7D3D"/>
    <w:rsid w:val="00FD018E"/>
    <w:rsid w:val="00FD1B91"/>
    <w:rsid w:val="00FD1C67"/>
    <w:rsid w:val="00FD1E1A"/>
    <w:rsid w:val="00FD2ED4"/>
    <w:rsid w:val="00FD3A70"/>
    <w:rsid w:val="00FD426D"/>
    <w:rsid w:val="00FD46ED"/>
    <w:rsid w:val="00FD4938"/>
    <w:rsid w:val="00FD4A91"/>
    <w:rsid w:val="00FD5135"/>
    <w:rsid w:val="00FD5EEF"/>
    <w:rsid w:val="00FD7939"/>
    <w:rsid w:val="00FD79CB"/>
    <w:rsid w:val="00FE041F"/>
    <w:rsid w:val="00FE15C7"/>
    <w:rsid w:val="00FE25E6"/>
    <w:rsid w:val="00FE3628"/>
    <w:rsid w:val="00FE416A"/>
    <w:rsid w:val="00FF136D"/>
    <w:rsid w:val="00FF2DC4"/>
    <w:rsid w:val="00FF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7"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macro" w:uiPriority="99"/>
    <w:lsdException w:name="toa heading"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Table Classic 1" w:uiPriority="99"/>
    <w:lsdException w:name="Table Colorful 1" w:uiPriority="99"/>
    <w:lsdException w:name="Table Columns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92"/>
    <w:rPr>
      <w:rFonts w:ascii="Calibri" w:eastAsia="Calibri" w:hAnsi="Calibri"/>
      <w:sz w:val="22"/>
      <w:szCs w:val="22"/>
      <w:lang w:eastAsia="en-US"/>
    </w:rPr>
  </w:style>
  <w:style w:type="paragraph" w:styleId="Heading1">
    <w:name w:val="heading 1"/>
    <w:basedOn w:val="Normal"/>
    <w:next w:val="Normal"/>
    <w:link w:val="Heading1Char"/>
    <w:qFormat/>
    <w:rsid w:val="00AD0F23"/>
    <w:pPr>
      <w:keepNext/>
      <w:numPr>
        <w:numId w:val="14"/>
      </w:numPr>
      <w:spacing w:before="240" w:after="120"/>
      <w:outlineLvl w:val="0"/>
    </w:pPr>
    <w:rPr>
      <w:rFonts w:ascii="Trebuchet MS" w:hAnsi="Trebuchet MS"/>
      <w:b/>
      <w:bCs/>
      <w:kern w:val="32"/>
      <w:sz w:val="24"/>
      <w:szCs w:val="32"/>
      <w:lang w:val="x-none"/>
    </w:rPr>
  </w:style>
  <w:style w:type="paragraph" w:styleId="Heading2">
    <w:name w:val="heading 2"/>
    <w:basedOn w:val="Normal"/>
    <w:next w:val="Normal"/>
    <w:link w:val="Heading2Char"/>
    <w:qFormat/>
    <w:rsid w:val="00AD0F23"/>
    <w:pPr>
      <w:keepNext/>
      <w:numPr>
        <w:ilvl w:val="1"/>
        <w:numId w:val="14"/>
      </w:numPr>
      <w:spacing w:before="240" w:after="60"/>
      <w:outlineLvl w:val="1"/>
    </w:pPr>
    <w:rPr>
      <w:rFonts w:ascii="Trebuchet MS" w:hAnsi="Trebuchet MS"/>
      <w:b/>
      <w:bCs/>
      <w:iCs/>
      <w:szCs w:val="28"/>
      <w:lang w:val="x-none"/>
    </w:rPr>
  </w:style>
  <w:style w:type="paragraph" w:styleId="Heading3">
    <w:name w:val="heading 3"/>
    <w:aliases w:val="H3"/>
    <w:basedOn w:val="Normal"/>
    <w:next w:val="Normal"/>
    <w:qFormat/>
    <w:rsid w:val="00AD0F23"/>
    <w:pPr>
      <w:keepNext/>
      <w:numPr>
        <w:ilvl w:val="2"/>
        <w:numId w:val="14"/>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AD0F23"/>
    <w:pPr>
      <w:keepNext/>
      <w:numPr>
        <w:ilvl w:val="3"/>
        <w:numId w:val="14"/>
      </w:numPr>
      <w:spacing w:before="60" w:after="60"/>
      <w:outlineLvl w:val="3"/>
    </w:pPr>
    <w:rPr>
      <w:rFonts w:ascii="Trebuchet MS" w:hAnsi="Trebuchet MS"/>
      <w:b/>
      <w:bCs/>
      <w:sz w:val="20"/>
      <w:szCs w:val="28"/>
    </w:rPr>
  </w:style>
  <w:style w:type="paragraph" w:styleId="Heading5">
    <w:name w:val="heading 5"/>
    <w:basedOn w:val="Normal"/>
    <w:next w:val="Normal"/>
    <w:qFormat/>
    <w:rsid w:val="00AD0F23"/>
    <w:pPr>
      <w:numPr>
        <w:ilvl w:val="4"/>
        <w:numId w:val="14"/>
      </w:numPr>
      <w:spacing w:before="240" w:after="60"/>
      <w:outlineLvl w:val="4"/>
    </w:pPr>
    <w:rPr>
      <w:rFonts w:ascii="Trebuchet MS" w:hAnsi="Trebuchet MS"/>
      <w:b/>
      <w:bCs/>
      <w:iCs/>
      <w:sz w:val="20"/>
      <w:szCs w:val="26"/>
    </w:rPr>
  </w:style>
  <w:style w:type="paragraph" w:styleId="Heading6">
    <w:name w:val="heading 6"/>
    <w:basedOn w:val="Normal"/>
    <w:next w:val="Normal"/>
    <w:qFormat/>
    <w:rsid w:val="00AD0F23"/>
    <w:pPr>
      <w:numPr>
        <w:ilvl w:val="5"/>
        <w:numId w:val="14"/>
      </w:numPr>
      <w:spacing w:before="240" w:after="60"/>
      <w:outlineLvl w:val="5"/>
    </w:pPr>
    <w:rPr>
      <w:rFonts w:ascii="Trebuchet MS" w:hAnsi="Trebuchet MS"/>
      <w:bCs/>
      <w:sz w:val="20"/>
    </w:rPr>
  </w:style>
  <w:style w:type="paragraph" w:styleId="Heading7">
    <w:name w:val="heading 7"/>
    <w:basedOn w:val="Normal"/>
    <w:next w:val="Normal"/>
    <w:qFormat/>
    <w:rsid w:val="00300A74"/>
    <w:pPr>
      <w:numPr>
        <w:numId w:val="21"/>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13"/>
      </w:numPr>
      <w:spacing w:before="240" w:after="60"/>
      <w:outlineLvl w:val="7"/>
    </w:pPr>
    <w:rPr>
      <w:rFonts w:ascii="Trebuchet MS" w:hAnsi="Trebuchet MS"/>
      <w:b/>
      <w:iCs/>
      <w:sz w:val="20"/>
    </w:rPr>
  </w:style>
  <w:style w:type="paragraph" w:styleId="Heading9">
    <w:name w:val="heading 9"/>
    <w:basedOn w:val="Normal"/>
    <w:next w:val="Normal"/>
    <w:qFormat/>
    <w:rsid w:val="00AD0F23"/>
    <w:pPr>
      <w:numPr>
        <w:ilvl w:val="8"/>
        <w:numId w:val="14"/>
      </w:numPr>
      <w:spacing w:before="240" w:after="60"/>
      <w:outlineLvl w:val="8"/>
    </w:pPr>
    <w:rPr>
      <w:rFonts w:ascii="Trebuchet MS" w:hAnsi="Trebuchet MS"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
      </w:numPr>
    </w:pPr>
  </w:style>
  <w:style w:type="numbering" w:styleId="1ai">
    <w:name w:val="Outline List 1"/>
    <w:basedOn w:val="NoList"/>
    <w:semiHidden/>
    <w:rsid w:val="007B1F8A"/>
    <w:pPr>
      <w:numPr>
        <w:numId w:val="2"/>
      </w:numPr>
    </w:pPr>
  </w:style>
  <w:style w:type="numbering" w:styleId="ArticleSection">
    <w:name w:val="Outline List 3"/>
    <w:basedOn w:val="NoList"/>
    <w:semiHidden/>
    <w:rsid w:val="007B1F8A"/>
    <w:pPr>
      <w:numPr>
        <w:numId w:val="3"/>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link w:val="HTMLPreformattedChar"/>
    <w:uiPriority w:val="99"/>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4"/>
      </w:numPr>
    </w:pPr>
  </w:style>
  <w:style w:type="paragraph" w:styleId="ListBullet3">
    <w:name w:val="List Bullet 3"/>
    <w:basedOn w:val="Normal"/>
    <w:autoRedefine/>
    <w:semiHidden/>
    <w:rsid w:val="007B1F8A"/>
    <w:pPr>
      <w:numPr>
        <w:numId w:val="5"/>
      </w:numPr>
    </w:pPr>
  </w:style>
  <w:style w:type="paragraph" w:styleId="ListBullet4">
    <w:name w:val="List Bullet 4"/>
    <w:basedOn w:val="Normal"/>
    <w:autoRedefine/>
    <w:semiHidden/>
    <w:rsid w:val="007B1F8A"/>
    <w:pPr>
      <w:numPr>
        <w:numId w:val="6"/>
      </w:numPr>
    </w:pPr>
  </w:style>
  <w:style w:type="paragraph" w:styleId="ListBullet5">
    <w:name w:val="List Bullet 5"/>
    <w:basedOn w:val="Normal"/>
    <w:autoRedefine/>
    <w:semiHidden/>
    <w:rsid w:val="007B1F8A"/>
    <w:pPr>
      <w:numPr>
        <w:numId w:val="7"/>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8"/>
      </w:numPr>
    </w:pPr>
  </w:style>
  <w:style w:type="paragraph" w:styleId="ListNumber2">
    <w:name w:val="List Number 2"/>
    <w:basedOn w:val="Normal"/>
    <w:semiHidden/>
    <w:rsid w:val="007B1F8A"/>
    <w:pPr>
      <w:numPr>
        <w:numId w:val="9"/>
      </w:numPr>
    </w:pPr>
  </w:style>
  <w:style w:type="paragraph" w:styleId="ListNumber3">
    <w:name w:val="List Number 3"/>
    <w:basedOn w:val="Normal"/>
    <w:semiHidden/>
    <w:rsid w:val="007B1F8A"/>
    <w:pPr>
      <w:numPr>
        <w:numId w:val="10"/>
      </w:numPr>
    </w:pPr>
  </w:style>
  <w:style w:type="paragraph" w:styleId="ListNumber4">
    <w:name w:val="List Number 4"/>
    <w:basedOn w:val="Normal"/>
    <w:semiHidden/>
    <w:rsid w:val="007B1F8A"/>
    <w:pPr>
      <w:numPr>
        <w:numId w:val="11"/>
      </w:numPr>
    </w:pPr>
  </w:style>
  <w:style w:type="paragraph" w:styleId="ListNumber5">
    <w:name w:val="List Number 5"/>
    <w:basedOn w:val="Normal"/>
    <w:semiHidden/>
    <w:rsid w:val="007B1F8A"/>
    <w:pPr>
      <w:numPr>
        <w:numId w:val="12"/>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character" w:styleId="BookTitle">
    <w:name w:val="Book Title"/>
    <w:uiPriority w:val="33"/>
    <w:qFormat/>
    <w:rsid w:val="004846EA"/>
    <w:rPr>
      <w:b/>
      <w:bCs/>
      <w:smallCaps/>
      <w:spacing w:val="5"/>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4846EA"/>
  </w:style>
  <w:style w:type="character" w:styleId="EndnoteReference">
    <w:name w:val="endnote reference"/>
    <w:uiPriority w:val="99"/>
    <w:semiHidden/>
    <w:unhideWhenUsed/>
    <w:rsid w:val="004846EA"/>
    <w:rPr>
      <w:vertAlign w:val="superscript"/>
    </w:rPr>
  </w:style>
  <w:style w:type="paragraph" w:customStyle="1" w:styleId="Default">
    <w:name w:val="Default"/>
    <w:rsid w:val="003740D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3740DC"/>
    <w:rPr>
      <w:rFonts w:ascii="Tahoma" w:hAnsi="Tahoma"/>
      <w:sz w:val="16"/>
      <w:szCs w:val="16"/>
      <w:lang w:val="x-none"/>
    </w:rPr>
  </w:style>
  <w:style w:type="character" w:customStyle="1" w:styleId="BalloonTextChar">
    <w:name w:val="Balloon Text Char"/>
    <w:link w:val="BalloonText"/>
    <w:uiPriority w:val="99"/>
    <w:semiHidden/>
    <w:rsid w:val="003740DC"/>
    <w:rPr>
      <w:rFonts w:ascii="Tahoma" w:eastAsia="Calibri" w:hAnsi="Tahoma" w:cs="Tahoma"/>
      <w:sz w:val="16"/>
      <w:szCs w:val="16"/>
      <w:lang w:eastAsia="en-US"/>
    </w:rPr>
  </w:style>
  <w:style w:type="paragraph" w:styleId="FootnoteText">
    <w:name w:val="footnote text"/>
    <w:aliases w:val="Footnote Text Char1,Footnote Text Char Char,Char Char,Char Char Char Char,Char Char Char Char Char Char"/>
    <w:basedOn w:val="Normal"/>
    <w:link w:val="FootnoteTextChar"/>
    <w:semiHidden/>
    <w:rsid w:val="000D204C"/>
    <w:rPr>
      <w:sz w:val="20"/>
      <w:szCs w:val="20"/>
    </w:rPr>
  </w:style>
  <w:style w:type="character" w:styleId="FootnoteReference">
    <w:name w:val="footnote reference"/>
    <w:uiPriority w:val="99"/>
    <w:semiHidden/>
    <w:rsid w:val="000D204C"/>
    <w:rPr>
      <w:vertAlign w:val="superscript"/>
    </w:rPr>
  </w:style>
  <w:style w:type="character" w:customStyle="1" w:styleId="FootnoteTextChar">
    <w:name w:val="Footnote Text Char"/>
    <w:aliases w:val="Footnote Text Char1 Char,Footnote Text Char Char Char,Char Char Char,Char Char Char Char Char,Char Char Char Char Char Char Char"/>
    <w:link w:val="FootnoteText"/>
    <w:rsid w:val="00B937A0"/>
    <w:rPr>
      <w:rFonts w:ascii="Calibri" w:eastAsia="Calibri" w:hAnsi="Calibri"/>
      <w:lang w:val="en-GB" w:eastAsia="en-US" w:bidi="ar-SA"/>
    </w:rPr>
  </w:style>
  <w:style w:type="character" w:customStyle="1" w:styleId="Heading2Char">
    <w:name w:val="Heading 2 Char"/>
    <w:link w:val="Heading2"/>
    <w:rsid w:val="00AD0F23"/>
    <w:rPr>
      <w:rFonts w:ascii="Trebuchet MS" w:eastAsia="Calibri" w:hAnsi="Trebuchet MS"/>
      <w:b/>
      <w:bCs/>
      <w:iCs/>
      <w:sz w:val="22"/>
      <w:szCs w:val="28"/>
      <w:lang w:val="x-none" w:eastAsia="en-US"/>
    </w:rPr>
  </w:style>
  <w:style w:type="table" w:styleId="TableGrid">
    <w:name w:val="Table Grid"/>
    <w:basedOn w:val="TableNormal"/>
    <w:uiPriority w:val="59"/>
    <w:rsid w:val="00E35E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375F5"/>
    <w:pPr>
      <w:ind w:left="720"/>
    </w:pPr>
  </w:style>
  <w:style w:type="character" w:customStyle="1" w:styleId="verdana">
    <w:name w:val="verdana"/>
    <w:basedOn w:val="DefaultParagraphFont"/>
    <w:rsid w:val="00D56741"/>
  </w:style>
  <w:style w:type="character" w:customStyle="1" w:styleId="apple-style-span">
    <w:name w:val="apple-style-span"/>
    <w:rsid w:val="00996A6E"/>
  </w:style>
  <w:style w:type="character" w:customStyle="1" w:styleId="normalchar">
    <w:name w:val="normal__char"/>
    <w:basedOn w:val="DefaultParagraphFont"/>
    <w:rsid w:val="00C978B4"/>
  </w:style>
  <w:style w:type="paragraph" w:styleId="NoSpacing">
    <w:name w:val="No Spacing"/>
    <w:uiPriority w:val="1"/>
    <w:qFormat/>
    <w:rsid w:val="00BB5C10"/>
    <w:rPr>
      <w:sz w:val="24"/>
      <w:szCs w:val="24"/>
    </w:rPr>
  </w:style>
  <w:style w:type="paragraph" w:customStyle="1" w:styleId="footnotenumber">
    <w:name w:val="footnote number"/>
    <w:basedOn w:val="Normal"/>
    <w:link w:val="footnotenumberChar"/>
    <w:rsid w:val="003270DC"/>
    <w:pPr>
      <w:shd w:val="clear" w:color="auto" w:fill="FFFFFF"/>
      <w:spacing w:after="60"/>
      <w:ind w:left="351" w:hanging="357"/>
    </w:pPr>
    <w:rPr>
      <w:rFonts w:ascii="Times New Roman" w:eastAsia="Times New Roman" w:hAnsi="Times New Roman"/>
      <w:snapToGrid w:val="0"/>
      <w:szCs w:val="20"/>
      <w:vertAlign w:val="superscript"/>
      <w:lang w:val="en-US"/>
    </w:rPr>
  </w:style>
  <w:style w:type="character" w:customStyle="1" w:styleId="footnotenumberChar">
    <w:name w:val="footnote number Char"/>
    <w:link w:val="footnotenumber"/>
    <w:rsid w:val="003270DC"/>
    <w:rPr>
      <w:snapToGrid w:val="0"/>
      <w:sz w:val="22"/>
      <w:shd w:val="clear" w:color="auto" w:fill="FFFFFF"/>
      <w:vertAlign w:val="superscript"/>
      <w:lang w:val="en-US" w:eastAsia="en-US"/>
    </w:rPr>
  </w:style>
  <w:style w:type="character" w:customStyle="1" w:styleId="Heading1Char">
    <w:name w:val="Heading 1 Char"/>
    <w:link w:val="Heading1"/>
    <w:rsid w:val="008C43B5"/>
    <w:rPr>
      <w:rFonts w:ascii="Trebuchet MS" w:eastAsia="Calibri" w:hAnsi="Trebuchet MS"/>
      <w:b/>
      <w:bCs/>
      <w:kern w:val="32"/>
      <w:sz w:val="24"/>
      <w:szCs w:val="32"/>
      <w:lang w:val="x-none" w:eastAsia="en-US"/>
    </w:rPr>
  </w:style>
  <w:style w:type="character" w:customStyle="1" w:styleId="personname">
    <w:name w:val="person_name"/>
    <w:rsid w:val="009400A5"/>
  </w:style>
  <w:style w:type="character" w:customStyle="1" w:styleId="A2">
    <w:name w:val="A2"/>
    <w:uiPriority w:val="99"/>
    <w:rsid w:val="00024A57"/>
    <w:rPr>
      <w:rFonts w:cs="Gotham Narrow Book"/>
      <w:color w:val="000000"/>
      <w:sz w:val="16"/>
      <w:szCs w:val="16"/>
    </w:rPr>
  </w:style>
  <w:style w:type="character" w:customStyle="1" w:styleId="title0">
    <w:name w:val="title"/>
    <w:rsid w:val="00CF7EF0"/>
  </w:style>
  <w:style w:type="character" w:customStyle="1" w:styleId="st1">
    <w:name w:val="st1"/>
    <w:rsid w:val="004E122C"/>
  </w:style>
  <w:style w:type="paragraph" w:customStyle="1" w:styleId="FAQ">
    <w:name w:val="FAQ"/>
    <w:basedOn w:val="Normal"/>
    <w:link w:val="FAQChar"/>
    <w:qFormat/>
    <w:rsid w:val="00997B43"/>
    <w:pPr>
      <w:numPr>
        <w:numId w:val="23"/>
      </w:numPr>
    </w:pPr>
    <w:rPr>
      <w:rFonts w:ascii="Times New Roman" w:eastAsia="Times New Roman" w:hAnsi="Times New Roman"/>
      <w:b/>
      <w:bCs/>
      <w:snapToGrid w:val="0"/>
      <w:sz w:val="24"/>
      <w:szCs w:val="20"/>
      <w:lang w:val="x-none"/>
    </w:rPr>
  </w:style>
  <w:style w:type="character" w:customStyle="1" w:styleId="FAQChar">
    <w:name w:val="FAQ Char"/>
    <w:link w:val="FAQ"/>
    <w:rsid w:val="00997B43"/>
    <w:rPr>
      <w:b/>
      <w:bCs/>
      <w:snapToGrid w:val="0"/>
      <w:sz w:val="24"/>
      <w:lang w:val="x-none" w:eastAsia="en-US"/>
    </w:rPr>
  </w:style>
  <w:style w:type="character" w:customStyle="1" w:styleId="A41">
    <w:name w:val="A4+1"/>
    <w:uiPriority w:val="99"/>
    <w:rsid w:val="00C12B24"/>
    <w:rPr>
      <w:rFonts w:cs="Helvetica 45 Light"/>
      <w:color w:val="000000"/>
      <w:sz w:val="21"/>
      <w:szCs w:val="21"/>
    </w:rPr>
  </w:style>
  <w:style w:type="character" w:customStyle="1" w:styleId="date-display-single">
    <w:name w:val="date-display-single"/>
    <w:basedOn w:val="DefaultParagraphFont"/>
    <w:rsid w:val="002A476B"/>
  </w:style>
  <w:style w:type="character" w:customStyle="1" w:styleId="HTMLPreformattedChar">
    <w:name w:val="HTML Preformatted Char"/>
    <w:basedOn w:val="DefaultParagraphFont"/>
    <w:link w:val="HTMLPreformatted"/>
    <w:uiPriority w:val="99"/>
    <w:semiHidden/>
    <w:rsid w:val="003D7611"/>
    <w:rPr>
      <w:rFonts w:ascii="Courier New" w:eastAsia="Calibri" w:hAnsi="Courier New" w:cs="Courier New"/>
      <w:lang w:eastAsia="en-US"/>
    </w:rPr>
  </w:style>
  <w:style w:type="character" w:customStyle="1" w:styleId="PlainTextChar">
    <w:name w:val="Plain Text Char"/>
    <w:basedOn w:val="DefaultParagraphFont"/>
    <w:link w:val="PlainText"/>
    <w:uiPriority w:val="99"/>
    <w:semiHidden/>
    <w:rsid w:val="00623684"/>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7" w:uiPriority="39"/>
    <w:lsdException w:name="annotation text"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table of authorities" w:uiPriority="99"/>
    <w:lsdException w:name="macro" w:uiPriority="99"/>
    <w:lsdException w:name="toa heading" w:uiPriority="99"/>
    <w:lsdException w:name="List Bullet"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Document Map"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annotation subject" w:uiPriority="99"/>
    <w:lsdException w:name="No List" w:uiPriority="99"/>
    <w:lsdException w:name="Table Classic 1" w:uiPriority="99"/>
    <w:lsdException w:name="Table Colorful 1" w:uiPriority="99"/>
    <w:lsdException w:name="Table Columns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92"/>
    <w:rPr>
      <w:rFonts w:ascii="Calibri" w:eastAsia="Calibri" w:hAnsi="Calibri"/>
      <w:sz w:val="22"/>
      <w:szCs w:val="22"/>
      <w:lang w:eastAsia="en-US"/>
    </w:rPr>
  </w:style>
  <w:style w:type="paragraph" w:styleId="Heading1">
    <w:name w:val="heading 1"/>
    <w:basedOn w:val="Normal"/>
    <w:next w:val="Normal"/>
    <w:link w:val="Heading1Char"/>
    <w:qFormat/>
    <w:rsid w:val="00AD0F23"/>
    <w:pPr>
      <w:keepNext/>
      <w:numPr>
        <w:numId w:val="14"/>
      </w:numPr>
      <w:spacing w:before="240" w:after="120"/>
      <w:outlineLvl w:val="0"/>
    </w:pPr>
    <w:rPr>
      <w:rFonts w:ascii="Trebuchet MS" w:hAnsi="Trebuchet MS"/>
      <w:b/>
      <w:bCs/>
      <w:kern w:val="32"/>
      <w:sz w:val="24"/>
      <w:szCs w:val="32"/>
      <w:lang w:val="x-none"/>
    </w:rPr>
  </w:style>
  <w:style w:type="paragraph" w:styleId="Heading2">
    <w:name w:val="heading 2"/>
    <w:basedOn w:val="Normal"/>
    <w:next w:val="Normal"/>
    <w:link w:val="Heading2Char"/>
    <w:qFormat/>
    <w:rsid w:val="00AD0F23"/>
    <w:pPr>
      <w:keepNext/>
      <w:numPr>
        <w:ilvl w:val="1"/>
        <w:numId w:val="14"/>
      </w:numPr>
      <w:spacing w:before="240" w:after="60"/>
      <w:outlineLvl w:val="1"/>
    </w:pPr>
    <w:rPr>
      <w:rFonts w:ascii="Trebuchet MS" w:hAnsi="Trebuchet MS"/>
      <w:b/>
      <w:bCs/>
      <w:iCs/>
      <w:szCs w:val="28"/>
      <w:lang w:val="x-none"/>
    </w:rPr>
  </w:style>
  <w:style w:type="paragraph" w:styleId="Heading3">
    <w:name w:val="heading 3"/>
    <w:aliases w:val="H3"/>
    <w:basedOn w:val="Normal"/>
    <w:next w:val="Normal"/>
    <w:qFormat/>
    <w:rsid w:val="00AD0F23"/>
    <w:pPr>
      <w:keepNext/>
      <w:numPr>
        <w:ilvl w:val="2"/>
        <w:numId w:val="14"/>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AD0F23"/>
    <w:pPr>
      <w:keepNext/>
      <w:numPr>
        <w:ilvl w:val="3"/>
        <w:numId w:val="14"/>
      </w:numPr>
      <w:spacing w:before="60" w:after="60"/>
      <w:outlineLvl w:val="3"/>
    </w:pPr>
    <w:rPr>
      <w:rFonts w:ascii="Trebuchet MS" w:hAnsi="Trebuchet MS"/>
      <w:b/>
      <w:bCs/>
      <w:sz w:val="20"/>
      <w:szCs w:val="28"/>
    </w:rPr>
  </w:style>
  <w:style w:type="paragraph" w:styleId="Heading5">
    <w:name w:val="heading 5"/>
    <w:basedOn w:val="Normal"/>
    <w:next w:val="Normal"/>
    <w:qFormat/>
    <w:rsid w:val="00AD0F23"/>
    <w:pPr>
      <w:numPr>
        <w:ilvl w:val="4"/>
        <w:numId w:val="14"/>
      </w:numPr>
      <w:spacing w:before="240" w:after="60"/>
      <w:outlineLvl w:val="4"/>
    </w:pPr>
    <w:rPr>
      <w:rFonts w:ascii="Trebuchet MS" w:hAnsi="Trebuchet MS"/>
      <w:b/>
      <w:bCs/>
      <w:iCs/>
      <w:sz w:val="20"/>
      <w:szCs w:val="26"/>
    </w:rPr>
  </w:style>
  <w:style w:type="paragraph" w:styleId="Heading6">
    <w:name w:val="heading 6"/>
    <w:basedOn w:val="Normal"/>
    <w:next w:val="Normal"/>
    <w:qFormat/>
    <w:rsid w:val="00AD0F23"/>
    <w:pPr>
      <w:numPr>
        <w:ilvl w:val="5"/>
        <w:numId w:val="14"/>
      </w:numPr>
      <w:spacing w:before="240" w:after="60"/>
      <w:outlineLvl w:val="5"/>
    </w:pPr>
    <w:rPr>
      <w:rFonts w:ascii="Trebuchet MS" w:hAnsi="Trebuchet MS"/>
      <w:bCs/>
      <w:sz w:val="20"/>
    </w:rPr>
  </w:style>
  <w:style w:type="paragraph" w:styleId="Heading7">
    <w:name w:val="heading 7"/>
    <w:basedOn w:val="Normal"/>
    <w:next w:val="Normal"/>
    <w:qFormat/>
    <w:rsid w:val="00300A74"/>
    <w:pPr>
      <w:numPr>
        <w:numId w:val="21"/>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13"/>
      </w:numPr>
      <w:spacing w:before="240" w:after="60"/>
      <w:outlineLvl w:val="7"/>
    </w:pPr>
    <w:rPr>
      <w:rFonts w:ascii="Trebuchet MS" w:hAnsi="Trebuchet MS"/>
      <w:b/>
      <w:iCs/>
      <w:sz w:val="20"/>
    </w:rPr>
  </w:style>
  <w:style w:type="paragraph" w:styleId="Heading9">
    <w:name w:val="heading 9"/>
    <w:basedOn w:val="Normal"/>
    <w:next w:val="Normal"/>
    <w:qFormat/>
    <w:rsid w:val="00AD0F23"/>
    <w:pPr>
      <w:numPr>
        <w:ilvl w:val="8"/>
        <w:numId w:val="14"/>
      </w:numPr>
      <w:spacing w:before="240" w:after="60"/>
      <w:outlineLvl w:val="8"/>
    </w:pPr>
    <w:rPr>
      <w:rFonts w:ascii="Trebuchet MS" w:hAnsi="Trebuchet MS"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
      </w:numPr>
    </w:pPr>
  </w:style>
  <w:style w:type="numbering" w:styleId="1ai">
    <w:name w:val="Outline List 1"/>
    <w:basedOn w:val="NoList"/>
    <w:semiHidden/>
    <w:rsid w:val="007B1F8A"/>
    <w:pPr>
      <w:numPr>
        <w:numId w:val="2"/>
      </w:numPr>
    </w:pPr>
  </w:style>
  <w:style w:type="numbering" w:styleId="ArticleSection">
    <w:name w:val="Outline List 3"/>
    <w:basedOn w:val="NoList"/>
    <w:semiHidden/>
    <w:rsid w:val="007B1F8A"/>
    <w:pPr>
      <w:numPr>
        <w:numId w:val="3"/>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link w:val="HTMLPreformattedChar"/>
    <w:uiPriority w:val="99"/>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4"/>
      </w:numPr>
    </w:pPr>
  </w:style>
  <w:style w:type="paragraph" w:styleId="ListBullet3">
    <w:name w:val="List Bullet 3"/>
    <w:basedOn w:val="Normal"/>
    <w:autoRedefine/>
    <w:semiHidden/>
    <w:rsid w:val="007B1F8A"/>
    <w:pPr>
      <w:numPr>
        <w:numId w:val="5"/>
      </w:numPr>
    </w:pPr>
  </w:style>
  <w:style w:type="paragraph" w:styleId="ListBullet4">
    <w:name w:val="List Bullet 4"/>
    <w:basedOn w:val="Normal"/>
    <w:autoRedefine/>
    <w:semiHidden/>
    <w:rsid w:val="007B1F8A"/>
    <w:pPr>
      <w:numPr>
        <w:numId w:val="6"/>
      </w:numPr>
    </w:pPr>
  </w:style>
  <w:style w:type="paragraph" w:styleId="ListBullet5">
    <w:name w:val="List Bullet 5"/>
    <w:basedOn w:val="Normal"/>
    <w:autoRedefine/>
    <w:semiHidden/>
    <w:rsid w:val="007B1F8A"/>
    <w:pPr>
      <w:numPr>
        <w:numId w:val="7"/>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8"/>
      </w:numPr>
    </w:pPr>
  </w:style>
  <w:style w:type="paragraph" w:styleId="ListNumber2">
    <w:name w:val="List Number 2"/>
    <w:basedOn w:val="Normal"/>
    <w:semiHidden/>
    <w:rsid w:val="007B1F8A"/>
    <w:pPr>
      <w:numPr>
        <w:numId w:val="9"/>
      </w:numPr>
    </w:pPr>
  </w:style>
  <w:style w:type="paragraph" w:styleId="ListNumber3">
    <w:name w:val="List Number 3"/>
    <w:basedOn w:val="Normal"/>
    <w:semiHidden/>
    <w:rsid w:val="007B1F8A"/>
    <w:pPr>
      <w:numPr>
        <w:numId w:val="10"/>
      </w:numPr>
    </w:pPr>
  </w:style>
  <w:style w:type="paragraph" w:styleId="ListNumber4">
    <w:name w:val="List Number 4"/>
    <w:basedOn w:val="Normal"/>
    <w:semiHidden/>
    <w:rsid w:val="007B1F8A"/>
    <w:pPr>
      <w:numPr>
        <w:numId w:val="11"/>
      </w:numPr>
    </w:pPr>
  </w:style>
  <w:style w:type="paragraph" w:styleId="ListNumber5">
    <w:name w:val="List Number 5"/>
    <w:basedOn w:val="Normal"/>
    <w:semiHidden/>
    <w:rsid w:val="007B1F8A"/>
    <w:pPr>
      <w:numPr>
        <w:numId w:val="12"/>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character" w:styleId="BookTitle">
    <w:name w:val="Book Title"/>
    <w:uiPriority w:val="33"/>
    <w:qFormat/>
    <w:rsid w:val="004846EA"/>
    <w:rPr>
      <w:b/>
      <w:bCs/>
      <w:smallCaps/>
      <w:spacing w:val="5"/>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4846EA"/>
  </w:style>
  <w:style w:type="character" w:styleId="EndnoteReference">
    <w:name w:val="endnote reference"/>
    <w:uiPriority w:val="99"/>
    <w:semiHidden/>
    <w:unhideWhenUsed/>
    <w:rsid w:val="004846EA"/>
    <w:rPr>
      <w:vertAlign w:val="superscript"/>
    </w:rPr>
  </w:style>
  <w:style w:type="paragraph" w:customStyle="1" w:styleId="Default">
    <w:name w:val="Default"/>
    <w:rsid w:val="003740D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3740DC"/>
    <w:rPr>
      <w:rFonts w:ascii="Tahoma" w:hAnsi="Tahoma"/>
      <w:sz w:val="16"/>
      <w:szCs w:val="16"/>
      <w:lang w:val="x-none"/>
    </w:rPr>
  </w:style>
  <w:style w:type="character" w:customStyle="1" w:styleId="BalloonTextChar">
    <w:name w:val="Balloon Text Char"/>
    <w:link w:val="BalloonText"/>
    <w:uiPriority w:val="99"/>
    <w:semiHidden/>
    <w:rsid w:val="003740DC"/>
    <w:rPr>
      <w:rFonts w:ascii="Tahoma" w:eastAsia="Calibri" w:hAnsi="Tahoma" w:cs="Tahoma"/>
      <w:sz w:val="16"/>
      <w:szCs w:val="16"/>
      <w:lang w:eastAsia="en-US"/>
    </w:rPr>
  </w:style>
  <w:style w:type="paragraph" w:styleId="FootnoteText">
    <w:name w:val="footnote text"/>
    <w:aliases w:val="Footnote Text Char1,Footnote Text Char Char,Char Char,Char Char Char Char,Char Char Char Char Char Char"/>
    <w:basedOn w:val="Normal"/>
    <w:link w:val="FootnoteTextChar"/>
    <w:semiHidden/>
    <w:rsid w:val="000D204C"/>
    <w:rPr>
      <w:sz w:val="20"/>
      <w:szCs w:val="20"/>
    </w:rPr>
  </w:style>
  <w:style w:type="character" w:styleId="FootnoteReference">
    <w:name w:val="footnote reference"/>
    <w:uiPriority w:val="99"/>
    <w:semiHidden/>
    <w:rsid w:val="000D204C"/>
    <w:rPr>
      <w:vertAlign w:val="superscript"/>
    </w:rPr>
  </w:style>
  <w:style w:type="character" w:customStyle="1" w:styleId="FootnoteTextChar">
    <w:name w:val="Footnote Text Char"/>
    <w:aliases w:val="Footnote Text Char1 Char,Footnote Text Char Char Char,Char Char Char,Char Char Char Char Char,Char Char Char Char Char Char Char"/>
    <w:link w:val="FootnoteText"/>
    <w:rsid w:val="00B937A0"/>
    <w:rPr>
      <w:rFonts w:ascii="Calibri" w:eastAsia="Calibri" w:hAnsi="Calibri"/>
      <w:lang w:val="en-GB" w:eastAsia="en-US" w:bidi="ar-SA"/>
    </w:rPr>
  </w:style>
  <w:style w:type="character" w:customStyle="1" w:styleId="Heading2Char">
    <w:name w:val="Heading 2 Char"/>
    <w:link w:val="Heading2"/>
    <w:rsid w:val="00AD0F23"/>
    <w:rPr>
      <w:rFonts w:ascii="Trebuchet MS" w:eastAsia="Calibri" w:hAnsi="Trebuchet MS"/>
      <w:b/>
      <w:bCs/>
      <w:iCs/>
      <w:sz w:val="22"/>
      <w:szCs w:val="28"/>
      <w:lang w:val="x-none" w:eastAsia="en-US"/>
    </w:rPr>
  </w:style>
  <w:style w:type="table" w:styleId="TableGrid">
    <w:name w:val="Table Grid"/>
    <w:basedOn w:val="TableNormal"/>
    <w:uiPriority w:val="59"/>
    <w:rsid w:val="00E35E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375F5"/>
    <w:pPr>
      <w:ind w:left="720"/>
    </w:pPr>
  </w:style>
  <w:style w:type="character" w:customStyle="1" w:styleId="verdana">
    <w:name w:val="verdana"/>
    <w:basedOn w:val="DefaultParagraphFont"/>
    <w:rsid w:val="00D56741"/>
  </w:style>
  <w:style w:type="character" w:customStyle="1" w:styleId="apple-style-span">
    <w:name w:val="apple-style-span"/>
    <w:rsid w:val="00996A6E"/>
  </w:style>
  <w:style w:type="character" w:customStyle="1" w:styleId="normalchar">
    <w:name w:val="normal__char"/>
    <w:basedOn w:val="DefaultParagraphFont"/>
    <w:rsid w:val="00C978B4"/>
  </w:style>
  <w:style w:type="paragraph" w:styleId="NoSpacing">
    <w:name w:val="No Spacing"/>
    <w:uiPriority w:val="1"/>
    <w:qFormat/>
    <w:rsid w:val="00BB5C10"/>
    <w:rPr>
      <w:sz w:val="24"/>
      <w:szCs w:val="24"/>
    </w:rPr>
  </w:style>
  <w:style w:type="paragraph" w:customStyle="1" w:styleId="footnotenumber">
    <w:name w:val="footnote number"/>
    <w:basedOn w:val="Normal"/>
    <w:link w:val="footnotenumberChar"/>
    <w:rsid w:val="003270DC"/>
    <w:pPr>
      <w:shd w:val="clear" w:color="auto" w:fill="FFFFFF"/>
      <w:spacing w:after="60"/>
      <w:ind w:left="351" w:hanging="357"/>
    </w:pPr>
    <w:rPr>
      <w:rFonts w:ascii="Times New Roman" w:eastAsia="Times New Roman" w:hAnsi="Times New Roman"/>
      <w:snapToGrid w:val="0"/>
      <w:szCs w:val="20"/>
      <w:vertAlign w:val="superscript"/>
      <w:lang w:val="en-US"/>
    </w:rPr>
  </w:style>
  <w:style w:type="character" w:customStyle="1" w:styleId="footnotenumberChar">
    <w:name w:val="footnote number Char"/>
    <w:link w:val="footnotenumber"/>
    <w:rsid w:val="003270DC"/>
    <w:rPr>
      <w:snapToGrid w:val="0"/>
      <w:sz w:val="22"/>
      <w:shd w:val="clear" w:color="auto" w:fill="FFFFFF"/>
      <w:vertAlign w:val="superscript"/>
      <w:lang w:val="en-US" w:eastAsia="en-US"/>
    </w:rPr>
  </w:style>
  <w:style w:type="character" w:customStyle="1" w:styleId="Heading1Char">
    <w:name w:val="Heading 1 Char"/>
    <w:link w:val="Heading1"/>
    <w:rsid w:val="008C43B5"/>
    <w:rPr>
      <w:rFonts w:ascii="Trebuchet MS" w:eastAsia="Calibri" w:hAnsi="Trebuchet MS"/>
      <w:b/>
      <w:bCs/>
      <w:kern w:val="32"/>
      <w:sz w:val="24"/>
      <w:szCs w:val="32"/>
      <w:lang w:val="x-none" w:eastAsia="en-US"/>
    </w:rPr>
  </w:style>
  <w:style w:type="character" w:customStyle="1" w:styleId="personname">
    <w:name w:val="person_name"/>
    <w:rsid w:val="009400A5"/>
  </w:style>
  <w:style w:type="character" w:customStyle="1" w:styleId="A2">
    <w:name w:val="A2"/>
    <w:uiPriority w:val="99"/>
    <w:rsid w:val="00024A57"/>
    <w:rPr>
      <w:rFonts w:cs="Gotham Narrow Book"/>
      <w:color w:val="000000"/>
      <w:sz w:val="16"/>
      <w:szCs w:val="16"/>
    </w:rPr>
  </w:style>
  <w:style w:type="character" w:customStyle="1" w:styleId="title0">
    <w:name w:val="title"/>
    <w:rsid w:val="00CF7EF0"/>
  </w:style>
  <w:style w:type="character" w:customStyle="1" w:styleId="st1">
    <w:name w:val="st1"/>
    <w:rsid w:val="004E122C"/>
  </w:style>
  <w:style w:type="paragraph" w:customStyle="1" w:styleId="FAQ">
    <w:name w:val="FAQ"/>
    <w:basedOn w:val="Normal"/>
    <w:link w:val="FAQChar"/>
    <w:qFormat/>
    <w:rsid w:val="00997B43"/>
    <w:pPr>
      <w:numPr>
        <w:numId w:val="23"/>
      </w:numPr>
    </w:pPr>
    <w:rPr>
      <w:rFonts w:ascii="Times New Roman" w:eastAsia="Times New Roman" w:hAnsi="Times New Roman"/>
      <w:b/>
      <w:bCs/>
      <w:snapToGrid w:val="0"/>
      <w:sz w:val="24"/>
      <w:szCs w:val="20"/>
      <w:lang w:val="x-none"/>
    </w:rPr>
  </w:style>
  <w:style w:type="character" w:customStyle="1" w:styleId="FAQChar">
    <w:name w:val="FAQ Char"/>
    <w:link w:val="FAQ"/>
    <w:rsid w:val="00997B43"/>
    <w:rPr>
      <w:b/>
      <w:bCs/>
      <w:snapToGrid w:val="0"/>
      <w:sz w:val="24"/>
      <w:lang w:val="x-none" w:eastAsia="en-US"/>
    </w:rPr>
  </w:style>
  <w:style w:type="character" w:customStyle="1" w:styleId="A41">
    <w:name w:val="A4+1"/>
    <w:uiPriority w:val="99"/>
    <w:rsid w:val="00C12B24"/>
    <w:rPr>
      <w:rFonts w:cs="Helvetica 45 Light"/>
      <w:color w:val="000000"/>
      <w:sz w:val="21"/>
      <w:szCs w:val="21"/>
    </w:rPr>
  </w:style>
  <w:style w:type="character" w:customStyle="1" w:styleId="date-display-single">
    <w:name w:val="date-display-single"/>
    <w:basedOn w:val="DefaultParagraphFont"/>
    <w:rsid w:val="002A476B"/>
  </w:style>
  <w:style w:type="character" w:customStyle="1" w:styleId="HTMLPreformattedChar">
    <w:name w:val="HTML Preformatted Char"/>
    <w:basedOn w:val="DefaultParagraphFont"/>
    <w:link w:val="HTMLPreformatted"/>
    <w:uiPriority w:val="99"/>
    <w:semiHidden/>
    <w:rsid w:val="003D7611"/>
    <w:rPr>
      <w:rFonts w:ascii="Courier New" w:eastAsia="Calibri" w:hAnsi="Courier New" w:cs="Courier New"/>
      <w:lang w:eastAsia="en-US"/>
    </w:rPr>
  </w:style>
  <w:style w:type="character" w:customStyle="1" w:styleId="PlainTextChar">
    <w:name w:val="Plain Text Char"/>
    <w:basedOn w:val="DefaultParagraphFont"/>
    <w:link w:val="PlainText"/>
    <w:uiPriority w:val="99"/>
    <w:semiHidden/>
    <w:rsid w:val="00623684"/>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149">
      <w:bodyDiv w:val="1"/>
      <w:marLeft w:val="0"/>
      <w:marRight w:val="0"/>
      <w:marTop w:val="0"/>
      <w:marBottom w:val="0"/>
      <w:divBdr>
        <w:top w:val="none" w:sz="0" w:space="0" w:color="auto"/>
        <w:left w:val="none" w:sz="0" w:space="0" w:color="auto"/>
        <w:bottom w:val="none" w:sz="0" w:space="0" w:color="auto"/>
        <w:right w:val="none" w:sz="0" w:space="0" w:color="auto"/>
      </w:divBdr>
      <w:divsChild>
        <w:div w:id="70808774">
          <w:marLeft w:val="0"/>
          <w:marRight w:val="0"/>
          <w:marTop w:val="0"/>
          <w:marBottom w:val="0"/>
          <w:divBdr>
            <w:top w:val="none" w:sz="0" w:space="0" w:color="auto"/>
            <w:left w:val="none" w:sz="0" w:space="0" w:color="auto"/>
            <w:bottom w:val="none" w:sz="0" w:space="0" w:color="auto"/>
            <w:right w:val="none" w:sz="0" w:space="0" w:color="auto"/>
          </w:divBdr>
        </w:div>
      </w:divsChild>
    </w:div>
    <w:div w:id="63842367">
      <w:bodyDiv w:val="1"/>
      <w:marLeft w:val="0"/>
      <w:marRight w:val="0"/>
      <w:marTop w:val="0"/>
      <w:marBottom w:val="0"/>
      <w:divBdr>
        <w:top w:val="none" w:sz="0" w:space="0" w:color="auto"/>
        <w:left w:val="none" w:sz="0" w:space="0" w:color="auto"/>
        <w:bottom w:val="none" w:sz="0" w:space="0" w:color="auto"/>
        <w:right w:val="none" w:sz="0" w:space="0" w:color="auto"/>
      </w:divBdr>
    </w:div>
    <w:div w:id="715134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538">
          <w:marLeft w:val="0"/>
          <w:marRight w:val="0"/>
          <w:marTop w:val="0"/>
          <w:marBottom w:val="0"/>
          <w:divBdr>
            <w:top w:val="none" w:sz="0" w:space="0" w:color="auto"/>
            <w:left w:val="none" w:sz="0" w:space="0" w:color="auto"/>
            <w:bottom w:val="none" w:sz="0" w:space="0" w:color="auto"/>
            <w:right w:val="none" w:sz="0" w:space="0" w:color="auto"/>
          </w:divBdr>
        </w:div>
      </w:divsChild>
    </w:div>
    <w:div w:id="132724324">
      <w:bodyDiv w:val="1"/>
      <w:marLeft w:val="0"/>
      <w:marRight w:val="0"/>
      <w:marTop w:val="0"/>
      <w:marBottom w:val="0"/>
      <w:divBdr>
        <w:top w:val="none" w:sz="0" w:space="0" w:color="auto"/>
        <w:left w:val="none" w:sz="0" w:space="0" w:color="auto"/>
        <w:bottom w:val="none" w:sz="0" w:space="0" w:color="auto"/>
        <w:right w:val="none" w:sz="0" w:space="0" w:color="auto"/>
      </w:divBdr>
    </w:div>
    <w:div w:id="147284116">
      <w:bodyDiv w:val="1"/>
      <w:marLeft w:val="0"/>
      <w:marRight w:val="0"/>
      <w:marTop w:val="0"/>
      <w:marBottom w:val="0"/>
      <w:divBdr>
        <w:top w:val="none" w:sz="0" w:space="0" w:color="auto"/>
        <w:left w:val="none" w:sz="0" w:space="0" w:color="auto"/>
        <w:bottom w:val="none" w:sz="0" w:space="0" w:color="auto"/>
        <w:right w:val="none" w:sz="0" w:space="0" w:color="auto"/>
      </w:divBdr>
    </w:div>
    <w:div w:id="175189883">
      <w:bodyDiv w:val="1"/>
      <w:marLeft w:val="0"/>
      <w:marRight w:val="0"/>
      <w:marTop w:val="0"/>
      <w:marBottom w:val="0"/>
      <w:divBdr>
        <w:top w:val="none" w:sz="0" w:space="0" w:color="auto"/>
        <w:left w:val="none" w:sz="0" w:space="0" w:color="auto"/>
        <w:bottom w:val="none" w:sz="0" w:space="0" w:color="auto"/>
        <w:right w:val="none" w:sz="0" w:space="0" w:color="auto"/>
      </w:divBdr>
    </w:div>
    <w:div w:id="243489065">
      <w:bodyDiv w:val="1"/>
      <w:marLeft w:val="0"/>
      <w:marRight w:val="0"/>
      <w:marTop w:val="0"/>
      <w:marBottom w:val="0"/>
      <w:divBdr>
        <w:top w:val="none" w:sz="0" w:space="0" w:color="auto"/>
        <w:left w:val="none" w:sz="0" w:space="0" w:color="auto"/>
        <w:bottom w:val="none" w:sz="0" w:space="0" w:color="auto"/>
        <w:right w:val="none" w:sz="0" w:space="0" w:color="auto"/>
      </w:divBdr>
    </w:div>
    <w:div w:id="316299577">
      <w:bodyDiv w:val="1"/>
      <w:marLeft w:val="0"/>
      <w:marRight w:val="0"/>
      <w:marTop w:val="0"/>
      <w:marBottom w:val="0"/>
      <w:divBdr>
        <w:top w:val="none" w:sz="0" w:space="0" w:color="auto"/>
        <w:left w:val="none" w:sz="0" w:space="0" w:color="auto"/>
        <w:bottom w:val="none" w:sz="0" w:space="0" w:color="auto"/>
        <w:right w:val="none" w:sz="0" w:space="0" w:color="auto"/>
      </w:divBdr>
    </w:div>
    <w:div w:id="477305561">
      <w:bodyDiv w:val="1"/>
      <w:marLeft w:val="0"/>
      <w:marRight w:val="0"/>
      <w:marTop w:val="0"/>
      <w:marBottom w:val="0"/>
      <w:divBdr>
        <w:top w:val="none" w:sz="0" w:space="0" w:color="auto"/>
        <w:left w:val="none" w:sz="0" w:space="0" w:color="auto"/>
        <w:bottom w:val="none" w:sz="0" w:space="0" w:color="auto"/>
        <w:right w:val="none" w:sz="0" w:space="0" w:color="auto"/>
      </w:divBdr>
    </w:div>
    <w:div w:id="515852575">
      <w:bodyDiv w:val="1"/>
      <w:marLeft w:val="0"/>
      <w:marRight w:val="0"/>
      <w:marTop w:val="0"/>
      <w:marBottom w:val="0"/>
      <w:divBdr>
        <w:top w:val="none" w:sz="0" w:space="0" w:color="auto"/>
        <w:left w:val="none" w:sz="0" w:space="0" w:color="auto"/>
        <w:bottom w:val="none" w:sz="0" w:space="0" w:color="auto"/>
        <w:right w:val="none" w:sz="0" w:space="0" w:color="auto"/>
      </w:divBdr>
    </w:div>
    <w:div w:id="537664313">
      <w:bodyDiv w:val="1"/>
      <w:marLeft w:val="0"/>
      <w:marRight w:val="0"/>
      <w:marTop w:val="0"/>
      <w:marBottom w:val="0"/>
      <w:divBdr>
        <w:top w:val="none" w:sz="0" w:space="0" w:color="auto"/>
        <w:left w:val="none" w:sz="0" w:space="0" w:color="auto"/>
        <w:bottom w:val="none" w:sz="0" w:space="0" w:color="auto"/>
        <w:right w:val="none" w:sz="0" w:space="0" w:color="auto"/>
      </w:divBdr>
    </w:div>
    <w:div w:id="547573067">
      <w:bodyDiv w:val="1"/>
      <w:marLeft w:val="0"/>
      <w:marRight w:val="0"/>
      <w:marTop w:val="0"/>
      <w:marBottom w:val="0"/>
      <w:divBdr>
        <w:top w:val="none" w:sz="0" w:space="0" w:color="auto"/>
        <w:left w:val="none" w:sz="0" w:space="0" w:color="auto"/>
        <w:bottom w:val="none" w:sz="0" w:space="0" w:color="auto"/>
        <w:right w:val="none" w:sz="0" w:space="0" w:color="auto"/>
      </w:divBdr>
    </w:div>
    <w:div w:id="645552634">
      <w:bodyDiv w:val="1"/>
      <w:marLeft w:val="0"/>
      <w:marRight w:val="0"/>
      <w:marTop w:val="0"/>
      <w:marBottom w:val="0"/>
      <w:divBdr>
        <w:top w:val="none" w:sz="0" w:space="0" w:color="auto"/>
        <w:left w:val="none" w:sz="0" w:space="0" w:color="auto"/>
        <w:bottom w:val="none" w:sz="0" w:space="0" w:color="auto"/>
        <w:right w:val="none" w:sz="0" w:space="0" w:color="auto"/>
      </w:divBdr>
    </w:div>
    <w:div w:id="674310925">
      <w:bodyDiv w:val="1"/>
      <w:marLeft w:val="0"/>
      <w:marRight w:val="0"/>
      <w:marTop w:val="0"/>
      <w:marBottom w:val="0"/>
      <w:divBdr>
        <w:top w:val="none" w:sz="0" w:space="0" w:color="auto"/>
        <w:left w:val="none" w:sz="0" w:space="0" w:color="auto"/>
        <w:bottom w:val="none" w:sz="0" w:space="0" w:color="auto"/>
        <w:right w:val="none" w:sz="0" w:space="0" w:color="auto"/>
      </w:divBdr>
    </w:div>
    <w:div w:id="697702034">
      <w:bodyDiv w:val="1"/>
      <w:marLeft w:val="0"/>
      <w:marRight w:val="0"/>
      <w:marTop w:val="0"/>
      <w:marBottom w:val="0"/>
      <w:divBdr>
        <w:top w:val="none" w:sz="0" w:space="0" w:color="auto"/>
        <w:left w:val="none" w:sz="0" w:space="0" w:color="auto"/>
        <w:bottom w:val="none" w:sz="0" w:space="0" w:color="auto"/>
        <w:right w:val="none" w:sz="0" w:space="0" w:color="auto"/>
      </w:divBdr>
    </w:div>
    <w:div w:id="702022783">
      <w:bodyDiv w:val="1"/>
      <w:marLeft w:val="0"/>
      <w:marRight w:val="0"/>
      <w:marTop w:val="0"/>
      <w:marBottom w:val="0"/>
      <w:divBdr>
        <w:top w:val="none" w:sz="0" w:space="0" w:color="auto"/>
        <w:left w:val="none" w:sz="0" w:space="0" w:color="auto"/>
        <w:bottom w:val="none" w:sz="0" w:space="0" w:color="auto"/>
        <w:right w:val="none" w:sz="0" w:space="0" w:color="auto"/>
      </w:divBdr>
    </w:div>
    <w:div w:id="708265602">
      <w:bodyDiv w:val="1"/>
      <w:marLeft w:val="0"/>
      <w:marRight w:val="0"/>
      <w:marTop w:val="0"/>
      <w:marBottom w:val="0"/>
      <w:divBdr>
        <w:top w:val="none" w:sz="0" w:space="0" w:color="auto"/>
        <w:left w:val="none" w:sz="0" w:space="0" w:color="auto"/>
        <w:bottom w:val="none" w:sz="0" w:space="0" w:color="auto"/>
        <w:right w:val="none" w:sz="0" w:space="0" w:color="auto"/>
      </w:divBdr>
    </w:div>
    <w:div w:id="727384406">
      <w:bodyDiv w:val="1"/>
      <w:marLeft w:val="0"/>
      <w:marRight w:val="0"/>
      <w:marTop w:val="0"/>
      <w:marBottom w:val="0"/>
      <w:divBdr>
        <w:top w:val="none" w:sz="0" w:space="0" w:color="auto"/>
        <w:left w:val="none" w:sz="0" w:space="0" w:color="auto"/>
        <w:bottom w:val="none" w:sz="0" w:space="0" w:color="auto"/>
        <w:right w:val="none" w:sz="0" w:space="0" w:color="auto"/>
      </w:divBdr>
      <w:divsChild>
        <w:div w:id="75132433">
          <w:marLeft w:val="0"/>
          <w:marRight w:val="0"/>
          <w:marTop w:val="0"/>
          <w:marBottom w:val="0"/>
          <w:divBdr>
            <w:top w:val="none" w:sz="0" w:space="0" w:color="auto"/>
            <w:left w:val="none" w:sz="0" w:space="0" w:color="auto"/>
            <w:bottom w:val="none" w:sz="0" w:space="0" w:color="auto"/>
            <w:right w:val="none" w:sz="0" w:space="0" w:color="auto"/>
          </w:divBdr>
          <w:divsChild>
            <w:div w:id="868183431">
              <w:marLeft w:val="0"/>
              <w:marRight w:val="0"/>
              <w:marTop w:val="0"/>
              <w:marBottom w:val="0"/>
              <w:divBdr>
                <w:top w:val="none" w:sz="0" w:space="0" w:color="auto"/>
                <w:left w:val="none" w:sz="0" w:space="0" w:color="auto"/>
                <w:bottom w:val="none" w:sz="0" w:space="0" w:color="auto"/>
                <w:right w:val="none" w:sz="0" w:space="0" w:color="auto"/>
              </w:divBdr>
              <w:divsChild>
                <w:div w:id="1247494410">
                  <w:marLeft w:val="0"/>
                  <w:marRight w:val="0"/>
                  <w:marTop w:val="0"/>
                  <w:marBottom w:val="0"/>
                  <w:divBdr>
                    <w:top w:val="none" w:sz="0" w:space="0" w:color="auto"/>
                    <w:left w:val="none" w:sz="0" w:space="0" w:color="auto"/>
                    <w:bottom w:val="none" w:sz="0" w:space="0" w:color="auto"/>
                    <w:right w:val="none" w:sz="0" w:space="0" w:color="auto"/>
                  </w:divBdr>
                  <w:divsChild>
                    <w:div w:id="143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4011">
      <w:bodyDiv w:val="1"/>
      <w:marLeft w:val="0"/>
      <w:marRight w:val="0"/>
      <w:marTop w:val="0"/>
      <w:marBottom w:val="0"/>
      <w:divBdr>
        <w:top w:val="none" w:sz="0" w:space="0" w:color="auto"/>
        <w:left w:val="none" w:sz="0" w:space="0" w:color="auto"/>
        <w:bottom w:val="none" w:sz="0" w:space="0" w:color="auto"/>
        <w:right w:val="none" w:sz="0" w:space="0" w:color="auto"/>
      </w:divBdr>
    </w:div>
    <w:div w:id="816729497">
      <w:bodyDiv w:val="1"/>
      <w:marLeft w:val="0"/>
      <w:marRight w:val="0"/>
      <w:marTop w:val="0"/>
      <w:marBottom w:val="0"/>
      <w:divBdr>
        <w:top w:val="none" w:sz="0" w:space="0" w:color="auto"/>
        <w:left w:val="none" w:sz="0" w:space="0" w:color="auto"/>
        <w:bottom w:val="none" w:sz="0" w:space="0" w:color="auto"/>
        <w:right w:val="none" w:sz="0" w:space="0" w:color="auto"/>
      </w:divBdr>
    </w:div>
    <w:div w:id="821431903">
      <w:bodyDiv w:val="1"/>
      <w:marLeft w:val="0"/>
      <w:marRight w:val="0"/>
      <w:marTop w:val="0"/>
      <w:marBottom w:val="0"/>
      <w:divBdr>
        <w:top w:val="none" w:sz="0" w:space="0" w:color="auto"/>
        <w:left w:val="none" w:sz="0" w:space="0" w:color="auto"/>
        <w:bottom w:val="none" w:sz="0" w:space="0" w:color="auto"/>
        <w:right w:val="none" w:sz="0" w:space="0" w:color="auto"/>
      </w:divBdr>
    </w:div>
    <w:div w:id="985470774">
      <w:bodyDiv w:val="1"/>
      <w:marLeft w:val="0"/>
      <w:marRight w:val="0"/>
      <w:marTop w:val="0"/>
      <w:marBottom w:val="0"/>
      <w:divBdr>
        <w:top w:val="none" w:sz="0" w:space="0" w:color="auto"/>
        <w:left w:val="none" w:sz="0" w:space="0" w:color="auto"/>
        <w:bottom w:val="none" w:sz="0" w:space="0" w:color="auto"/>
        <w:right w:val="none" w:sz="0" w:space="0" w:color="auto"/>
      </w:divBdr>
    </w:div>
    <w:div w:id="1084499155">
      <w:bodyDiv w:val="1"/>
      <w:marLeft w:val="0"/>
      <w:marRight w:val="0"/>
      <w:marTop w:val="0"/>
      <w:marBottom w:val="0"/>
      <w:divBdr>
        <w:top w:val="none" w:sz="0" w:space="0" w:color="auto"/>
        <w:left w:val="none" w:sz="0" w:space="0" w:color="auto"/>
        <w:bottom w:val="none" w:sz="0" w:space="0" w:color="auto"/>
        <w:right w:val="none" w:sz="0" w:space="0" w:color="auto"/>
      </w:divBdr>
    </w:div>
    <w:div w:id="1209337043">
      <w:bodyDiv w:val="1"/>
      <w:marLeft w:val="0"/>
      <w:marRight w:val="0"/>
      <w:marTop w:val="0"/>
      <w:marBottom w:val="0"/>
      <w:divBdr>
        <w:top w:val="none" w:sz="0" w:space="0" w:color="auto"/>
        <w:left w:val="none" w:sz="0" w:space="0" w:color="auto"/>
        <w:bottom w:val="none" w:sz="0" w:space="0" w:color="auto"/>
        <w:right w:val="none" w:sz="0" w:space="0" w:color="auto"/>
      </w:divBdr>
      <w:divsChild>
        <w:div w:id="696470639">
          <w:marLeft w:val="0"/>
          <w:marRight w:val="0"/>
          <w:marTop w:val="0"/>
          <w:marBottom w:val="0"/>
          <w:divBdr>
            <w:top w:val="none" w:sz="0" w:space="0" w:color="auto"/>
            <w:left w:val="none" w:sz="0" w:space="0" w:color="auto"/>
            <w:bottom w:val="none" w:sz="0" w:space="0" w:color="auto"/>
            <w:right w:val="none" w:sz="0" w:space="0" w:color="auto"/>
          </w:divBdr>
        </w:div>
        <w:div w:id="1882549871">
          <w:marLeft w:val="0"/>
          <w:marRight w:val="0"/>
          <w:marTop w:val="0"/>
          <w:marBottom w:val="0"/>
          <w:divBdr>
            <w:top w:val="none" w:sz="0" w:space="0" w:color="auto"/>
            <w:left w:val="none" w:sz="0" w:space="0" w:color="auto"/>
            <w:bottom w:val="none" w:sz="0" w:space="0" w:color="auto"/>
            <w:right w:val="none" w:sz="0" w:space="0" w:color="auto"/>
          </w:divBdr>
        </w:div>
      </w:divsChild>
    </w:div>
    <w:div w:id="1241335336">
      <w:bodyDiv w:val="1"/>
      <w:marLeft w:val="0"/>
      <w:marRight w:val="0"/>
      <w:marTop w:val="0"/>
      <w:marBottom w:val="0"/>
      <w:divBdr>
        <w:top w:val="none" w:sz="0" w:space="0" w:color="auto"/>
        <w:left w:val="none" w:sz="0" w:space="0" w:color="auto"/>
        <w:bottom w:val="none" w:sz="0" w:space="0" w:color="auto"/>
        <w:right w:val="none" w:sz="0" w:space="0" w:color="auto"/>
      </w:divBdr>
    </w:div>
    <w:div w:id="1278295429">
      <w:bodyDiv w:val="1"/>
      <w:marLeft w:val="0"/>
      <w:marRight w:val="0"/>
      <w:marTop w:val="0"/>
      <w:marBottom w:val="0"/>
      <w:divBdr>
        <w:top w:val="none" w:sz="0" w:space="0" w:color="auto"/>
        <w:left w:val="none" w:sz="0" w:space="0" w:color="auto"/>
        <w:bottom w:val="none" w:sz="0" w:space="0" w:color="auto"/>
        <w:right w:val="none" w:sz="0" w:space="0" w:color="auto"/>
      </w:divBdr>
    </w:div>
    <w:div w:id="1283027000">
      <w:bodyDiv w:val="1"/>
      <w:marLeft w:val="0"/>
      <w:marRight w:val="0"/>
      <w:marTop w:val="0"/>
      <w:marBottom w:val="0"/>
      <w:divBdr>
        <w:top w:val="none" w:sz="0" w:space="0" w:color="auto"/>
        <w:left w:val="none" w:sz="0" w:space="0" w:color="auto"/>
        <w:bottom w:val="none" w:sz="0" w:space="0" w:color="auto"/>
        <w:right w:val="none" w:sz="0" w:space="0" w:color="auto"/>
      </w:divBdr>
      <w:divsChild>
        <w:div w:id="1244879410">
          <w:marLeft w:val="0"/>
          <w:marRight w:val="0"/>
          <w:marTop w:val="0"/>
          <w:marBottom w:val="0"/>
          <w:divBdr>
            <w:top w:val="none" w:sz="0" w:space="0" w:color="auto"/>
            <w:left w:val="none" w:sz="0" w:space="0" w:color="auto"/>
            <w:bottom w:val="none" w:sz="0" w:space="0" w:color="auto"/>
            <w:right w:val="none" w:sz="0" w:space="0" w:color="auto"/>
          </w:divBdr>
        </w:div>
      </w:divsChild>
    </w:div>
    <w:div w:id="1301960211">
      <w:bodyDiv w:val="1"/>
      <w:marLeft w:val="0"/>
      <w:marRight w:val="0"/>
      <w:marTop w:val="0"/>
      <w:marBottom w:val="0"/>
      <w:divBdr>
        <w:top w:val="none" w:sz="0" w:space="0" w:color="auto"/>
        <w:left w:val="none" w:sz="0" w:space="0" w:color="auto"/>
        <w:bottom w:val="none" w:sz="0" w:space="0" w:color="auto"/>
        <w:right w:val="none" w:sz="0" w:space="0" w:color="auto"/>
      </w:divBdr>
    </w:div>
    <w:div w:id="1376855194">
      <w:bodyDiv w:val="1"/>
      <w:marLeft w:val="0"/>
      <w:marRight w:val="0"/>
      <w:marTop w:val="0"/>
      <w:marBottom w:val="0"/>
      <w:divBdr>
        <w:top w:val="none" w:sz="0" w:space="0" w:color="auto"/>
        <w:left w:val="none" w:sz="0" w:space="0" w:color="auto"/>
        <w:bottom w:val="none" w:sz="0" w:space="0" w:color="auto"/>
        <w:right w:val="none" w:sz="0" w:space="0" w:color="auto"/>
      </w:divBdr>
    </w:div>
    <w:div w:id="1420369037">
      <w:bodyDiv w:val="1"/>
      <w:marLeft w:val="0"/>
      <w:marRight w:val="0"/>
      <w:marTop w:val="0"/>
      <w:marBottom w:val="0"/>
      <w:divBdr>
        <w:top w:val="none" w:sz="0" w:space="0" w:color="auto"/>
        <w:left w:val="none" w:sz="0" w:space="0" w:color="auto"/>
        <w:bottom w:val="none" w:sz="0" w:space="0" w:color="auto"/>
        <w:right w:val="none" w:sz="0" w:space="0" w:color="auto"/>
      </w:divBdr>
    </w:div>
    <w:div w:id="1421830406">
      <w:bodyDiv w:val="1"/>
      <w:marLeft w:val="0"/>
      <w:marRight w:val="0"/>
      <w:marTop w:val="0"/>
      <w:marBottom w:val="0"/>
      <w:divBdr>
        <w:top w:val="none" w:sz="0" w:space="0" w:color="auto"/>
        <w:left w:val="none" w:sz="0" w:space="0" w:color="auto"/>
        <w:bottom w:val="none" w:sz="0" w:space="0" w:color="auto"/>
        <w:right w:val="none" w:sz="0" w:space="0" w:color="auto"/>
      </w:divBdr>
    </w:div>
    <w:div w:id="1522695025">
      <w:bodyDiv w:val="1"/>
      <w:marLeft w:val="0"/>
      <w:marRight w:val="0"/>
      <w:marTop w:val="0"/>
      <w:marBottom w:val="0"/>
      <w:divBdr>
        <w:top w:val="none" w:sz="0" w:space="0" w:color="auto"/>
        <w:left w:val="none" w:sz="0" w:space="0" w:color="auto"/>
        <w:bottom w:val="none" w:sz="0" w:space="0" w:color="auto"/>
        <w:right w:val="none" w:sz="0" w:space="0" w:color="auto"/>
      </w:divBdr>
    </w:div>
    <w:div w:id="1622373134">
      <w:bodyDiv w:val="1"/>
      <w:marLeft w:val="0"/>
      <w:marRight w:val="0"/>
      <w:marTop w:val="0"/>
      <w:marBottom w:val="0"/>
      <w:divBdr>
        <w:top w:val="none" w:sz="0" w:space="0" w:color="auto"/>
        <w:left w:val="none" w:sz="0" w:space="0" w:color="auto"/>
        <w:bottom w:val="none" w:sz="0" w:space="0" w:color="auto"/>
        <w:right w:val="none" w:sz="0" w:space="0" w:color="auto"/>
      </w:divBdr>
    </w:div>
    <w:div w:id="1638104013">
      <w:bodyDiv w:val="1"/>
      <w:marLeft w:val="0"/>
      <w:marRight w:val="0"/>
      <w:marTop w:val="0"/>
      <w:marBottom w:val="0"/>
      <w:divBdr>
        <w:top w:val="none" w:sz="0" w:space="0" w:color="auto"/>
        <w:left w:val="none" w:sz="0" w:space="0" w:color="auto"/>
        <w:bottom w:val="none" w:sz="0" w:space="0" w:color="auto"/>
        <w:right w:val="none" w:sz="0" w:space="0" w:color="auto"/>
      </w:divBdr>
    </w:div>
    <w:div w:id="1643078507">
      <w:bodyDiv w:val="1"/>
      <w:marLeft w:val="0"/>
      <w:marRight w:val="0"/>
      <w:marTop w:val="0"/>
      <w:marBottom w:val="0"/>
      <w:divBdr>
        <w:top w:val="none" w:sz="0" w:space="0" w:color="auto"/>
        <w:left w:val="none" w:sz="0" w:space="0" w:color="auto"/>
        <w:bottom w:val="none" w:sz="0" w:space="0" w:color="auto"/>
        <w:right w:val="none" w:sz="0" w:space="0" w:color="auto"/>
      </w:divBdr>
    </w:div>
    <w:div w:id="1648507892">
      <w:bodyDiv w:val="1"/>
      <w:marLeft w:val="0"/>
      <w:marRight w:val="0"/>
      <w:marTop w:val="0"/>
      <w:marBottom w:val="0"/>
      <w:divBdr>
        <w:top w:val="none" w:sz="0" w:space="0" w:color="auto"/>
        <w:left w:val="none" w:sz="0" w:space="0" w:color="auto"/>
        <w:bottom w:val="none" w:sz="0" w:space="0" w:color="auto"/>
        <w:right w:val="none" w:sz="0" w:space="0" w:color="auto"/>
      </w:divBdr>
    </w:div>
    <w:div w:id="1668633747">
      <w:bodyDiv w:val="1"/>
      <w:marLeft w:val="0"/>
      <w:marRight w:val="0"/>
      <w:marTop w:val="0"/>
      <w:marBottom w:val="0"/>
      <w:divBdr>
        <w:top w:val="none" w:sz="0" w:space="0" w:color="auto"/>
        <w:left w:val="none" w:sz="0" w:space="0" w:color="auto"/>
        <w:bottom w:val="none" w:sz="0" w:space="0" w:color="auto"/>
        <w:right w:val="none" w:sz="0" w:space="0" w:color="auto"/>
      </w:divBdr>
    </w:div>
    <w:div w:id="1669214112">
      <w:bodyDiv w:val="1"/>
      <w:marLeft w:val="0"/>
      <w:marRight w:val="0"/>
      <w:marTop w:val="0"/>
      <w:marBottom w:val="0"/>
      <w:divBdr>
        <w:top w:val="none" w:sz="0" w:space="0" w:color="auto"/>
        <w:left w:val="none" w:sz="0" w:space="0" w:color="auto"/>
        <w:bottom w:val="none" w:sz="0" w:space="0" w:color="auto"/>
        <w:right w:val="none" w:sz="0" w:space="0" w:color="auto"/>
      </w:divBdr>
    </w:div>
    <w:div w:id="1674915162">
      <w:bodyDiv w:val="1"/>
      <w:marLeft w:val="0"/>
      <w:marRight w:val="0"/>
      <w:marTop w:val="0"/>
      <w:marBottom w:val="0"/>
      <w:divBdr>
        <w:top w:val="none" w:sz="0" w:space="0" w:color="auto"/>
        <w:left w:val="none" w:sz="0" w:space="0" w:color="auto"/>
        <w:bottom w:val="none" w:sz="0" w:space="0" w:color="auto"/>
        <w:right w:val="none" w:sz="0" w:space="0" w:color="auto"/>
      </w:divBdr>
    </w:div>
    <w:div w:id="1715041001">
      <w:bodyDiv w:val="1"/>
      <w:marLeft w:val="0"/>
      <w:marRight w:val="0"/>
      <w:marTop w:val="0"/>
      <w:marBottom w:val="0"/>
      <w:divBdr>
        <w:top w:val="none" w:sz="0" w:space="0" w:color="auto"/>
        <w:left w:val="none" w:sz="0" w:space="0" w:color="auto"/>
        <w:bottom w:val="none" w:sz="0" w:space="0" w:color="auto"/>
        <w:right w:val="none" w:sz="0" w:space="0" w:color="auto"/>
      </w:divBdr>
    </w:div>
    <w:div w:id="1726680220">
      <w:bodyDiv w:val="1"/>
      <w:marLeft w:val="0"/>
      <w:marRight w:val="0"/>
      <w:marTop w:val="0"/>
      <w:marBottom w:val="0"/>
      <w:divBdr>
        <w:top w:val="none" w:sz="0" w:space="0" w:color="auto"/>
        <w:left w:val="none" w:sz="0" w:space="0" w:color="auto"/>
        <w:bottom w:val="none" w:sz="0" w:space="0" w:color="auto"/>
        <w:right w:val="none" w:sz="0" w:space="0" w:color="auto"/>
      </w:divBdr>
      <w:divsChild>
        <w:div w:id="498541650">
          <w:marLeft w:val="0"/>
          <w:marRight w:val="0"/>
          <w:marTop w:val="0"/>
          <w:marBottom w:val="0"/>
          <w:divBdr>
            <w:top w:val="none" w:sz="0" w:space="0" w:color="auto"/>
            <w:left w:val="none" w:sz="0" w:space="0" w:color="auto"/>
            <w:bottom w:val="none" w:sz="0" w:space="0" w:color="auto"/>
            <w:right w:val="none" w:sz="0" w:space="0" w:color="auto"/>
          </w:divBdr>
        </w:div>
      </w:divsChild>
    </w:div>
    <w:div w:id="1801722145">
      <w:bodyDiv w:val="1"/>
      <w:marLeft w:val="0"/>
      <w:marRight w:val="0"/>
      <w:marTop w:val="0"/>
      <w:marBottom w:val="0"/>
      <w:divBdr>
        <w:top w:val="none" w:sz="0" w:space="0" w:color="auto"/>
        <w:left w:val="none" w:sz="0" w:space="0" w:color="auto"/>
        <w:bottom w:val="none" w:sz="0" w:space="0" w:color="auto"/>
        <w:right w:val="none" w:sz="0" w:space="0" w:color="auto"/>
      </w:divBdr>
    </w:div>
    <w:div w:id="1841970452">
      <w:bodyDiv w:val="1"/>
      <w:marLeft w:val="0"/>
      <w:marRight w:val="0"/>
      <w:marTop w:val="0"/>
      <w:marBottom w:val="0"/>
      <w:divBdr>
        <w:top w:val="none" w:sz="0" w:space="0" w:color="auto"/>
        <w:left w:val="none" w:sz="0" w:space="0" w:color="auto"/>
        <w:bottom w:val="none" w:sz="0" w:space="0" w:color="auto"/>
        <w:right w:val="none" w:sz="0" w:space="0" w:color="auto"/>
      </w:divBdr>
    </w:div>
    <w:div w:id="1845196531">
      <w:bodyDiv w:val="1"/>
      <w:marLeft w:val="0"/>
      <w:marRight w:val="0"/>
      <w:marTop w:val="0"/>
      <w:marBottom w:val="0"/>
      <w:divBdr>
        <w:top w:val="none" w:sz="0" w:space="0" w:color="auto"/>
        <w:left w:val="none" w:sz="0" w:space="0" w:color="auto"/>
        <w:bottom w:val="none" w:sz="0" w:space="0" w:color="auto"/>
        <w:right w:val="none" w:sz="0" w:space="0" w:color="auto"/>
      </w:divBdr>
    </w:div>
    <w:div w:id="1850949266">
      <w:bodyDiv w:val="1"/>
      <w:marLeft w:val="0"/>
      <w:marRight w:val="0"/>
      <w:marTop w:val="0"/>
      <w:marBottom w:val="0"/>
      <w:divBdr>
        <w:top w:val="none" w:sz="0" w:space="0" w:color="auto"/>
        <w:left w:val="none" w:sz="0" w:space="0" w:color="auto"/>
        <w:bottom w:val="none" w:sz="0" w:space="0" w:color="auto"/>
        <w:right w:val="none" w:sz="0" w:space="0" w:color="auto"/>
      </w:divBdr>
    </w:div>
    <w:div w:id="1899126276">
      <w:bodyDiv w:val="1"/>
      <w:marLeft w:val="0"/>
      <w:marRight w:val="0"/>
      <w:marTop w:val="0"/>
      <w:marBottom w:val="0"/>
      <w:divBdr>
        <w:top w:val="none" w:sz="0" w:space="0" w:color="auto"/>
        <w:left w:val="none" w:sz="0" w:space="0" w:color="auto"/>
        <w:bottom w:val="none" w:sz="0" w:space="0" w:color="auto"/>
        <w:right w:val="none" w:sz="0" w:space="0" w:color="auto"/>
      </w:divBdr>
    </w:div>
    <w:div w:id="1910461577">
      <w:bodyDiv w:val="1"/>
      <w:marLeft w:val="0"/>
      <w:marRight w:val="0"/>
      <w:marTop w:val="0"/>
      <w:marBottom w:val="0"/>
      <w:divBdr>
        <w:top w:val="none" w:sz="0" w:space="0" w:color="auto"/>
        <w:left w:val="none" w:sz="0" w:space="0" w:color="auto"/>
        <w:bottom w:val="none" w:sz="0" w:space="0" w:color="auto"/>
        <w:right w:val="none" w:sz="0" w:space="0" w:color="auto"/>
      </w:divBdr>
    </w:div>
    <w:div w:id="1916471732">
      <w:bodyDiv w:val="1"/>
      <w:marLeft w:val="0"/>
      <w:marRight w:val="0"/>
      <w:marTop w:val="0"/>
      <w:marBottom w:val="0"/>
      <w:divBdr>
        <w:top w:val="none" w:sz="0" w:space="0" w:color="auto"/>
        <w:left w:val="none" w:sz="0" w:space="0" w:color="auto"/>
        <w:bottom w:val="none" w:sz="0" w:space="0" w:color="auto"/>
        <w:right w:val="none" w:sz="0" w:space="0" w:color="auto"/>
      </w:divBdr>
    </w:div>
    <w:div w:id="1930195870">
      <w:bodyDiv w:val="1"/>
      <w:marLeft w:val="0"/>
      <w:marRight w:val="0"/>
      <w:marTop w:val="0"/>
      <w:marBottom w:val="0"/>
      <w:divBdr>
        <w:top w:val="none" w:sz="0" w:space="0" w:color="auto"/>
        <w:left w:val="none" w:sz="0" w:space="0" w:color="auto"/>
        <w:bottom w:val="none" w:sz="0" w:space="0" w:color="auto"/>
        <w:right w:val="none" w:sz="0" w:space="0" w:color="auto"/>
      </w:divBdr>
      <w:divsChild>
        <w:div w:id="495606606">
          <w:marLeft w:val="0"/>
          <w:marRight w:val="0"/>
          <w:marTop w:val="0"/>
          <w:marBottom w:val="0"/>
          <w:divBdr>
            <w:top w:val="none" w:sz="0" w:space="0" w:color="auto"/>
            <w:left w:val="none" w:sz="0" w:space="0" w:color="auto"/>
            <w:bottom w:val="none" w:sz="0" w:space="0" w:color="auto"/>
            <w:right w:val="none" w:sz="0" w:space="0" w:color="auto"/>
          </w:divBdr>
        </w:div>
      </w:divsChild>
    </w:div>
    <w:div w:id="1972589521">
      <w:bodyDiv w:val="1"/>
      <w:marLeft w:val="0"/>
      <w:marRight w:val="0"/>
      <w:marTop w:val="0"/>
      <w:marBottom w:val="0"/>
      <w:divBdr>
        <w:top w:val="none" w:sz="0" w:space="0" w:color="auto"/>
        <w:left w:val="none" w:sz="0" w:space="0" w:color="auto"/>
        <w:bottom w:val="none" w:sz="0" w:space="0" w:color="auto"/>
        <w:right w:val="none" w:sz="0" w:space="0" w:color="auto"/>
      </w:divBdr>
    </w:div>
    <w:div w:id="1979525604">
      <w:bodyDiv w:val="1"/>
      <w:marLeft w:val="0"/>
      <w:marRight w:val="0"/>
      <w:marTop w:val="0"/>
      <w:marBottom w:val="0"/>
      <w:divBdr>
        <w:top w:val="none" w:sz="0" w:space="0" w:color="auto"/>
        <w:left w:val="none" w:sz="0" w:space="0" w:color="auto"/>
        <w:bottom w:val="none" w:sz="0" w:space="0" w:color="auto"/>
        <w:right w:val="none" w:sz="0" w:space="0" w:color="auto"/>
      </w:divBdr>
    </w:div>
    <w:div w:id="2052001239">
      <w:bodyDiv w:val="1"/>
      <w:marLeft w:val="0"/>
      <w:marRight w:val="0"/>
      <w:marTop w:val="0"/>
      <w:marBottom w:val="0"/>
      <w:divBdr>
        <w:top w:val="none" w:sz="0" w:space="0" w:color="auto"/>
        <w:left w:val="none" w:sz="0" w:space="0" w:color="auto"/>
        <w:bottom w:val="none" w:sz="0" w:space="0" w:color="auto"/>
        <w:right w:val="none" w:sz="0" w:space="0" w:color="auto"/>
      </w:divBdr>
    </w:div>
    <w:div w:id="2061898321">
      <w:bodyDiv w:val="1"/>
      <w:marLeft w:val="0"/>
      <w:marRight w:val="0"/>
      <w:marTop w:val="0"/>
      <w:marBottom w:val="0"/>
      <w:divBdr>
        <w:top w:val="none" w:sz="0" w:space="0" w:color="auto"/>
        <w:left w:val="none" w:sz="0" w:space="0" w:color="auto"/>
        <w:bottom w:val="none" w:sz="0" w:space="0" w:color="auto"/>
        <w:right w:val="none" w:sz="0" w:space="0" w:color="auto"/>
      </w:divBdr>
    </w:div>
    <w:div w:id="2085372093">
      <w:bodyDiv w:val="1"/>
      <w:marLeft w:val="0"/>
      <w:marRight w:val="0"/>
      <w:marTop w:val="0"/>
      <w:marBottom w:val="0"/>
      <w:divBdr>
        <w:top w:val="none" w:sz="0" w:space="0" w:color="auto"/>
        <w:left w:val="none" w:sz="0" w:space="0" w:color="auto"/>
        <w:bottom w:val="none" w:sz="0" w:space="0" w:color="auto"/>
        <w:right w:val="none" w:sz="0" w:space="0" w:color="auto"/>
      </w:divBdr>
    </w:div>
    <w:div w:id="21153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lobina@gre.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p-eu-waterpartnership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cp-eu-waterpartnerships.org" TargetMode="External"/><Relationship Id="rId4" Type="http://schemas.openxmlformats.org/officeDocument/2006/relationships/settings" Target="settings.xml"/><Relationship Id="rId9" Type="http://schemas.openxmlformats.org/officeDocument/2006/relationships/hyperlink" Target="mailto:d.j.hall@gre.ac.uk"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www.waterlinks.org/who-we-are" TargetMode="External"/><Relationship Id="rId13" Type="http://schemas.openxmlformats.org/officeDocument/2006/relationships/hyperlink" Target="http://gwopa.org/what-gwopa-does/supporting-wop-platforms/arab-countries" TargetMode="External"/><Relationship Id="rId3" Type="http://schemas.openxmlformats.org/officeDocument/2006/relationships/hyperlink" Target="http://www.irc.nl/page/31026" TargetMode="External"/><Relationship Id="rId7" Type="http://schemas.openxmlformats.org/officeDocument/2006/relationships/hyperlink" Target="http://www.iwawaterwiki.org/xwiki/bin/view/Articles/+Worldwide" TargetMode="External"/><Relationship Id="rId12" Type="http://schemas.openxmlformats.org/officeDocument/2006/relationships/hyperlink" Target="http://www.waterlinks.org/waterlinks-partnerships" TargetMode="External"/><Relationship Id="rId2" Type="http://schemas.openxmlformats.org/officeDocument/2006/relationships/hyperlink" Target="http://gala.gre.ac.uk/5231/" TargetMode="External"/><Relationship Id="rId1" Type="http://schemas.openxmlformats.org/officeDocument/2006/relationships/hyperlink" Target="http://gala.gre.ac.uk/5231/" TargetMode="External"/><Relationship Id="rId6" Type="http://schemas.openxmlformats.org/officeDocument/2006/relationships/hyperlink" Target="http://www.iwawaterwiki.org/xwiki/bin/view/Articles/+Worldwide" TargetMode="External"/><Relationship Id="rId11" Type="http://schemas.openxmlformats.org/officeDocument/2006/relationships/hyperlink" Target="http://www.waterlinks.org/who-we-are" TargetMode="External"/><Relationship Id="rId5" Type="http://schemas.openxmlformats.org/officeDocument/2006/relationships/hyperlink" Target="http://www.gwopa.org" TargetMode="External"/><Relationship Id="rId15" Type="http://schemas.openxmlformats.org/officeDocument/2006/relationships/hyperlink" Target="http://www.worldwaterforum6.org/en/news/single/article/the-ministerial-declaration-of-the-6th-world-water-forum" TargetMode="External"/><Relationship Id="rId10" Type="http://schemas.openxmlformats.org/officeDocument/2006/relationships/hyperlink" Target="http://www.waterlinks.org/what-we-do" TargetMode="External"/><Relationship Id="rId4" Type="http://schemas.openxmlformats.org/officeDocument/2006/relationships/hyperlink" Target="http://www.acp-eu-waterpartnerships.org" TargetMode="External"/><Relationship Id="rId9" Type="http://schemas.openxmlformats.org/officeDocument/2006/relationships/hyperlink" Target="http://www.waterlinks.org/what-we-do" TargetMode="External"/><Relationship Id="rId14" Type="http://schemas.openxmlformats.org/officeDocument/2006/relationships/hyperlink" Target="http://gwopa.org/what-gwopa-does/supporting-wop-platforms/101-activities/what-gwopa-does/supporting-wop-platforms?layout=blo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7C54B821</Template>
  <TotalTime>1</TotalTime>
  <Pages>28</Pages>
  <Words>14492</Words>
  <Characters>82609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Third and final draft</vt:lpstr>
    </vt:vector>
  </TitlesOfParts>
  <Company>University of Greenwich</Company>
  <LinksUpToDate>false</LinksUpToDate>
  <CharactersWithSpaces>96908</CharactersWithSpaces>
  <SharedDoc>false</SharedDoc>
  <HLinks>
    <vt:vector size="366" baseType="variant">
      <vt:variant>
        <vt:i4>196619</vt:i4>
      </vt:variant>
      <vt:variant>
        <vt:i4>234</vt:i4>
      </vt:variant>
      <vt:variant>
        <vt:i4>0</vt:i4>
      </vt:variant>
      <vt:variant>
        <vt:i4>5</vt:i4>
      </vt:variant>
      <vt:variant>
        <vt:lpwstr>http://www.acp-eu-waterpartnerships.org/</vt:lpwstr>
      </vt:variant>
      <vt:variant>
        <vt:lpwstr/>
      </vt:variant>
      <vt:variant>
        <vt:i4>1638463</vt:i4>
      </vt:variant>
      <vt:variant>
        <vt:i4>227</vt:i4>
      </vt:variant>
      <vt:variant>
        <vt:i4>0</vt:i4>
      </vt:variant>
      <vt:variant>
        <vt:i4>5</vt:i4>
      </vt:variant>
      <vt:variant>
        <vt:lpwstr/>
      </vt:variant>
      <vt:variant>
        <vt:lpwstr>_Toc331783594</vt:lpwstr>
      </vt:variant>
      <vt:variant>
        <vt:i4>1638463</vt:i4>
      </vt:variant>
      <vt:variant>
        <vt:i4>221</vt:i4>
      </vt:variant>
      <vt:variant>
        <vt:i4>0</vt:i4>
      </vt:variant>
      <vt:variant>
        <vt:i4>5</vt:i4>
      </vt:variant>
      <vt:variant>
        <vt:lpwstr/>
      </vt:variant>
      <vt:variant>
        <vt:lpwstr>_Toc331783593</vt:lpwstr>
      </vt:variant>
      <vt:variant>
        <vt:i4>1638463</vt:i4>
      </vt:variant>
      <vt:variant>
        <vt:i4>215</vt:i4>
      </vt:variant>
      <vt:variant>
        <vt:i4>0</vt:i4>
      </vt:variant>
      <vt:variant>
        <vt:i4>5</vt:i4>
      </vt:variant>
      <vt:variant>
        <vt:lpwstr/>
      </vt:variant>
      <vt:variant>
        <vt:lpwstr>_Toc331783592</vt:lpwstr>
      </vt:variant>
      <vt:variant>
        <vt:i4>1638463</vt:i4>
      </vt:variant>
      <vt:variant>
        <vt:i4>209</vt:i4>
      </vt:variant>
      <vt:variant>
        <vt:i4>0</vt:i4>
      </vt:variant>
      <vt:variant>
        <vt:i4>5</vt:i4>
      </vt:variant>
      <vt:variant>
        <vt:lpwstr/>
      </vt:variant>
      <vt:variant>
        <vt:lpwstr>_Toc331783591</vt:lpwstr>
      </vt:variant>
      <vt:variant>
        <vt:i4>1638463</vt:i4>
      </vt:variant>
      <vt:variant>
        <vt:i4>203</vt:i4>
      </vt:variant>
      <vt:variant>
        <vt:i4>0</vt:i4>
      </vt:variant>
      <vt:variant>
        <vt:i4>5</vt:i4>
      </vt:variant>
      <vt:variant>
        <vt:lpwstr/>
      </vt:variant>
      <vt:variant>
        <vt:lpwstr>_Toc331783590</vt:lpwstr>
      </vt:variant>
      <vt:variant>
        <vt:i4>1572927</vt:i4>
      </vt:variant>
      <vt:variant>
        <vt:i4>197</vt:i4>
      </vt:variant>
      <vt:variant>
        <vt:i4>0</vt:i4>
      </vt:variant>
      <vt:variant>
        <vt:i4>5</vt:i4>
      </vt:variant>
      <vt:variant>
        <vt:lpwstr/>
      </vt:variant>
      <vt:variant>
        <vt:lpwstr>_Toc331783589</vt:lpwstr>
      </vt:variant>
      <vt:variant>
        <vt:i4>1572927</vt:i4>
      </vt:variant>
      <vt:variant>
        <vt:i4>191</vt:i4>
      </vt:variant>
      <vt:variant>
        <vt:i4>0</vt:i4>
      </vt:variant>
      <vt:variant>
        <vt:i4>5</vt:i4>
      </vt:variant>
      <vt:variant>
        <vt:lpwstr/>
      </vt:variant>
      <vt:variant>
        <vt:lpwstr>_Toc331783588</vt:lpwstr>
      </vt:variant>
      <vt:variant>
        <vt:i4>1572927</vt:i4>
      </vt:variant>
      <vt:variant>
        <vt:i4>185</vt:i4>
      </vt:variant>
      <vt:variant>
        <vt:i4>0</vt:i4>
      </vt:variant>
      <vt:variant>
        <vt:i4>5</vt:i4>
      </vt:variant>
      <vt:variant>
        <vt:lpwstr/>
      </vt:variant>
      <vt:variant>
        <vt:lpwstr>_Toc331783587</vt:lpwstr>
      </vt:variant>
      <vt:variant>
        <vt:i4>1572927</vt:i4>
      </vt:variant>
      <vt:variant>
        <vt:i4>179</vt:i4>
      </vt:variant>
      <vt:variant>
        <vt:i4>0</vt:i4>
      </vt:variant>
      <vt:variant>
        <vt:i4>5</vt:i4>
      </vt:variant>
      <vt:variant>
        <vt:lpwstr/>
      </vt:variant>
      <vt:variant>
        <vt:lpwstr>_Toc331783586</vt:lpwstr>
      </vt:variant>
      <vt:variant>
        <vt:i4>1572927</vt:i4>
      </vt:variant>
      <vt:variant>
        <vt:i4>173</vt:i4>
      </vt:variant>
      <vt:variant>
        <vt:i4>0</vt:i4>
      </vt:variant>
      <vt:variant>
        <vt:i4>5</vt:i4>
      </vt:variant>
      <vt:variant>
        <vt:lpwstr/>
      </vt:variant>
      <vt:variant>
        <vt:lpwstr>_Toc331783585</vt:lpwstr>
      </vt:variant>
      <vt:variant>
        <vt:i4>1572927</vt:i4>
      </vt:variant>
      <vt:variant>
        <vt:i4>167</vt:i4>
      </vt:variant>
      <vt:variant>
        <vt:i4>0</vt:i4>
      </vt:variant>
      <vt:variant>
        <vt:i4>5</vt:i4>
      </vt:variant>
      <vt:variant>
        <vt:lpwstr/>
      </vt:variant>
      <vt:variant>
        <vt:lpwstr>_Toc331783584</vt:lpwstr>
      </vt:variant>
      <vt:variant>
        <vt:i4>1572927</vt:i4>
      </vt:variant>
      <vt:variant>
        <vt:i4>161</vt:i4>
      </vt:variant>
      <vt:variant>
        <vt:i4>0</vt:i4>
      </vt:variant>
      <vt:variant>
        <vt:i4>5</vt:i4>
      </vt:variant>
      <vt:variant>
        <vt:lpwstr/>
      </vt:variant>
      <vt:variant>
        <vt:lpwstr>_Toc331783583</vt:lpwstr>
      </vt:variant>
      <vt:variant>
        <vt:i4>1572927</vt:i4>
      </vt:variant>
      <vt:variant>
        <vt:i4>155</vt:i4>
      </vt:variant>
      <vt:variant>
        <vt:i4>0</vt:i4>
      </vt:variant>
      <vt:variant>
        <vt:i4>5</vt:i4>
      </vt:variant>
      <vt:variant>
        <vt:lpwstr/>
      </vt:variant>
      <vt:variant>
        <vt:lpwstr>_Toc331783582</vt:lpwstr>
      </vt:variant>
      <vt:variant>
        <vt:i4>1572927</vt:i4>
      </vt:variant>
      <vt:variant>
        <vt:i4>149</vt:i4>
      </vt:variant>
      <vt:variant>
        <vt:i4>0</vt:i4>
      </vt:variant>
      <vt:variant>
        <vt:i4>5</vt:i4>
      </vt:variant>
      <vt:variant>
        <vt:lpwstr/>
      </vt:variant>
      <vt:variant>
        <vt:lpwstr>_Toc331783581</vt:lpwstr>
      </vt:variant>
      <vt:variant>
        <vt:i4>1572927</vt:i4>
      </vt:variant>
      <vt:variant>
        <vt:i4>143</vt:i4>
      </vt:variant>
      <vt:variant>
        <vt:i4>0</vt:i4>
      </vt:variant>
      <vt:variant>
        <vt:i4>5</vt:i4>
      </vt:variant>
      <vt:variant>
        <vt:lpwstr/>
      </vt:variant>
      <vt:variant>
        <vt:lpwstr>_Toc331783580</vt:lpwstr>
      </vt:variant>
      <vt:variant>
        <vt:i4>1507391</vt:i4>
      </vt:variant>
      <vt:variant>
        <vt:i4>137</vt:i4>
      </vt:variant>
      <vt:variant>
        <vt:i4>0</vt:i4>
      </vt:variant>
      <vt:variant>
        <vt:i4>5</vt:i4>
      </vt:variant>
      <vt:variant>
        <vt:lpwstr/>
      </vt:variant>
      <vt:variant>
        <vt:lpwstr>_Toc331783579</vt:lpwstr>
      </vt:variant>
      <vt:variant>
        <vt:i4>1507391</vt:i4>
      </vt:variant>
      <vt:variant>
        <vt:i4>131</vt:i4>
      </vt:variant>
      <vt:variant>
        <vt:i4>0</vt:i4>
      </vt:variant>
      <vt:variant>
        <vt:i4>5</vt:i4>
      </vt:variant>
      <vt:variant>
        <vt:lpwstr/>
      </vt:variant>
      <vt:variant>
        <vt:lpwstr>_Toc331783578</vt:lpwstr>
      </vt:variant>
      <vt:variant>
        <vt:i4>1507391</vt:i4>
      </vt:variant>
      <vt:variant>
        <vt:i4>125</vt:i4>
      </vt:variant>
      <vt:variant>
        <vt:i4>0</vt:i4>
      </vt:variant>
      <vt:variant>
        <vt:i4>5</vt:i4>
      </vt:variant>
      <vt:variant>
        <vt:lpwstr/>
      </vt:variant>
      <vt:variant>
        <vt:lpwstr>_Toc331783577</vt:lpwstr>
      </vt:variant>
      <vt:variant>
        <vt:i4>1507391</vt:i4>
      </vt:variant>
      <vt:variant>
        <vt:i4>119</vt:i4>
      </vt:variant>
      <vt:variant>
        <vt:i4>0</vt:i4>
      </vt:variant>
      <vt:variant>
        <vt:i4>5</vt:i4>
      </vt:variant>
      <vt:variant>
        <vt:lpwstr/>
      </vt:variant>
      <vt:variant>
        <vt:lpwstr>_Toc331783576</vt:lpwstr>
      </vt:variant>
      <vt:variant>
        <vt:i4>1507391</vt:i4>
      </vt:variant>
      <vt:variant>
        <vt:i4>113</vt:i4>
      </vt:variant>
      <vt:variant>
        <vt:i4>0</vt:i4>
      </vt:variant>
      <vt:variant>
        <vt:i4>5</vt:i4>
      </vt:variant>
      <vt:variant>
        <vt:lpwstr/>
      </vt:variant>
      <vt:variant>
        <vt:lpwstr>_Toc331783575</vt:lpwstr>
      </vt:variant>
      <vt:variant>
        <vt:i4>1507391</vt:i4>
      </vt:variant>
      <vt:variant>
        <vt:i4>107</vt:i4>
      </vt:variant>
      <vt:variant>
        <vt:i4>0</vt:i4>
      </vt:variant>
      <vt:variant>
        <vt:i4>5</vt:i4>
      </vt:variant>
      <vt:variant>
        <vt:lpwstr/>
      </vt:variant>
      <vt:variant>
        <vt:lpwstr>_Toc331783574</vt:lpwstr>
      </vt:variant>
      <vt:variant>
        <vt:i4>1507391</vt:i4>
      </vt:variant>
      <vt:variant>
        <vt:i4>101</vt:i4>
      </vt:variant>
      <vt:variant>
        <vt:i4>0</vt:i4>
      </vt:variant>
      <vt:variant>
        <vt:i4>5</vt:i4>
      </vt:variant>
      <vt:variant>
        <vt:lpwstr/>
      </vt:variant>
      <vt:variant>
        <vt:lpwstr>_Toc331783573</vt:lpwstr>
      </vt:variant>
      <vt:variant>
        <vt:i4>1507391</vt:i4>
      </vt:variant>
      <vt:variant>
        <vt:i4>95</vt:i4>
      </vt:variant>
      <vt:variant>
        <vt:i4>0</vt:i4>
      </vt:variant>
      <vt:variant>
        <vt:i4>5</vt:i4>
      </vt:variant>
      <vt:variant>
        <vt:lpwstr/>
      </vt:variant>
      <vt:variant>
        <vt:lpwstr>_Toc331783572</vt:lpwstr>
      </vt:variant>
      <vt:variant>
        <vt:i4>1507391</vt:i4>
      </vt:variant>
      <vt:variant>
        <vt:i4>89</vt:i4>
      </vt:variant>
      <vt:variant>
        <vt:i4>0</vt:i4>
      </vt:variant>
      <vt:variant>
        <vt:i4>5</vt:i4>
      </vt:variant>
      <vt:variant>
        <vt:lpwstr/>
      </vt:variant>
      <vt:variant>
        <vt:lpwstr>_Toc331783571</vt:lpwstr>
      </vt:variant>
      <vt:variant>
        <vt:i4>1507391</vt:i4>
      </vt:variant>
      <vt:variant>
        <vt:i4>83</vt:i4>
      </vt:variant>
      <vt:variant>
        <vt:i4>0</vt:i4>
      </vt:variant>
      <vt:variant>
        <vt:i4>5</vt:i4>
      </vt:variant>
      <vt:variant>
        <vt:lpwstr/>
      </vt:variant>
      <vt:variant>
        <vt:lpwstr>_Toc331783570</vt:lpwstr>
      </vt:variant>
      <vt:variant>
        <vt:i4>1441855</vt:i4>
      </vt:variant>
      <vt:variant>
        <vt:i4>77</vt:i4>
      </vt:variant>
      <vt:variant>
        <vt:i4>0</vt:i4>
      </vt:variant>
      <vt:variant>
        <vt:i4>5</vt:i4>
      </vt:variant>
      <vt:variant>
        <vt:lpwstr/>
      </vt:variant>
      <vt:variant>
        <vt:lpwstr>_Toc331783569</vt:lpwstr>
      </vt:variant>
      <vt:variant>
        <vt:i4>1441855</vt:i4>
      </vt:variant>
      <vt:variant>
        <vt:i4>71</vt:i4>
      </vt:variant>
      <vt:variant>
        <vt:i4>0</vt:i4>
      </vt:variant>
      <vt:variant>
        <vt:i4>5</vt:i4>
      </vt:variant>
      <vt:variant>
        <vt:lpwstr/>
      </vt:variant>
      <vt:variant>
        <vt:lpwstr>_Toc331783568</vt:lpwstr>
      </vt:variant>
      <vt:variant>
        <vt:i4>1441855</vt:i4>
      </vt:variant>
      <vt:variant>
        <vt:i4>65</vt:i4>
      </vt:variant>
      <vt:variant>
        <vt:i4>0</vt:i4>
      </vt:variant>
      <vt:variant>
        <vt:i4>5</vt:i4>
      </vt:variant>
      <vt:variant>
        <vt:lpwstr/>
      </vt:variant>
      <vt:variant>
        <vt:lpwstr>_Toc331783567</vt:lpwstr>
      </vt:variant>
      <vt:variant>
        <vt:i4>1441855</vt:i4>
      </vt:variant>
      <vt:variant>
        <vt:i4>59</vt:i4>
      </vt:variant>
      <vt:variant>
        <vt:i4>0</vt:i4>
      </vt:variant>
      <vt:variant>
        <vt:i4>5</vt:i4>
      </vt:variant>
      <vt:variant>
        <vt:lpwstr/>
      </vt:variant>
      <vt:variant>
        <vt:lpwstr>_Toc331783566</vt:lpwstr>
      </vt:variant>
      <vt:variant>
        <vt:i4>1441855</vt:i4>
      </vt:variant>
      <vt:variant>
        <vt:i4>53</vt:i4>
      </vt:variant>
      <vt:variant>
        <vt:i4>0</vt:i4>
      </vt:variant>
      <vt:variant>
        <vt:i4>5</vt:i4>
      </vt:variant>
      <vt:variant>
        <vt:lpwstr/>
      </vt:variant>
      <vt:variant>
        <vt:lpwstr>_Toc331783565</vt:lpwstr>
      </vt:variant>
      <vt:variant>
        <vt:i4>1441855</vt:i4>
      </vt:variant>
      <vt:variant>
        <vt:i4>47</vt:i4>
      </vt:variant>
      <vt:variant>
        <vt:i4>0</vt:i4>
      </vt:variant>
      <vt:variant>
        <vt:i4>5</vt:i4>
      </vt:variant>
      <vt:variant>
        <vt:lpwstr/>
      </vt:variant>
      <vt:variant>
        <vt:lpwstr>_Toc331783564</vt:lpwstr>
      </vt:variant>
      <vt:variant>
        <vt:i4>1441855</vt:i4>
      </vt:variant>
      <vt:variant>
        <vt:i4>41</vt:i4>
      </vt:variant>
      <vt:variant>
        <vt:i4>0</vt:i4>
      </vt:variant>
      <vt:variant>
        <vt:i4>5</vt:i4>
      </vt:variant>
      <vt:variant>
        <vt:lpwstr/>
      </vt:variant>
      <vt:variant>
        <vt:lpwstr>_Toc331783563</vt:lpwstr>
      </vt:variant>
      <vt:variant>
        <vt:i4>1441855</vt:i4>
      </vt:variant>
      <vt:variant>
        <vt:i4>35</vt:i4>
      </vt:variant>
      <vt:variant>
        <vt:i4>0</vt:i4>
      </vt:variant>
      <vt:variant>
        <vt:i4>5</vt:i4>
      </vt:variant>
      <vt:variant>
        <vt:lpwstr/>
      </vt:variant>
      <vt:variant>
        <vt:lpwstr>_Toc331783562</vt:lpwstr>
      </vt:variant>
      <vt:variant>
        <vt:i4>1441855</vt:i4>
      </vt:variant>
      <vt:variant>
        <vt:i4>29</vt:i4>
      </vt:variant>
      <vt:variant>
        <vt:i4>0</vt:i4>
      </vt:variant>
      <vt:variant>
        <vt:i4>5</vt:i4>
      </vt:variant>
      <vt:variant>
        <vt:lpwstr/>
      </vt:variant>
      <vt:variant>
        <vt:lpwstr>_Toc331783561</vt:lpwstr>
      </vt:variant>
      <vt:variant>
        <vt:i4>1441855</vt:i4>
      </vt:variant>
      <vt:variant>
        <vt:i4>23</vt:i4>
      </vt:variant>
      <vt:variant>
        <vt:i4>0</vt:i4>
      </vt:variant>
      <vt:variant>
        <vt:i4>5</vt:i4>
      </vt:variant>
      <vt:variant>
        <vt:lpwstr/>
      </vt:variant>
      <vt:variant>
        <vt:lpwstr>_Toc331783560</vt:lpwstr>
      </vt:variant>
      <vt:variant>
        <vt:i4>1376319</vt:i4>
      </vt:variant>
      <vt:variant>
        <vt:i4>17</vt:i4>
      </vt:variant>
      <vt:variant>
        <vt:i4>0</vt:i4>
      </vt:variant>
      <vt:variant>
        <vt:i4>5</vt:i4>
      </vt:variant>
      <vt:variant>
        <vt:lpwstr/>
      </vt:variant>
      <vt:variant>
        <vt:lpwstr>_Toc331783559</vt:lpwstr>
      </vt:variant>
      <vt:variant>
        <vt:i4>1376319</vt:i4>
      </vt:variant>
      <vt:variant>
        <vt:i4>11</vt:i4>
      </vt:variant>
      <vt:variant>
        <vt:i4>0</vt:i4>
      </vt:variant>
      <vt:variant>
        <vt:i4>5</vt:i4>
      </vt:variant>
      <vt:variant>
        <vt:lpwstr/>
      </vt:variant>
      <vt:variant>
        <vt:lpwstr>_Toc331783558</vt:lpwstr>
      </vt:variant>
      <vt:variant>
        <vt:i4>196619</vt:i4>
      </vt:variant>
      <vt:variant>
        <vt:i4>6</vt:i4>
      </vt:variant>
      <vt:variant>
        <vt:i4>0</vt:i4>
      </vt:variant>
      <vt:variant>
        <vt:i4>5</vt:i4>
      </vt:variant>
      <vt:variant>
        <vt:lpwstr>http://www.acp-eu-waterpartnerships.org/</vt:lpwstr>
      </vt:variant>
      <vt:variant>
        <vt:lpwstr/>
      </vt:variant>
      <vt:variant>
        <vt:i4>6422538</vt:i4>
      </vt:variant>
      <vt:variant>
        <vt:i4>3</vt:i4>
      </vt:variant>
      <vt:variant>
        <vt:i4>0</vt:i4>
      </vt:variant>
      <vt:variant>
        <vt:i4>5</vt:i4>
      </vt:variant>
      <vt:variant>
        <vt:lpwstr>mailto:d.j.hall@gre.ac.uk</vt:lpwstr>
      </vt:variant>
      <vt:variant>
        <vt:lpwstr/>
      </vt:variant>
      <vt:variant>
        <vt:i4>7143502</vt:i4>
      </vt:variant>
      <vt:variant>
        <vt:i4>0</vt:i4>
      </vt:variant>
      <vt:variant>
        <vt:i4>0</vt:i4>
      </vt:variant>
      <vt:variant>
        <vt:i4>5</vt:i4>
      </vt:variant>
      <vt:variant>
        <vt:lpwstr>mailto:e.lobina@gre.ac.uk</vt:lpwstr>
      </vt:variant>
      <vt:variant>
        <vt:lpwstr/>
      </vt:variant>
      <vt:variant>
        <vt:i4>6946902</vt:i4>
      </vt:variant>
      <vt:variant>
        <vt:i4>15</vt:i4>
      </vt:variant>
      <vt:variant>
        <vt:i4>0</vt:i4>
      </vt:variant>
      <vt:variant>
        <vt:i4>5</vt:i4>
      </vt:variant>
      <vt:variant>
        <vt:lpwstr>mailto:psiru@psiru.org</vt:lpwstr>
      </vt:variant>
      <vt:variant>
        <vt:lpwstr/>
      </vt:variant>
      <vt:variant>
        <vt:i4>5177357</vt:i4>
      </vt:variant>
      <vt:variant>
        <vt:i4>12</vt:i4>
      </vt:variant>
      <vt:variant>
        <vt:i4>0</vt:i4>
      </vt:variant>
      <vt:variant>
        <vt:i4>5</vt:i4>
      </vt:variant>
      <vt:variant>
        <vt:lpwstr>http://www.psiru.org/</vt:lpwstr>
      </vt:variant>
      <vt:variant>
        <vt:lpwstr/>
      </vt:variant>
      <vt:variant>
        <vt:i4>8192100</vt:i4>
      </vt:variant>
      <vt:variant>
        <vt:i4>9</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2490419</vt:i4>
      </vt:variant>
      <vt:variant>
        <vt:i4>42</vt:i4>
      </vt:variant>
      <vt:variant>
        <vt:i4>0</vt:i4>
      </vt:variant>
      <vt:variant>
        <vt:i4>5</vt:i4>
      </vt:variant>
      <vt:variant>
        <vt:lpwstr>http://www.worldwaterforum6.org/en/news/single/article/the-ministerial-declaration-of-the-6th-world-water-forum</vt:lpwstr>
      </vt:variant>
      <vt:variant>
        <vt:lpwstr/>
      </vt:variant>
      <vt:variant>
        <vt:i4>4784145</vt:i4>
      </vt:variant>
      <vt:variant>
        <vt:i4>39</vt:i4>
      </vt:variant>
      <vt:variant>
        <vt:i4>0</vt:i4>
      </vt:variant>
      <vt:variant>
        <vt:i4>5</vt:i4>
      </vt:variant>
      <vt:variant>
        <vt:lpwstr>http://gwopa.org/what-gwopa-does/supporting-wop-platforms/101-activities/what-gwopa-does/supporting-wop-platforms?layout=blog</vt:lpwstr>
      </vt:variant>
      <vt:variant>
        <vt:lpwstr/>
      </vt:variant>
      <vt:variant>
        <vt:i4>196629</vt:i4>
      </vt:variant>
      <vt:variant>
        <vt:i4>36</vt:i4>
      </vt:variant>
      <vt:variant>
        <vt:i4>0</vt:i4>
      </vt:variant>
      <vt:variant>
        <vt:i4>5</vt:i4>
      </vt:variant>
      <vt:variant>
        <vt:lpwstr>http://gwopa.org/what-gwopa-does/supporting-wop-platforms/arab-countries</vt:lpwstr>
      </vt:variant>
      <vt:variant>
        <vt:lpwstr/>
      </vt:variant>
      <vt:variant>
        <vt:i4>5767193</vt:i4>
      </vt:variant>
      <vt:variant>
        <vt:i4>33</vt:i4>
      </vt:variant>
      <vt:variant>
        <vt:i4>0</vt:i4>
      </vt:variant>
      <vt:variant>
        <vt:i4>5</vt:i4>
      </vt:variant>
      <vt:variant>
        <vt:lpwstr>http://www.waterlinks.org/waterlinks-partnerships</vt:lpwstr>
      </vt:variant>
      <vt:variant>
        <vt:lpwstr/>
      </vt:variant>
      <vt:variant>
        <vt:i4>983069</vt:i4>
      </vt:variant>
      <vt:variant>
        <vt:i4>30</vt:i4>
      </vt:variant>
      <vt:variant>
        <vt:i4>0</vt:i4>
      </vt:variant>
      <vt:variant>
        <vt:i4>5</vt:i4>
      </vt:variant>
      <vt:variant>
        <vt:lpwstr>http://www.waterlinks.org/who-we-are</vt:lpwstr>
      </vt:variant>
      <vt:variant>
        <vt:lpwstr/>
      </vt:variant>
      <vt:variant>
        <vt:i4>131095</vt:i4>
      </vt:variant>
      <vt:variant>
        <vt:i4>27</vt:i4>
      </vt:variant>
      <vt:variant>
        <vt:i4>0</vt:i4>
      </vt:variant>
      <vt:variant>
        <vt:i4>5</vt:i4>
      </vt:variant>
      <vt:variant>
        <vt:lpwstr>http://www.waterlinks.org/what-we-do</vt:lpwstr>
      </vt:variant>
      <vt:variant>
        <vt:lpwstr/>
      </vt:variant>
      <vt:variant>
        <vt:i4>131095</vt:i4>
      </vt:variant>
      <vt:variant>
        <vt:i4>24</vt:i4>
      </vt:variant>
      <vt:variant>
        <vt:i4>0</vt:i4>
      </vt:variant>
      <vt:variant>
        <vt:i4>5</vt:i4>
      </vt:variant>
      <vt:variant>
        <vt:lpwstr>http://www.waterlinks.org/what-we-do</vt:lpwstr>
      </vt:variant>
      <vt:variant>
        <vt:lpwstr/>
      </vt:variant>
      <vt:variant>
        <vt:i4>983069</vt:i4>
      </vt:variant>
      <vt:variant>
        <vt:i4>21</vt:i4>
      </vt:variant>
      <vt:variant>
        <vt:i4>0</vt:i4>
      </vt:variant>
      <vt:variant>
        <vt:i4>5</vt:i4>
      </vt:variant>
      <vt:variant>
        <vt:lpwstr>http://www.waterlinks.org/who-we-are</vt:lpwstr>
      </vt:variant>
      <vt:variant>
        <vt:lpwstr/>
      </vt:variant>
      <vt:variant>
        <vt:i4>7471145</vt:i4>
      </vt:variant>
      <vt:variant>
        <vt:i4>18</vt:i4>
      </vt:variant>
      <vt:variant>
        <vt:i4>0</vt:i4>
      </vt:variant>
      <vt:variant>
        <vt:i4>5</vt:i4>
      </vt:variant>
      <vt:variant>
        <vt:lpwstr>http://www.iwawaterwiki.org/xwiki/bin/view/Articles/+Worldwide</vt:lpwstr>
      </vt:variant>
      <vt:variant>
        <vt:lpwstr/>
      </vt:variant>
      <vt:variant>
        <vt:i4>7471145</vt:i4>
      </vt:variant>
      <vt:variant>
        <vt:i4>15</vt:i4>
      </vt:variant>
      <vt:variant>
        <vt:i4>0</vt:i4>
      </vt:variant>
      <vt:variant>
        <vt:i4>5</vt:i4>
      </vt:variant>
      <vt:variant>
        <vt:lpwstr>http://www.iwawaterwiki.org/xwiki/bin/view/Articles/+Worldwide</vt:lpwstr>
      </vt:variant>
      <vt:variant>
        <vt:lpwstr/>
      </vt:variant>
      <vt:variant>
        <vt:i4>4849675</vt:i4>
      </vt:variant>
      <vt:variant>
        <vt:i4>12</vt:i4>
      </vt:variant>
      <vt:variant>
        <vt:i4>0</vt:i4>
      </vt:variant>
      <vt:variant>
        <vt:i4>5</vt:i4>
      </vt:variant>
      <vt:variant>
        <vt:lpwstr>http://www.gwopa.org/</vt:lpwstr>
      </vt:variant>
      <vt:variant>
        <vt:lpwstr/>
      </vt:variant>
      <vt:variant>
        <vt:i4>196619</vt:i4>
      </vt:variant>
      <vt:variant>
        <vt:i4>9</vt:i4>
      </vt:variant>
      <vt:variant>
        <vt:i4>0</vt:i4>
      </vt:variant>
      <vt:variant>
        <vt:i4>5</vt:i4>
      </vt:variant>
      <vt:variant>
        <vt:lpwstr>http://www.acp-eu-waterpartnerships.org/</vt:lpwstr>
      </vt:variant>
      <vt:variant>
        <vt:lpwstr/>
      </vt:variant>
      <vt:variant>
        <vt:i4>5308507</vt:i4>
      </vt:variant>
      <vt:variant>
        <vt:i4>6</vt:i4>
      </vt:variant>
      <vt:variant>
        <vt:i4>0</vt:i4>
      </vt:variant>
      <vt:variant>
        <vt:i4>5</vt:i4>
      </vt:variant>
      <vt:variant>
        <vt:lpwstr>http://www.irc.nl/page/31026</vt:lpwstr>
      </vt:variant>
      <vt:variant>
        <vt:lpwstr/>
      </vt:variant>
      <vt:variant>
        <vt:i4>6815785</vt:i4>
      </vt:variant>
      <vt:variant>
        <vt:i4>3</vt:i4>
      </vt:variant>
      <vt:variant>
        <vt:i4>0</vt:i4>
      </vt:variant>
      <vt:variant>
        <vt:i4>5</vt:i4>
      </vt:variant>
      <vt:variant>
        <vt:lpwstr>http://gala.gre.ac.uk/5231/</vt:lpwstr>
      </vt:variant>
      <vt:variant>
        <vt:lpwstr/>
      </vt:variant>
      <vt:variant>
        <vt:i4>6815785</vt:i4>
      </vt:variant>
      <vt:variant>
        <vt:i4>0</vt:i4>
      </vt:variant>
      <vt:variant>
        <vt:i4>0</vt:i4>
      </vt:variant>
      <vt:variant>
        <vt:i4>5</vt:i4>
      </vt:variant>
      <vt:variant>
        <vt:lpwstr>http://gala.gre.ac.uk/5231/</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and final draft</dc:title>
  <dc:creator>Emanuele Lobina</dc:creator>
  <cp:lastModifiedBy>David Hall</cp:lastModifiedBy>
  <cp:revision>2</cp:revision>
  <cp:lastPrinted>2012-06-21T20:46:00Z</cp:lastPrinted>
  <dcterms:created xsi:type="dcterms:W3CDTF">2012-09-26T16:37:00Z</dcterms:created>
  <dcterms:modified xsi:type="dcterms:W3CDTF">2012-09-26T16:37:00Z</dcterms:modified>
</cp:coreProperties>
</file>