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CB8" w:rsidRPr="00216A71" w:rsidRDefault="00666CB8" w:rsidP="00C61C11">
      <w:pPr>
        <w:rPr>
          <w:rFonts w:cstheme="minorHAnsi"/>
        </w:rPr>
      </w:pPr>
    </w:p>
    <w:p w:rsidR="00666CB8" w:rsidRPr="00216A71" w:rsidRDefault="00666CB8" w:rsidP="00EC4A5D">
      <w:pPr>
        <w:pStyle w:val="Subtitle"/>
        <w:rPr>
          <w:rFonts w:asciiTheme="minorHAnsi" w:hAnsiTheme="minorHAnsi" w:cstheme="minorHAnsi"/>
          <w:sz w:val="36"/>
          <w:szCs w:val="36"/>
        </w:rPr>
      </w:pPr>
      <w:r w:rsidRPr="00216A71">
        <w:rPr>
          <w:rFonts w:asciiTheme="minorHAnsi" w:hAnsiTheme="minorHAnsi" w:cstheme="minorHAnsi"/>
          <w:sz w:val="36"/>
          <w:szCs w:val="36"/>
        </w:rPr>
        <w:t>PPPs</w:t>
      </w:r>
    </w:p>
    <w:p w:rsidR="00666CB8" w:rsidRPr="00216A71" w:rsidRDefault="00666CB8" w:rsidP="00EC4A5D">
      <w:pPr>
        <w:jc w:val="center"/>
        <w:rPr>
          <w:rFonts w:cstheme="minorHAnsi"/>
        </w:rPr>
      </w:pPr>
      <w:r w:rsidRPr="00216A71">
        <w:rPr>
          <w:rFonts w:cstheme="minorHAnsi"/>
        </w:rPr>
        <w:t>By David Hall</w:t>
      </w:r>
    </w:p>
    <w:p w:rsidR="00666CB8" w:rsidRPr="00216A71" w:rsidRDefault="00A723E5" w:rsidP="00EC4A5D">
      <w:pPr>
        <w:jc w:val="center"/>
        <w:rPr>
          <w:rFonts w:cstheme="minorHAnsi"/>
        </w:rPr>
      </w:pPr>
      <w:hyperlink r:id="rId9" w:history="1">
        <w:r w:rsidR="00666CB8" w:rsidRPr="00216A71">
          <w:rPr>
            <w:rStyle w:val="Hyperlink"/>
            <w:rFonts w:cstheme="minorHAnsi"/>
          </w:rPr>
          <w:t>d.j.hall@gre.ac.uk</w:t>
        </w:r>
      </w:hyperlink>
    </w:p>
    <w:p w:rsidR="000C629A" w:rsidRDefault="00666CB8" w:rsidP="00EC4A5D">
      <w:pPr>
        <w:jc w:val="center"/>
        <w:rPr>
          <w:rFonts w:cstheme="minorHAnsi"/>
        </w:rPr>
      </w:pPr>
      <w:r w:rsidRPr="00216A71">
        <w:rPr>
          <w:rFonts w:cstheme="minorHAnsi"/>
        </w:rPr>
        <w:t>January 2014</w:t>
      </w:r>
    </w:p>
    <w:bookmarkStart w:id="0" w:name="_GoBack"/>
    <w:bookmarkEnd w:id="0"/>
    <w:p w:rsidR="00FD5530" w:rsidRDefault="006A6550">
      <w:pPr>
        <w:pStyle w:val="TOC1"/>
        <w:tabs>
          <w:tab w:val="left" w:pos="440"/>
          <w:tab w:val="right" w:leader="dot" w:pos="9628"/>
        </w:tabs>
        <w:rPr>
          <w:rFonts w:eastAsiaTheme="minorEastAsia"/>
          <w:b w:val="0"/>
          <w:bCs w:val="0"/>
          <w:caps w:val="0"/>
          <w:noProof/>
          <w:szCs w:val="22"/>
          <w:lang w:eastAsia="en-GB"/>
        </w:rPr>
      </w:pPr>
      <w:r w:rsidRPr="00216A71">
        <w:rPr>
          <w:rFonts w:cstheme="minorHAnsi"/>
        </w:rPr>
        <w:fldChar w:fldCharType="begin"/>
      </w:r>
      <w:r w:rsidRPr="00216A71">
        <w:rPr>
          <w:rFonts w:cstheme="minorHAnsi"/>
        </w:rPr>
        <w:instrText xml:space="preserve"> TOC \h \z \t "Heading 1,1,Heading 2,2" </w:instrText>
      </w:r>
      <w:r w:rsidRPr="00216A71">
        <w:rPr>
          <w:rFonts w:cstheme="minorHAnsi"/>
        </w:rPr>
        <w:fldChar w:fldCharType="separate"/>
      </w:r>
      <w:hyperlink w:anchor="_Toc392857517" w:history="1">
        <w:r w:rsidR="00FD5530" w:rsidRPr="005A628C">
          <w:rPr>
            <w:rStyle w:val="Hyperlink"/>
            <w:noProof/>
          </w:rPr>
          <w:t>0.</w:t>
        </w:r>
        <w:r w:rsidR="00FD5530">
          <w:rPr>
            <w:rFonts w:eastAsiaTheme="minorEastAsia"/>
            <w:b w:val="0"/>
            <w:bCs w:val="0"/>
            <w:caps w:val="0"/>
            <w:noProof/>
            <w:szCs w:val="22"/>
            <w:lang w:eastAsia="en-GB"/>
          </w:rPr>
          <w:tab/>
        </w:r>
        <w:r w:rsidR="00FD5530" w:rsidRPr="005A628C">
          <w:rPr>
            <w:rStyle w:val="Hyperlink"/>
            <w:noProof/>
          </w:rPr>
          <w:t>Summary</w:t>
        </w:r>
        <w:r w:rsidR="00FD5530">
          <w:rPr>
            <w:noProof/>
            <w:webHidden/>
          </w:rPr>
          <w:tab/>
        </w:r>
        <w:r w:rsidR="00FD5530">
          <w:rPr>
            <w:noProof/>
            <w:webHidden/>
          </w:rPr>
          <w:fldChar w:fldCharType="begin"/>
        </w:r>
        <w:r w:rsidR="00FD5530">
          <w:rPr>
            <w:noProof/>
            <w:webHidden/>
          </w:rPr>
          <w:instrText xml:space="preserve"> PAGEREF _Toc392857517 \h </w:instrText>
        </w:r>
        <w:r w:rsidR="00FD5530">
          <w:rPr>
            <w:noProof/>
            <w:webHidden/>
          </w:rPr>
        </w:r>
        <w:r w:rsidR="00FD5530">
          <w:rPr>
            <w:noProof/>
            <w:webHidden/>
          </w:rPr>
          <w:fldChar w:fldCharType="separate"/>
        </w:r>
        <w:r w:rsidR="00FD5530">
          <w:rPr>
            <w:noProof/>
            <w:webHidden/>
          </w:rPr>
          <w:t>3</w:t>
        </w:r>
        <w:r w:rsidR="00FD5530">
          <w:rPr>
            <w:noProof/>
            <w:webHidden/>
          </w:rPr>
          <w:fldChar w:fldCharType="end"/>
        </w:r>
      </w:hyperlink>
    </w:p>
    <w:p w:rsidR="00FD5530" w:rsidRDefault="00FD5530">
      <w:pPr>
        <w:pStyle w:val="TOC1"/>
        <w:tabs>
          <w:tab w:val="left" w:pos="440"/>
          <w:tab w:val="right" w:leader="dot" w:pos="9628"/>
        </w:tabs>
        <w:rPr>
          <w:rFonts w:eastAsiaTheme="minorEastAsia"/>
          <w:b w:val="0"/>
          <w:bCs w:val="0"/>
          <w:caps w:val="0"/>
          <w:noProof/>
          <w:szCs w:val="22"/>
          <w:lang w:eastAsia="en-GB"/>
        </w:rPr>
      </w:pPr>
      <w:hyperlink w:anchor="_Toc392857518" w:history="1">
        <w:r w:rsidRPr="005A628C">
          <w:rPr>
            <w:rStyle w:val="Hyperlink"/>
            <w:noProof/>
          </w:rPr>
          <w:t>1.</w:t>
        </w:r>
        <w:r>
          <w:rPr>
            <w:rFonts w:eastAsiaTheme="minorEastAsia"/>
            <w:b w:val="0"/>
            <w:bCs w:val="0"/>
            <w:caps w:val="0"/>
            <w:noProof/>
            <w:szCs w:val="22"/>
            <w:lang w:eastAsia="en-GB"/>
          </w:rPr>
          <w:tab/>
        </w:r>
        <w:r w:rsidRPr="005A628C">
          <w:rPr>
            <w:rStyle w:val="Hyperlink"/>
            <w:noProof/>
          </w:rPr>
          <w:t>Introduction to PPPs</w:t>
        </w:r>
        <w:r>
          <w:rPr>
            <w:noProof/>
            <w:webHidden/>
          </w:rPr>
          <w:tab/>
        </w:r>
        <w:r>
          <w:rPr>
            <w:noProof/>
            <w:webHidden/>
          </w:rPr>
          <w:fldChar w:fldCharType="begin"/>
        </w:r>
        <w:r>
          <w:rPr>
            <w:noProof/>
            <w:webHidden/>
          </w:rPr>
          <w:instrText xml:space="preserve"> PAGEREF _Toc392857518 \h </w:instrText>
        </w:r>
        <w:r>
          <w:rPr>
            <w:noProof/>
            <w:webHidden/>
          </w:rPr>
        </w:r>
        <w:r>
          <w:rPr>
            <w:noProof/>
            <w:webHidden/>
          </w:rPr>
          <w:fldChar w:fldCharType="separate"/>
        </w:r>
        <w:r>
          <w:rPr>
            <w:noProof/>
            <w:webHidden/>
          </w:rPr>
          <w:t>3</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19" w:history="1">
        <w:r w:rsidRPr="005A628C">
          <w:rPr>
            <w:rStyle w:val="Hyperlink"/>
            <w:rFonts w:cstheme="minorHAnsi"/>
            <w:noProof/>
          </w:rPr>
          <w:t>1.1.</w:t>
        </w:r>
        <w:r>
          <w:rPr>
            <w:rFonts w:eastAsiaTheme="minorEastAsia"/>
            <w:smallCaps w:val="0"/>
            <w:noProof/>
            <w:szCs w:val="22"/>
            <w:lang w:eastAsia="en-GB"/>
          </w:rPr>
          <w:tab/>
        </w:r>
        <w:r w:rsidRPr="005A628C">
          <w:rPr>
            <w:rStyle w:val="Hyperlink"/>
            <w:rFonts w:cstheme="minorHAnsi"/>
            <w:noProof/>
          </w:rPr>
          <w:t>The invention of PPPs: bending fiscal rules for private profit</w:t>
        </w:r>
        <w:r>
          <w:rPr>
            <w:noProof/>
            <w:webHidden/>
          </w:rPr>
          <w:tab/>
        </w:r>
        <w:r>
          <w:rPr>
            <w:noProof/>
            <w:webHidden/>
          </w:rPr>
          <w:fldChar w:fldCharType="begin"/>
        </w:r>
        <w:r>
          <w:rPr>
            <w:noProof/>
            <w:webHidden/>
          </w:rPr>
          <w:instrText xml:space="preserve"> PAGEREF _Toc392857519 \h </w:instrText>
        </w:r>
        <w:r>
          <w:rPr>
            <w:noProof/>
            <w:webHidden/>
          </w:rPr>
        </w:r>
        <w:r>
          <w:rPr>
            <w:noProof/>
            <w:webHidden/>
          </w:rPr>
          <w:fldChar w:fldCharType="separate"/>
        </w:r>
        <w:r>
          <w:rPr>
            <w:noProof/>
            <w:webHidden/>
          </w:rPr>
          <w:t>3</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20" w:history="1">
        <w:r w:rsidRPr="005A628C">
          <w:rPr>
            <w:rStyle w:val="Hyperlink"/>
            <w:rFonts w:cstheme="minorHAnsi"/>
            <w:noProof/>
          </w:rPr>
          <w:t>1.2.</w:t>
        </w:r>
        <w:r>
          <w:rPr>
            <w:rFonts w:eastAsiaTheme="minorEastAsia"/>
            <w:smallCaps w:val="0"/>
            <w:noProof/>
            <w:szCs w:val="22"/>
            <w:lang w:eastAsia="en-GB"/>
          </w:rPr>
          <w:tab/>
        </w:r>
        <w:r w:rsidRPr="005A628C">
          <w:rPr>
            <w:rStyle w:val="Hyperlink"/>
            <w:rFonts w:cstheme="minorHAnsi"/>
            <w:noProof/>
          </w:rPr>
          <w:t>Rise and fall: caught out by the crisis</w:t>
        </w:r>
        <w:r>
          <w:rPr>
            <w:noProof/>
            <w:webHidden/>
          </w:rPr>
          <w:tab/>
        </w:r>
        <w:r>
          <w:rPr>
            <w:noProof/>
            <w:webHidden/>
          </w:rPr>
          <w:fldChar w:fldCharType="begin"/>
        </w:r>
        <w:r>
          <w:rPr>
            <w:noProof/>
            <w:webHidden/>
          </w:rPr>
          <w:instrText xml:space="preserve"> PAGEREF _Toc392857520 \h </w:instrText>
        </w:r>
        <w:r>
          <w:rPr>
            <w:noProof/>
            <w:webHidden/>
          </w:rPr>
        </w:r>
        <w:r>
          <w:rPr>
            <w:noProof/>
            <w:webHidden/>
          </w:rPr>
          <w:fldChar w:fldCharType="separate"/>
        </w:r>
        <w:r>
          <w:rPr>
            <w:noProof/>
            <w:webHidden/>
          </w:rPr>
          <w:t>5</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21" w:history="1">
        <w:r w:rsidRPr="005A628C">
          <w:rPr>
            <w:rStyle w:val="Hyperlink"/>
            <w:rFonts w:cstheme="minorHAnsi"/>
            <w:noProof/>
          </w:rPr>
          <w:t>1.3.</w:t>
        </w:r>
        <w:r>
          <w:rPr>
            <w:rFonts w:eastAsiaTheme="minorEastAsia"/>
            <w:smallCaps w:val="0"/>
            <w:noProof/>
            <w:szCs w:val="22"/>
            <w:lang w:eastAsia="en-GB"/>
          </w:rPr>
          <w:tab/>
        </w:r>
        <w:r w:rsidRPr="005A628C">
          <w:rPr>
            <w:rStyle w:val="Hyperlink"/>
            <w:rFonts w:cstheme="minorHAnsi"/>
            <w:noProof/>
          </w:rPr>
          <w:t>PPPs in perspective: a very small contribution</w:t>
        </w:r>
        <w:r>
          <w:rPr>
            <w:noProof/>
            <w:webHidden/>
          </w:rPr>
          <w:tab/>
        </w:r>
        <w:r>
          <w:rPr>
            <w:noProof/>
            <w:webHidden/>
          </w:rPr>
          <w:fldChar w:fldCharType="begin"/>
        </w:r>
        <w:r>
          <w:rPr>
            <w:noProof/>
            <w:webHidden/>
          </w:rPr>
          <w:instrText xml:space="preserve"> PAGEREF _Toc392857521 \h </w:instrText>
        </w:r>
        <w:r>
          <w:rPr>
            <w:noProof/>
            <w:webHidden/>
          </w:rPr>
        </w:r>
        <w:r>
          <w:rPr>
            <w:noProof/>
            <w:webHidden/>
          </w:rPr>
          <w:fldChar w:fldCharType="separate"/>
        </w:r>
        <w:r>
          <w:rPr>
            <w:noProof/>
            <w:webHidden/>
          </w:rPr>
          <w:t>7</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22" w:history="1">
        <w:r w:rsidRPr="005A628C">
          <w:rPr>
            <w:rStyle w:val="Hyperlink"/>
            <w:rFonts w:cstheme="minorHAnsi"/>
            <w:noProof/>
          </w:rPr>
          <w:t>1.4.</w:t>
        </w:r>
        <w:r>
          <w:rPr>
            <w:rFonts w:eastAsiaTheme="minorEastAsia"/>
            <w:smallCaps w:val="0"/>
            <w:noProof/>
            <w:szCs w:val="22"/>
            <w:lang w:eastAsia="en-GB"/>
          </w:rPr>
          <w:tab/>
        </w:r>
        <w:r w:rsidRPr="005A628C">
          <w:rPr>
            <w:rStyle w:val="Hyperlink"/>
            <w:rFonts w:cstheme="minorHAnsi"/>
            <w:noProof/>
          </w:rPr>
          <w:t>PPPs – a desperate campaign?</w:t>
        </w:r>
        <w:r>
          <w:rPr>
            <w:noProof/>
            <w:webHidden/>
          </w:rPr>
          <w:tab/>
        </w:r>
        <w:r>
          <w:rPr>
            <w:noProof/>
            <w:webHidden/>
          </w:rPr>
          <w:fldChar w:fldCharType="begin"/>
        </w:r>
        <w:r>
          <w:rPr>
            <w:noProof/>
            <w:webHidden/>
          </w:rPr>
          <w:instrText xml:space="preserve"> PAGEREF _Toc392857522 \h </w:instrText>
        </w:r>
        <w:r>
          <w:rPr>
            <w:noProof/>
            <w:webHidden/>
          </w:rPr>
        </w:r>
        <w:r>
          <w:rPr>
            <w:noProof/>
            <w:webHidden/>
          </w:rPr>
          <w:fldChar w:fldCharType="separate"/>
        </w:r>
        <w:r>
          <w:rPr>
            <w:noProof/>
            <w:webHidden/>
          </w:rPr>
          <w:t>10</w:t>
        </w:r>
        <w:r>
          <w:rPr>
            <w:noProof/>
            <w:webHidden/>
          </w:rPr>
          <w:fldChar w:fldCharType="end"/>
        </w:r>
      </w:hyperlink>
    </w:p>
    <w:p w:rsidR="00FD5530" w:rsidRDefault="00FD5530">
      <w:pPr>
        <w:pStyle w:val="TOC1"/>
        <w:tabs>
          <w:tab w:val="left" w:pos="440"/>
          <w:tab w:val="right" w:leader="dot" w:pos="9628"/>
        </w:tabs>
        <w:rPr>
          <w:rFonts w:eastAsiaTheme="minorEastAsia"/>
          <w:b w:val="0"/>
          <w:bCs w:val="0"/>
          <w:caps w:val="0"/>
          <w:noProof/>
          <w:szCs w:val="22"/>
          <w:lang w:eastAsia="en-GB"/>
        </w:rPr>
      </w:pPr>
      <w:hyperlink w:anchor="_Toc392857523" w:history="1">
        <w:r w:rsidRPr="005A628C">
          <w:rPr>
            <w:rStyle w:val="Hyperlink"/>
            <w:noProof/>
          </w:rPr>
          <w:t>2.</w:t>
        </w:r>
        <w:r>
          <w:rPr>
            <w:rFonts w:eastAsiaTheme="minorEastAsia"/>
            <w:b w:val="0"/>
            <w:bCs w:val="0"/>
            <w:caps w:val="0"/>
            <w:noProof/>
            <w:szCs w:val="22"/>
            <w:lang w:eastAsia="en-GB"/>
          </w:rPr>
          <w:tab/>
        </w:r>
        <w:r w:rsidRPr="005A628C">
          <w:rPr>
            <w:rStyle w:val="Hyperlink"/>
            <w:noProof/>
          </w:rPr>
          <w:t>The public promotion of PPPs</w:t>
        </w:r>
        <w:r>
          <w:rPr>
            <w:noProof/>
            <w:webHidden/>
          </w:rPr>
          <w:tab/>
        </w:r>
        <w:r>
          <w:rPr>
            <w:noProof/>
            <w:webHidden/>
          </w:rPr>
          <w:fldChar w:fldCharType="begin"/>
        </w:r>
        <w:r>
          <w:rPr>
            <w:noProof/>
            <w:webHidden/>
          </w:rPr>
          <w:instrText xml:space="preserve"> PAGEREF _Toc392857523 \h </w:instrText>
        </w:r>
        <w:r>
          <w:rPr>
            <w:noProof/>
            <w:webHidden/>
          </w:rPr>
        </w:r>
        <w:r>
          <w:rPr>
            <w:noProof/>
            <w:webHidden/>
          </w:rPr>
          <w:fldChar w:fldCharType="separate"/>
        </w:r>
        <w:r>
          <w:rPr>
            <w:noProof/>
            <w:webHidden/>
          </w:rPr>
          <w:t>11</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24" w:history="1">
        <w:r w:rsidRPr="005A628C">
          <w:rPr>
            <w:rStyle w:val="Hyperlink"/>
            <w:noProof/>
          </w:rPr>
          <w:t>2.1.</w:t>
        </w:r>
        <w:r>
          <w:rPr>
            <w:rFonts w:eastAsiaTheme="minorEastAsia"/>
            <w:smallCaps w:val="0"/>
            <w:noProof/>
            <w:szCs w:val="22"/>
            <w:lang w:eastAsia="en-GB"/>
          </w:rPr>
          <w:tab/>
        </w:r>
        <w:r w:rsidRPr="005A628C">
          <w:rPr>
            <w:rStyle w:val="Hyperlink"/>
            <w:noProof/>
          </w:rPr>
          <w:t>Propaganda and subsidies: the global marketing network</w:t>
        </w:r>
        <w:r>
          <w:rPr>
            <w:noProof/>
            <w:webHidden/>
          </w:rPr>
          <w:tab/>
        </w:r>
        <w:r>
          <w:rPr>
            <w:noProof/>
            <w:webHidden/>
          </w:rPr>
          <w:fldChar w:fldCharType="begin"/>
        </w:r>
        <w:r>
          <w:rPr>
            <w:noProof/>
            <w:webHidden/>
          </w:rPr>
          <w:instrText xml:space="preserve"> PAGEREF _Toc392857524 \h </w:instrText>
        </w:r>
        <w:r>
          <w:rPr>
            <w:noProof/>
            <w:webHidden/>
          </w:rPr>
        </w:r>
        <w:r>
          <w:rPr>
            <w:noProof/>
            <w:webHidden/>
          </w:rPr>
          <w:fldChar w:fldCharType="separate"/>
        </w:r>
        <w:r>
          <w:rPr>
            <w:noProof/>
            <w:webHidden/>
          </w:rPr>
          <w:t>11</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25" w:history="1">
        <w:r w:rsidRPr="005A628C">
          <w:rPr>
            <w:rStyle w:val="Hyperlink"/>
            <w:rFonts w:cstheme="minorHAnsi"/>
            <w:noProof/>
          </w:rPr>
          <w:t>2.2.</w:t>
        </w:r>
        <w:r>
          <w:rPr>
            <w:rFonts w:eastAsiaTheme="minorEastAsia"/>
            <w:smallCaps w:val="0"/>
            <w:noProof/>
            <w:szCs w:val="22"/>
            <w:lang w:eastAsia="en-GB"/>
          </w:rPr>
          <w:tab/>
        </w:r>
        <w:r w:rsidRPr="005A628C">
          <w:rPr>
            <w:rStyle w:val="Hyperlink"/>
            <w:rFonts w:cstheme="minorHAnsi"/>
            <w:noProof/>
          </w:rPr>
          <w:t>IFIs</w:t>
        </w:r>
        <w:r>
          <w:rPr>
            <w:noProof/>
            <w:webHidden/>
          </w:rPr>
          <w:tab/>
        </w:r>
        <w:r>
          <w:rPr>
            <w:noProof/>
            <w:webHidden/>
          </w:rPr>
          <w:fldChar w:fldCharType="begin"/>
        </w:r>
        <w:r>
          <w:rPr>
            <w:noProof/>
            <w:webHidden/>
          </w:rPr>
          <w:instrText xml:space="preserve"> PAGEREF _Toc392857525 \h </w:instrText>
        </w:r>
        <w:r>
          <w:rPr>
            <w:noProof/>
            <w:webHidden/>
          </w:rPr>
        </w:r>
        <w:r>
          <w:rPr>
            <w:noProof/>
            <w:webHidden/>
          </w:rPr>
          <w:fldChar w:fldCharType="separate"/>
        </w:r>
        <w:r>
          <w:rPr>
            <w:noProof/>
            <w:webHidden/>
          </w:rPr>
          <w:t>12</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26" w:history="1">
        <w:r w:rsidRPr="005A628C">
          <w:rPr>
            <w:rStyle w:val="Hyperlink"/>
            <w:rFonts w:cstheme="minorHAnsi"/>
            <w:noProof/>
          </w:rPr>
          <w:t>2.3.</w:t>
        </w:r>
        <w:r>
          <w:rPr>
            <w:rFonts w:eastAsiaTheme="minorEastAsia"/>
            <w:smallCaps w:val="0"/>
            <w:noProof/>
            <w:szCs w:val="22"/>
            <w:lang w:eastAsia="en-GB"/>
          </w:rPr>
          <w:tab/>
        </w:r>
        <w:r w:rsidRPr="005A628C">
          <w:rPr>
            <w:rStyle w:val="Hyperlink"/>
            <w:rFonts w:cstheme="minorHAnsi"/>
            <w:noProof/>
          </w:rPr>
          <w:t>Other global bodies: WEF, G20, OECD, UN bodies</w:t>
        </w:r>
        <w:r>
          <w:rPr>
            <w:noProof/>
            <w:webHidden/>
          </w:rPr>
          <w:tab/>
        </w:r>
        <w:r>
          <w:rPr>
            <w:noProof/>
            <w:webHidden/>
          </w:rPr>
          <w:fldChar w:fldCharType="begin"/>
        </w:r>
        <w:r>
          <w:rPr>
            <w:noProof/>
            <w:webHidden/>
          </w:rPr>
          <w:instrText xml:space="preserve"> PAGEREF _Toc392857526 \h </w:instrText>
        </w:r>
        <w:r>
          <w:rPr>
            <w:noProof/>
            <w:webHidden/>
          </w:rPr>
        </w:r>
        <w:r>
          <w:rPr>
            <w:noProof/>
            <w:webHidden/>
          </w:rPr>
          <w:fldChar w:fldCharType="separate"/>
        </w:r>
        <w:r>
          <w:rPr>
            <w:noProof/>
            <w:webHidden/>
          </w:rPr>
          <w:t>19</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27" w:history="1">
        <w:r w:rsidRPr="005A628C">
          <w:rPr>
            <w:rStyle w:val="Hyperlink"/>
            <w:rFonts w:cstheme="minorHAnsi"/>
            <w:noProof/>
          </w:rPr>
          <w:t>2.4.</w:t>
        </w:r>
        <w:r>
          <w:rPr>
            <w:rFonts w:eastAsiaTheme="minorEastAsia"/>
            <w:smallCaps w:val="0"/>
            <w:noProof/>
            <w:szCs w:val="22"/>
            <w:lang w:eastAsia="en-GB"/>
          </w:rPr>
          <w:tab/>
        </w:r>
        <w:r w:rsidRPr="005A628C">
          <w:rPr>
            <w:rStyle w:val="Hyperlink"/>
            <w:rFonts w:cstheme="minorHAnsi"/>
            <w:noProof/>
          </w:rPr>
          <w:t>EU, Governments and austerity: subsidising/encouraging PPPs</w:t>
        </w:r>
        <w:r>
          <w:rPr>
            <w:noProof/>
            <w:webHidden/>
          </w:rPr>
          <w:tab/>
        </w:r>
        <w:r>
          <w:rPr>
            <w:noProof/>
            <w:webHidden/>
          </w:rPr>
          <w:fldChar w:fldCharType="begin"/>
        </w:r>
        <w:r>
          <w:rPr>
            <w:noProof/>
            <w:webHidden/>
          </w:rPr>
          <w:instrText xml:space="preserve"> PAGEREF _Toc392857527 \h </w:instrText>
        </w:r>
        <w:r>
          <w:rPr>
            <w:noProof/>
            <w:webHidden/>
          </w:rPr>
        </w:r>
        <w:r>
          <w:rPr>
            <w:noProof/>
            <w:webHidden/>
          </w:rPr>
          <w:fldChar w:fldCharType="separate"/>
        </w:r>
        <w:r>
          <w:rPr>
            <w:noProof/>
            <w:webHidden/>
          </w:rPr>
          <w:t>21</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28" w:history="1">
        <w:r w:rsidRPr="005A628C">
          <w:rPr>
            <w:rStyle w:val="Hyperlink"/>
            <w:rFonts w:cstheme="minorHAnsi"/>
            <w:noProof/>
          </w:rPr>
          <w:t>2.5.</w:t>
        </w:r>
        <w:r>
          <w:rPr>
            <w:rFonts w:eastAsiaTheme="minorEastAsia"/>
            <w:smallCaps w:val="0"/>
            <w:noProof/>
            <w:szCs w:val="22"/>
            <w:lang w:eastAsia="en-GB"/>
          </w:rPr>
          <w:tab/>
        </w:r>
        <w:r w:rsidRPr="005A628C">
          <w:rPr>
            <w:rStyle w:val="Hyperlink"/>
            <w:rFonts w:cstheme="minorHAnsi"/>
            <w:noProof/>
          </w:rPr>
          <w:t>Governments and donors</w:t>
        </w:r>
        <w:r>
          <w:rPr>
            <w:noProof/>
            <w:webHidden/>
          </w:rPr>
          <w:tab/>
        </w:r>
        <w:r>
          <w:rPr>
            <w:noProof/>
            <w:webHidden/>
          </w:rPr>
          <w:fldChar w:fldCharType="begin"/>
        </w:r>
        <w:r>
          <w:rPr>
            <w:noProof/>
            <w:webHidden/>
          </w:rPr>
          <w:instrText xml:space="preserve"> PAGEREF _Toc392857528 \h </w:instrText>
        </w:r>
        <w:r>
          <w:rPr>
            <w:noProof/>
            <w:webHidden/>
          </w:rPr>
        </w:r>
        <w:r>
          <w:rPr>
            <w:noProof/>
            <w:webHidden/>
          </w:rPr>
          <w:fldChar w:fldCharType="separate"/>
        </w:r>
        <w:r>
          <w:rPr>
            <w:noProof/>
            <w:webHidden/>
          </w:rPr>
          <w:t>22</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29" w:history="1">
        <w:r w:rsidRPr="005A628C">
          <w:rPr>
            <w:rStyle w:val="Hyperlink"/>
            <w:rFonts w:cstheme="minorHAnsi"/>
            <w:noProof/>
          </w:rPr>
          <w:t>2.6.</w:t>
        </w:r>
        <w:r>
          <w:rPr>
            <w:rFonts w:eastAsiaTheme="minorEastAsia"/>
            <w:smallCaps w:val="0"/>
            <w:noProof/>
            <w:szCs w:val="22"/>
            <w:lang w:eastAsia="en-GB"/>
          </w:rPr>
          <w:tab/>
        </w:r>
        <w:r w:rsidRPr="005A628C">
          <w:rPr>
            <w:rStyle w:val="Hyperlink"/>
            <w:rFonts w:cstheme="minorHAnsi"/>
            <w:noProof/>
          </w:rPr>
          <w:t>Consultants: unreliable and unaccountable</w:t>
        </w:r>
        <w:r>
          <w:rPr>
            <w:noProof/>
            <w:webHidden/>
          </w:rPr>
          <w:tab/>
        </w:r>
        <w:r>
          <w:rPr>
            <w:noProof/>
            <w:webHidden/>
          </w:rPr>
          <w:fldChar w:fldCharType="begin"/>
        </w:r>
        <w:r>
          <w:rPr>
            <w:noProof/>
            <w:webHidden/>
          </w:rPr>
          <w:instrText xml:space="preserve"> PAGEREF _Toc392857529 \h </w:instrText>
        </w:r>
        <w:r>
          <w:rPr>
            <w:noProof/>
            <w:webHidden/>
          </w:rPr>
        </w:r>
        <w:r>
          <w:rPr>
            <w:noProof/>
            <w:webHidden/>
          </w:rPr>
          <w:fldChar w:fldCharType="separate"/>
        </w:r>
        <w:r>
          <w:rPr>
            <w:noProof/>
            <w:webHidden/>
          </w:rPr>
          <w:t>23</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30" w:history="1">
        <w:r w:rsidRPr="005A628C">
          <w:rPr>
            <w:rStyle w:val="Hyperlink"/>
            <w:rFonts w:cstheme="minorHAnsi"/>
            <w:noProof/>
          </w:rPr>
          <w:t>2.7.</w:t>
        </w:r>
        <w:r>
          <w:rPr>
            <w:rFonts w:eastAsiaTheme="minorEastAsia"/>
            <w:smallCaps w:val="0"/>
            <w:noProof/>
            <w:szCs w:val="22"/>
            <w:lang w:eastAsia="en-GB"/>
          </w:rPr>
          <w:tab/>
        </w:r>
        <w:r w:rsidRPr="005A628C">
          <w:rPr>
            <w:rStyle w:val="Hyperlink"/>
            <w:rFonts w:cstheme="minorHAnsi"/>
            <w:noProof/>
          </w:rPr>
          <w:t>Impact of global PPP networks in sectors and regions</w:t>
        </w:r>
        <w:r>
          <w:rPr>
            <w:noProof/>
            <w:webHidden/>
          </w:rPr>
          <w:tab/>
        </w:r>
        <w:r>
          <w:rPr>
            <w:noProof/>
            <w:webHidden/>
          </w:rPr>
          <w:fldChar w:fldCharType="begin"/>
        </w:r>
        <w:r>
          <w:rPr>
            <w:noProof/>
            <w:webHidden/>
          </w:rPr>
          <w:instrText xml:space="preserve"> PAGEREF _Toc392857530 \h </w:instrText>
        </w:r>
        <w:r>
          <w:rPr>
            <w:noProof/>
            <w:webHidden/>
          </w:rPr>
        </w:r>
        <w:r>
          <w:rPr>
            <w:noProof/>
            <w:webHidden/>
          </w:rPr>
          <w:fldChar w:fldCharType="separate"/>
        </w:r>
        <w:r>
          <w:rPr>
            <w:noProof/>
            <w:webHidden/>
          </w:rPr>
          <w:t>26</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31" w:history="1">
        <w:r w:rsidRPr="005A628C">
          <w:rPr>
            <w:rStyle w:val="Hyperlink"/>
            <w:rFonts w:cstheme="minorHAnsi"/>
            <w:noProof/>
          </w:rPr>
          <w:t>2.8.</w:t>
        </w:r>
        <w:r>
          <w:rPr>
            <w:rFonts w:eastAsiaTheme="minorEastAsia"/>
            <w:smallCaps w:val="0"/>
            <w:noProof/>
            <w:szCs w:val="22"/>
            <w:lang w:eastAsia="en-GB"/>
          </w:rPr>
          <w:tab/>
        </w:r>
        <w:r w:rsidRPr="005A628C">
          <w:rPr>
            <w:rStyle w:val="Hyperlink"/>
            <w:rFonts w:cstheme="minorHAnsi"/>
            <w:noProof/>
          </w:rPr>
          <w:t>Resistance</w:t>
        </w:r>
        <w:r>
          <w:rPr>
            <w:noProof/>
            <w:webHidden/>
          </w:rPr>
          <w:tab/>
        </w:r>
        <w:r>
          <w:rPr>
            <w:noProof/>
            <w:webHidden/>
          </w:rPr>
          <w:fldChar w:fldCharType="begin"/>
        </w:r>
        <w:r>
          <w:rPr>
            <w:noProof/>
            <w:webHidden/>
          </w:rPr>
          <w:instrText xml:space="preserve"> PAGEREF _Toc392857531 \h </w:instrText>
        </w:r>
        <w:r>
          <w:rPr>
            <w:noProof/>
            <w:webHidden/>
          </w:rPr>
        </w:r>
        <w:r>
          <w:rPr>
            <w:noProof/>
            <w:webHidden/>
          </w:rPr>
          <w:fldChar w:fldCharType="separate"/>
        </w:r>
        <w:r>
          <w:rPr>
            <w:noProof/>
            <w:webHidden/>
          </w:rPr>
          <w:t>30</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32" w:history="1">
        <w:r w:rsidRPr="005A628C">
          <w:rPr>
            <w:rStyle w:val="Hyperlink"/>
            <w:rFonts w:cstheme="minorHAnsi"/>
            <w:noProof/>
          </w:rPr>
          <w:t>2.9.</w:t>
        </w:r>
        <w:r>
          <w:rPr>
            <w:rFonts w:eastAsiaTheme="minorEastAsia"/>
            <w:smallCaps w:val="0"/>
            <w:noProof/>
            <w:szCs w:val="22"/>
            <w:lang w:eastAsia="en-GB"/>
          </w:rPr>
          <w:tab/>
        </w:r>
        <w:r w:rsidRPr="005A628C">
          <w:rPr>
            <w:rStyle w:val="Hyperlink"/>
            <w:rFonts w:cstheme="minorHAnsi"/>
            <w:noProof/>
          </w:rPr>
          <w:t>Overview</w:t>
        </w:r>
        <w:r>
          <w:rPr>
            <w:noProof/>
            <w:webHidden/>
          </w:rPr>
          <w:tab/>
        </w:r>
        <w:r>
          <w:rPr>
            <w:noProof/>
            <w:webHidden/>
          </w:rPr>
          <w:fldChar w:fldCharType="begin"/>
        </w:r>
        <w:r>
          <w:rPr>
            <w:noProof/>
            <w:webHidden/>
          </w:rPr>
          <w:instrText xml:space="preserve"> PAGEREF _Toc392857532 \h </w:instrText>
        </w:r>
        <w:r>
          <w:rPr>
            <w:noProof/>
            <w:webHidden/>
          </w:rPr>
        </w:r>
        <w:r>
          <w:rPr>
            <w:noProof/>
            <w:webHidden/>
          </w:rPr>
          <w:fldChar w:fldCharType="separate"/>
        </w:r>
        <w:r>
          <w:rPr>
            <w:noProof/>
            <w:webHidden/>
          </w:rPr>
          <w:t>32</w:t>
        </w:r>
        <w:r>
          <w:rPr>
            <w:noProof/>
            <w:webHidden/>
          </w:rPr>
          <w:fldChar w:fldCharType="end"/>
        </w:r>
      </w:hyperlink>
    </w:p>
    <w:p w:rsidR="00FD5530" w:rsidRDefault="00FD5530">
      <w:pPr>
        <w:pStyle w:val="TOC1"/>
        <w:tabs>
          <w:tab w:val="left" w:pos="440"/>
          <w:tab w:val="right" w:leader="dot" w:pos="9628"/>
        </w:tabs>
        <w:rPr>
          <w:rFonts w:eastAsiaTheme="minorEastAsia"/>
          <w:b w:val="0"/>
          <w:bCs w:val="0"/>
          <w:caps w:val="0"/>
          <w:noProof/>
          <w:szCs w:val="22"/>
          <w:lang w:eastAsia="en-GB"/>
        </w:rPr>
      </w:pPr>
      <w:hyperlink w:anchor="_Toc392857533" w:history="1">
        <w:r w:rsidRPr="005A628C">
          <w:rPr>
            <w:rStyle w:val="Hyperlink"/>
            <w:noProof/>
          </w:rPr>
          <w:t>3.</w:t>
        </w:r>
        <w:r>
          <w:rPr>
            <w:rFonts w:eastAsiaTheme="minorEastAsia"/>
            <w:b w:val="0"/>
            <w:bCs w:val="0"/>
            <w:caps w:val="0"/>
            <w:noProof/>
            <w:szCs w:val="22"/>
            <w:lang w:eastAsia="en-GB"/>
          </w:rPr>
          <w:tab/>
        </w:r>
        <w:r w:rsidRPr="005A628C">
          <w:rPr>
            <w:rStyle w:val="Hyperlink"/>
            <w:noProof/>
          </w:rPr>
          <w:t>General problems with PPPs</w:t>
        </w:r>
        <w:r>
          <w:rPr>
            <w:noProof/>
            <w:webHidden/>
          </w:rPr>
          <w:tab/>
        </w:r>
        <w:r>
          <w:rPr>
            <w:noProof/>
            <w:webHidden/>
          </w:rPr>
          <w:fldChar w:fldCharType="begin"/>
        </w:r>
        <w:r>
          <w:rPr>
            <w:noProof/>
            <w:webHidden/>
          </w:rPr>
          <w:instrText xml:space="preserve"> PAGEREF _Toc392857533 \h </w:instrText>
        </w:r>
        <w:r>
          <w:rPr>
            <w:noProof/>
            <w:webHidden/>
          </w:rPr>
        </w:r>
        <w:r>
          <w:rPr>
            <w:noProof/>
            <w:webHidden/>
          </w:rPr>
          <w:fldChar w:fldCharType="separate"/>
        </w:r>
        <w:r>
          <w:rPr>
            <w:noProof/>
            <w:webHidden/>
          </w:rPr>
          <w:t>32</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34" w:history="1">
        <w:r w:rsidRPr="005A628C">
          <w:rPr>
            <w:rStyle w:val="Hyperlink"/>
            <w:noProof/>
          </w:rPr>
          <w:t>3.1.</w:t>
        </w:r>
        <w:r>
          <w:rPr>
            <w:rFonts w:eastAsiaTheme="minorEastAsia"/>
            <w:smallCaps w:val="0"/>
            <w:noProof/>
            <w:szCs w:val="22"/>
            <w:lang w:eastAsia="en-GB"/>
          </w:rPr>
          <w:tab/>
        </w:r>
        <w:r w:rsidRPr="005A628C">
          <w:rPr>
            <w:rStyle w:val="Hyperlink"/>
            <w:noProof/>
          </w:rPr>
          <w:t>PPPs do not ‘bring extra money’ – the effect on public and consumer spending</w:t>
        </w:r>
        <w:r>
          <w:rPr>
            <w:noProof/>
            <w:webHidden/>
          </w:rPr>
          <w:tab/>
        </w:r>
        <w:r>
          <w:rPr>
            <w:noProof/>
            <w:webHidden/>
          </w:rPr>
          <w:fldChar w:fldCharType="begin"/>
        </w:r>
        <w:r>
          <w:rPr>
            <w:noProof/>
            <w:webHidden/>
          </w:rPr>
          <w:instrText xml:space="preserve"> PAGEREF _Toc392857534 \h </w:instrText>
        </w:r>
        <w:r>
          <w:rPr>
            <w:noProof/>
            <w:webHidden/>
          </w:rPr>
        </w:r>
        <w:r>
          <w:rPr>
            <w:noProof/>
            <w:webHidden/>
          </w:rPr>
          <w:fldChar w:fldCharType="separate"/>
        </w:r>
        <w:r>
          <w:rPr>
            <w:noProof/>
            <w:webHidden/>
          </w:rPr>
          <w:t>33</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35" w:history="1">
        <w:r w:rsidRPr="005A628C">
          <w:rPr>
            <w:rStyle w:val="Hyperlink"/>
            <w:noProof/>
          </w:rPr>
          <w:t>3.2.</w:t>
        </w:r>
        <w:r>
          <w:rPr>
            <w:rFonts w:eastAsiaTheme="minorEastAsia"/>
            <w:smallCaps w:val="0"/>
            <w:noProof/>
            <w:szCs w:val="22"/>
            <w:lang w:eastAsia="en-GB"/>
          </w:rPr>
          <w:tab/>
        </w:r>
        <w:r w:rsidRPr="005A628C">
          <w:rPr>
            <w:rStyle w:val="Hyperlink"/>
            <w:noProof/>
          </w:rPr>
          <w:t>Risk transfer</w:t>
        </w:r>
        <w:r>
          <w:rPr>
            <w:noProof/>
            <w:webHidden/>
          </w:rPr>
          <w:tab/>
        </w:r>
        <w:r>
          <w:rPr>
            <w:noProof/>
            <w:webHidden/>
          </w:rPr>
          <w:fldChar w:fldCharType="begin"/>
        </w:r>
        <w:r>
          <w:rPr>
            <w:noProof/>
            <w:webHidden/>
          </w:rPr>
          <w:instrText xml:space="preserve"> PAGEREF _Toc392857535 \h </w:instrText>
        </w:r>
        <w:r>
          <w:rPr>
            <w:noProof/>
            <w:webHidden/>
          </w:rPr>
        </w:r>
        <w:r>
          <w:rPr>
            <w:noProof/>
            <w:webHidden/>
          </w:rPr>
          <w:fldChar w:fldCharType="separate"/>
        </w:r>
        <w:r>
          <w:rPr>
            <w:noProof/>
            <w:webHidden/>
          </w:rPr>
          <w:t>33</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36" w:history="1">
        <w:r w:rsidRPr="005A628C">
          <w:rPr>
            <w:rStyle w:val="Hyperlink"/>
            <w:rFonts w:cstheme="minorHAnsi"/>
            <w:noProof/>
          </w:rPr>
          <w:t>3.3.</w:t>
        </w:r>
        <w:r>
          <w:rPr>
            <w:rFonts w:eastAsiaTheme="minorEastAsia"/>
            <w:smallCaps w:val="0"/>
            <w:noProof/>
            <w:szCs w:val="22"/>
            <w:lang w:eastAsia="en-GB"/>
          </w:rPr>
          <w:tab/>
        </w:r>
        <w:r w:rsidRPr="005A628C">
          <w:rPr>
            <w:rStyle w:val="Hyperlink"/>
            <w:rFonts w:cstheme="minorHAnsi"/>
            <w:noProof/>
          </w:rPr>
          <w:t>Corruption, lies and secrets</w:t>
        </w:r>
        <w:r>
          <w:rPr>
            <w:noProof/>
            <w:webHidden/>
          </w:rPr>
          <w:tab/>
        </w:r>
        <w:r>
          <w:rPr>
            <w:noProof/>
            <w:webHidden/>
          </w:rPr>
          <w:fldChar w:fldCharType="begin"/>
        </w:r>
        <w:r>
          <w:rPr>
            <w:noProof/>
            <w:webHidden/>
          </w:rPr>
          <w:instrText xml:space="preserve"> PAGEREF _Toc392857536 \h </w:instrText>
        </w:r>
        <w:r>
          <w:rPr>
            <w:noProof/>
            <w:webHidden/>
          </w:rPr>
        </w:r>
        <w:r>
          <w:rPr>
            <w:noProof/>
            <w:webHidden/>
          </w:rPr>
          <w:fldChar w:fldCharType="separate"/>
        </w:r>
        <w:r>
          <w:rPr>
            <w:noProof/>
            <w:webHidden/>
          </w:rPr>
          <w:t>34</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37" w:history="1">
        <w:r w:rsidRPr="005A628C">
          <w:rPr>
            <w:rStyle w:val="Hyperlink"/>
            <w:rFonts w:cstheme="minorHAnsi"/>
            <w:noProof/>
          </w:rPr>
          <w:t>3.4.</w:t>
        </w:r>
        <w:r>
          <w:rPr>
            <w:rFonts w:eastAsiaTheme="minorEastAsia"/>
            <w:smallCaps w:val="0"/>
            <w:noProof/>
            <w:szCs w:val="22"/>
            <w:lang w:eastAsia="en-GB"/>
          </w:rPr>
          <w:tab/>
        </w:r>
        <w:r w:rsidRPr="005A628C">
          <w:rPr>
            <w:rStyle w:val="Hyperlink"/>
            <w:rFonts w:cstheme="minorHAnsi"/>
            <w:noProof/>
          </w:rPr>
          <w:t>Damaging public services, environment and workers</w:t>
        </w:r>
        <w:r>
          <w:rPr>
            <w:noProof/>
            <w:webHidden/>
          </w:rPr>
          <w:tab/>
        </w:r>
        <w:r>
          <w:rPr>
            <w:noProof/>
            <w:webHidden/>
          </w:rPr>
          <w:fldChar w:fldCharType="begin"/>
        </w:r>
        <w:r>
          <w:rPr>
            <w:noProof/>
            <w:webHidden/>
          </w:rPr>
          <w:instrText xml:space="preserve"> PAGEREF _Toc392857537 \h </w:instrText>
        </w:r>
        <w:r>
          <w:rPr>
            <w:noProof/>
            <w:webHidden/>
          </w:rPr>
        </w:r>
        <w:r>
          <w:rPr>
            <w:noProof/>
            <w:webHidden/>
          </w:rPr>
          <w:fldChar w:fldCharType="separate"/>
        </w:r>
        <w:r>
          <w:rPr>
            <w:noProof/>
            <w:webHidden/>
          </w:rPr>
          <w:t>37</w:t>
        </w:r>
        <w:r>
          <w:rPr>
            <w:noProof/>
            <w:webHidden/>
          </w:rPr>
          <w:fldChar w:fldCharType="end"/>
        </w:r>
      </w:hyperlink>
    </w:p>
    <w:p w:rsidR="00FD5530" w:rsidRDefault="00FD5530">
      <w:pPr>
        <w:pStyle w:val="TOC1"/>
        <w:tabs>
          <w:tab w:val="left" w:pos="440"/>
          <w:tab w:val="right" w:leader="dot" w:pos="9628"/>
        </w:tabs>
        <w:rPr>
          <w:rFonts w:eastAsiaTheme="minorEastAsia"/>
          <w:b w:val="0"/>
          <w:bCs w:val="0"/>
          <w:caps w:val="0"/>
          <w:noProof/>
          <w:szCs w:val="22"/>
          <w:lang w:eastAsia="en-GB"/>
        </w:rPr>
      </w:pPr>
      <w:hyperlink w:anchor="_Toc392857538" w:history="1">
        <w:r w:rsidRPr="005A628C">
          <w:rPr>
            <w:rStyle w:val="Hyperlink"/>
            <w:noProof/>
          </w:rPr>
          <w:t>4.</w:t>
        </w:r>
        <w:r>
          <w:rPr>
            <w:rFonts w:eastAsiaTheme="minorEastAsia"/>
            <w:b w:val="0"/>
            <w:bCs w:val="0"/>
            <w:caps w:val="0"/>
            <w:noProof/>
            <w:szCs w:val="22"/>
            <w:lang w:eastAsia="en-GB"/>
          </w:rPr>
          <w:tab/>
        </w:r>
        <w:r w:rsidRPr="005A628C">
          <w:rPr>
            <w:rStyle w:val="Hyperlink"/>
            <w:noProof/>
          </w:rPr>
          <w:t>Evaluating PPPs</w:t>
        </w:r>
        <w:r>
          <w:rPr>
            <w:noProof/>
            <w:webHidden/>
          </w:rPr>
          <w:tab/>
        </w:r>
        <w:r>
          <w:rPr>
            <w:noProof/>
            <w:webHidden/>
          </w:rPr>
          <w:fldChar w:fldCharType="begin"/>
        </w:r>
        <w:r>
          <w:rPr>
            <w:noProof/>
            <w:webHidden/>
          </w:rPr>
          <w:instrText xml:space="preserve"> PAGEREF _Toc392857538 \h </w:instrText>
        </w:r>
        <w:r>
          <w:rPr>
            <w:noProof/>
            <w:webHidden/>
          </w:rPr>
        </w:r>
        <w:r>
          <w:rPr>
            <w:noProof/>
            <w:webHidden/>
          </w:rPr>
          <w:fldChar w:fldCharType="separate"/>
        </w:r>
        <w:r>
          <w:rPr>
            <w:noProof/>
            <w:webHidden/>
          </w:rPr>
          <w:t>40</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39" w:history="1">
        <w:r w:rsidRPr="005A628C">
          <w:rPr>
            <w:rStyle w:val="Hyperlink"/>
            <w:noProof/>
          </w:rPr>
          <w:t>4.1.</w:t>
        </w:r>
        <w:r>
          <w:rPr>
            <w:rFonts w:eastAsiaTheme="minorEastAsia"/>
            <w:smallCaps w:val="0"/>
            <w:noProof/>
            <w:szCs w:val="22"/>
            <w:lang w:eastAsia="en-GB"/>
          </w:rPr>
          <w:tab/>
        </w:r>
        <w:r w:rsidRPr="005A628C">
          <w:rPr>
            <w:rStyle w:val="Hyperlink"/>
            <w:noProof/>
          </w:rPr>
          <w:t>The necessity for comparison with a public option</w:t>
        </w:r>
        <w:r>
          <w:rPr>
            <w:noProof/>
            <w:webHidden/>
          </w:rPr>
          <w:tab/>
        </w:r>
        <w:r>
          <w:rPr>
            <w:noProof/>
            <w:webHidden/>
          </w:rPr>
          <w:fldChar w:fldCharType="begin"/>
        </w:r>
        <w:r>
          <w:rPr>
            <w:noProof/>
            <w:webHidden/>
          </w:rPr>
          <w:instrText xml:space="preserve"> PAGEREF _Toc392857539 \h </w:instrText>
        </w:r>
        <w:r>
          <w:rPr>
            <w:noProof/>
            <w:webHidden/>
          </w:rPr>
        </w:r>
        <w:r>
          <w:rPr>
            <w:noProof/>
            <w:webHidden/>
          </w:rPr>
          <w:fldChar w:fldCharType="separate"/>
        </w:r>
        <w:r>
          <w:rPr>
            <w:noProof/>
            <w:webHidden/>
          </w:rPr>
          <w:t>40</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40" w:history="1">
        <w:r w:rsidRPr="005A628C">
          <w:rPr>
            <w:rStyle w:val="Hyperlink"/>
            <w:rFonts w:cstheme="minorHAnsi"/>
            <w:noProof/>
          </w:rPr>
          <w:t>4.2.</w:t>
        </w:r>
        <w:r>
          <w:rPr>
            <w:rFonts w:eastAsiaTheme="minorEastAsia"/>
            <w:smallCaps w:val="0"/>
            <w:noProof/>
            <w:szCs w:val="22"/>
            <w:lang w:eastAsia="en-GB"/>
          </w:rPr>
          <w:tab/>
        </w:r>
        <w:r w:rsidRPr="005A628C">
          <w:rPr>
            <w:rStyle w:val="Hyperlink"/>
            <w:rFonts w:cstheme="minorHAnsi"/>
            <w:noProof/>
          </w:rPr>
          <w:t>A comparative framework – VFM and the public impact</w:t>
        </w:r>
        <w:r>
          <w:rPr>
            <w:noProof/>
            <w:webHidden/>
          </w:rPr>
          <w:tab/>
        </w:r>
        <w:r>
          <w:rPr>
            <w:noProof/>
            <w:webHidden/>
          </w:rPr>
          <w:fldChar w:fldCharType="begin"/>
        </w:r>
        <w:r>
          <w:rPr>
            <w:noProof/>
            <w:webHidden/>
          </w:rPr>
          <w:instrText xml:space="preserve"> PAGEREF _Toc392857540 \h </w:instrText>
        </w:r>
        <w:r>
          <w:rPr>
            <w:noProof/>
            <w:webHidden/>
          </w:rPr>
        </w:r>
        <w:r>
          <w:rPr>
            <w:noProof/>
            <w:webHidden/>
          </w:rPr>
          <w:fldChar w:fldCharType="separate"/>
        </w:r>
        <w:r>
          <w:rPr>
            <w:noProof/>
            <w:webHidden/>
          </w:rPr>
          <w:t>41</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41" w:history="1">
        <w:r w:rsidRPr="005A628C">
          <w:rPr>
            <w:rStyle w:val="Hyperlink"/>
            <w:rFonts w:cstheme="minorHAnsi"/>
            <w:noProof/>
          </w:rPr>
          <w:t>4.3.</w:t>
        </w:r>
        <w:r>
          <w:rPr>
            <w:rFonts w:eastAsiaTheme="minorEastAsia"/>
            <w:smallCaps w:val="0"/>
            <w:noProof/>
            <w:szCs w:val="22"/>
            <w:lang w:eastAsia="en-GB"/>
          </w:rPr>
          <w:tab/>
        </w:r>
        <w:r w:rsidRPr="005A628C">
          <w:rPr>
            <w:rStyle w:val="Hyperlink"/>
            <w:rFonts w:cstheme="minorHAnsi"/>
            <w:noProof/>
          </w:rPr>
          <w:t>The need for evidence-based comparisons</w:t>
        </w:r>
        <w:r>
          <w:rPr>
            <w:noProof/>
            <w:webHidden/>
          </w:rPr>
          <w:tab/>
        </w:r>
        <w:r>
          <w:rPr>
            <w:noProof/>
            <w:webHidden/>
          </w:rPr>
          <w:fldChar w:fldCharType="begin"/>
        </w:r>
        <w:r>
          <w:rPr>
            <w:noProof/>
            <w:webHidden/>
          </w:rPr>
          <w:instrText xml:space="preserve"> PAGEREF _Toc392857541 \h </w:instrText>
        </w:r>
        <w:r>
          <w:rPr>
            <w:noProof/>
            <w:webHidden/>
          </w:rPr>
        </w:r>
        <w:r>
          <w:rPr>
            <w:noProof/>
            <w:webHidden/>
          </w:rPr>
          <w:fldChar w:fldCharType="separate"/>
        </w:r>
        <w:r>
          <w:rPr>
            <w:noProof/>
            <w:webHidden/>
          </w:rPr>
          <w:t>42</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42" w:history="1">
        <w:r w:rsidRPr="005A628C">
          <w:rPr>
            <w:rStyle w:val="Hyperlink"/>
            <w:rFonts w:cstheme="minorHAnsi"/>
            <w:noProof/>
          </w:rPr>
          <w:t>4.4.</w:t>
        </w:r>
        <w:r>
          <w:rPr>
            <w:rFonts w:eastAsiaTheme="minorEastAsia"/>
            <w:smallCaps w:val="0"/>
            <w:noProof/>
            <w:szCs w:val="22"/>
            <w:lang w:eastAsia="en-GB"/>
          </w:rPr>
          <w:tab/>
        </w:r>
        <w:r w:rsidRPr="005A628C">
          <w:rPr>
            <w:rStyle w:val="Hyperlink"/>
            <w:rFonts w:cstheme="minorHAnsi"/>
            <w:noProof/>
          </w:rPr>
          <w:t>Cost of capital – cheaper through governments</w:t>
        </w:r>
        <w:r>
          <w:rPr>
            <w:noProof/>
            <w:webHidden/>
          </w:rPr>
          <w:tab/>
        </w:r>
        <w:r>
          <w:rPr>
            <w:noProof/>
            <w:webHidden/>
          </w:rPr>
          <w:fldChar w:fldCharType="begin"/>
        </w:r>
        <w:r>
          <w:rPr>
            <w:noProof/>
            <w:webHidden/>
          </w:rPr>
          <w:instrText xml:space="preserve"> PAGEREF _Toc392857542 \h </w:instrText>
        </w:r>
        <w:r>
          <w:rPr>
            <w:noProof/>
            <w:webHidden/>
          </w:rPr>
        </w:r>
        <w:r>
          <w:rPr>
            <w:noProof/>
            <w:webHidden/>
          </w:rPr>
          <w:fldChar w:fldCharType="separate"/>
        </w:r>
        <w:r>
          <w:rPr>
            <w:noProof/>
            <w:webHidden/>
          </w:rPr>
          <w:t>42</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43" w:history="1">
        <w:r w:rsidRPr="005A628C">
          <w:rPr>
            <w:rStyle w:val="Hyperlink"/>
            <w:rFonts w:cstheme="minorHAnsi"/>
            <w:noProof/>
          </w:rPr>
          <w:t>4.5.</w:t>
        </w:r>
        <w:r>
          <w:rPr>
            <w:rFonts w:eastAsiaTheme="minorEastAsia"/>
            <w:smallCaps w:val="0"/>
            <w:noProof/>
            <w:szCs w:val="22"/>
            <w:lang w:eastAsia="en-GB"/>
          </w:rPr>
          <w:tab/>
        </w:r>
        <w:r w:rsidRPr="005A628C">
          <w:rPr>
            <w:rStyle w:val="Hyperlink"/>
            <w:rFonts w:cstheme="minorHAnsi"/>
            <w:noProof/>
          </w:rPr>
          <w:t>Construction costs: on time and on budget?</w:t>
        </w:r>
        <w:r>
          <w:rPr>
            <w:noProof/>
            <w:webHidden/>
          </w:rPr>
          <w:tab/>
        </w:r>
        <w:r>
          <w:rPr>
            <w:noProof/>
            <w:webHidden/>
          </w:rPr>
          <w:fldChar w:fldCharType="begin"/>
        </w:r>
        <w:r>
          <w:rPr>
            <w:noProof/>
            <w:webHidden/>
          </w:rPr>
          <w:instrText xml:space="preserve"> PAGEREF _Toc392857543 \h </w:instrText>
        </w:r>
        <w:r>
          <w:rPr>
            <w:noProof/>
            <w:webHidden/>
          </w:rPr>
        </w:r>
        <w:r>
          <w:rPr>
            <w:noProof/>
            <w:webHidden/>
          </w:rPr>
          <w:fldChar w:fldCharType="separate"/>
        </w:r>
        <w:r>
          <w:rPr>
            <w:noProof/>
            <w:webHidden/>
          </w:rPr>
          <w:t>45</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44" w:history="1">
        <w:r w:rsidRPr="005A628C">
          <w:rPr>
            <w:rStyle w:val="Hyperlink"/>
            <w:rFonts w:cstheme="minorHAnsi"/>
            <w:noProof/>
          </w:rPr>
          <w:t>4.6.</w:t>
        </w:r>
        <w:r>
          <w:rPr>
            <w:rFonts w:eastAsiaTheme="minorEastAsia"/>
            <w:smallCaps w:val="0"/>
            <w:noProof/>
            <w:szCs w:val="22"/>
            <w:lang w:eastAsia="en-GB"/>
          </w:rPr>
          <w:tab/>
        </w:r>
        <w:r w:rsidRPr="005A628C">
          <w:rPr>
            <w:rStyle w:val="Hyperlink"/>
            <w:rFonts w:cstheme="minorHAnsi"/>
            <w:noProof/>
          </w:rPr>
          <w:t>Efficiency</w:t>
        </w:r>
        <w:r>
          <w:rPr>
            <w:noProof/>
            <w:webHidden/>
          </w:rPr>
          <w:tab/>
        </w:r>
        <w:r>
          <w:rPr>
            <w:noProof/>
            <w:webHidden/>
          </w:rPr>
          <w:fldChar w:fldCharType="begin"/>
        </w:r>
        <w:r>
          <w:rPr>
            <w:noProof/>
            <w:webHidden/>
          </w:rPr>
          <w:instrText xml:space="preserve"> PAGEREF _Toc392857544 \h </w:instrText>
        </w:r>
        <w:r>
          <w:rPr>
            <w:noProof/>
            <w:webHidden/>
          </w:rPr>
        </w:r>
        <w:r>
          <w:rPr>
            <w:noProof/>
            <w:webHidden/>
          </w:rPr>
          <w:fldChar w:fldCharType="separate"/>
        </w:r>
        <w:r>
          <w:rPr>
            <w:noProof/>
            <w:webHidden/>
          </w:rPr>
          <w:t>46</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45" w:history="1">
        <w:r w:rsidRPr="005A628C">
          <w:rPr>
            <w:rStyle w:val="Hyperlink"/>
            <w:rFonts w:cstheme="minorHAnsi"/>
            <w:noProof/>
          </w:rPr>
          <w:t>4.7.</w:t>
        </w:r>
        <w:r>
          <w:rPr>
            <w:rFonts w:eastAsiaTheme="minorEastAsia"/>
            <w:smallCaps w:val="0"/>
            <w:noProof/>
            <w:szCs w:val="22"/>
            <w:lang w:eastAsia="en-GB"/>
          </w:rPr>
          <w:tab/>
        </w:r>
        <w:r w:rsidRPr="005A628C">
          <w:rPr>
            <w:rStyle w:val="Hyperlink"/>
            <w:rFonts w:cstheme="minorHAnsi"/>
            <w:noProof/>
          </w:rPr>
          <w:t>Transaction costs</w:t>
        </w:r>
        <w:r>
          <w:rPr>
            <w:noProof/>
            <w:webHidden/>
          </w:rPr>
          <w:tab/>
        </w:r>
        <w:r>
          <w:rPr>
            <w:noProof/>
            <w:webHidden/>
          </w:rPr>
          <w:fldChar w:fldCharType="begin"/>
        </w:r>
        <w:r>
          <w:rPr>
            <w:noProof/>
            <w:webHidden/>
          </w:rPr>
          <w:instrText xml:space="preserve"> PAGEREF _Toc392857545 \h </w:instrText>
        </w:r>
        <w:r>
          <w:rPr>
            <w:noProof/>
            <w:webHidden/>
          </w:rPr>
        </w:r>
        <w:r>
          <w:rPr>
            <w:noProof/>
            <w:webHidden/>
          </w:rPr>
          <w:fldChar w:fldCharType="separate"/>
        </w:r>
        <w:r>
          <w:rPr>
            <w:noProof/>
            <w:webHidden/>
          </w:rPr>
          <w:t>48</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46" w:history="1">
        <w:r w:rsidRPr="005A628C">
          <w:rPr>
            <w:rStyle w:val="Hyperlink"/>
            <w:rFonts w:cstheme="minorHAnsi"/>
            <w:noProof/>
          </w:rPr>
          <w:t>4.8.</w:t>
        </w:r>
        <w:r>
          <w:rPr>
            <w:rFonts w:eastAsiaTheme="minorEastAsia"/>
            <w:smallCaps w:val="0"/>
            <w:noProof/>
            <w:szCs w:val="22"/>
            <w:lang w:eastAsia="en-GB"/>
          </w:rPr>
          <w:tab/>
        </w:r>
        <w:r w:rsidRPr="005A628C">
          <w:rPr>
            <w:rStyle w:val="Hyperlink"/>
            <w:rFonts w:cstheme="minorHAnsi"/>
            <w:noProof/>
          </w:rPr>
          <w:t>Uncertainty</w:t>
        </w:r>
        <w:r>
          <w:rPr>
            <w:noProof/>
            <w:webHidden/>
          </w:rPr>
          <w:tab/>
        </w:r>
        <w:r>
          <w:rPr>
            <w:noProof/>
            <w:webHidden/>
          </w:rPr>
          <w:fldChar w:fldCharType="begin"/>
        </w:r>
        <w:r>
          <w:rPr>
            <w:noProof/>
            <w:webHidden/>
          </w:rPr>
          <w:instrText xml:space="preserve"> PAGEREF _Toc392857546 \h </w:instrText>
        </w:r>
        <w:r>
          <w:rPr>
            <w:noProof/>
            <w:webHidden/>
          </w:rPr>
        </w:r>
        <w:r>
          <w:rPr>
            <w:noProof/>
            <w:webHidden/>
          </w:rPr>
          <w:fldChar w:fldCharType="separate"/>
        </w:r>
        <w:r>
          <w:rPr>
            <w:noProof/>
            <w:webHidden/>
          </w:rPr>
          <w:t>48</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47" w:history="1">
        <w:r w:rsidRPr="005A628C">
          <w:rPr>
            <w:rStyle w:val="Hyperlink"/>
            <w:rFonts w:cstheme="minorHAnsi"/>
            <w:noProof/>
          </w:rPr>
          <w:t>4.9.</w:t>
        </w:r>
        <w:r>
          <w:rPr>
            <w:rFonts w:eastAsiaTheme="minorEastAsia"/>
            <w:smallCaps w:val="0"/>
            <w:noProof/>
            <w:szCs w:val="22"/>
            <w:lang w:eastAsia="en-GB"/>
          </w:rPr>
          <w:tab/>
        </w:r>
        <w:r w:rsidRPr="005A628C">
          <w:rPr>
            <w:rStyle w:val="Hyperlink"/>
            <w:rFonts w:cstheme="minorHAnsi"/>
            <w:noProof/>
          </w:rPr>
          <w:t>Value for money: a summary of the evidence</w:t>
        </w:r>
        <w:r>
          <w:rPr>
            <w:noProof/>
            <w:webHidden/>
          </w:rPr>
          <w:tab/>
        </w:r>
        <w:r>
          <w:rPr>
            <w:noProof/>
            <w:webHidden/>
          </w:rPr>
          <w:fldChar w:fldCharType="begin"/>
        </w:r>
        <w:r>
          <w:rPr>
            <w:noProof/>
            <w:webHidden/>
          </w:rPr>
          <w:instrText xml:space="preserve"> PAGEREF _Toc392857547 \h </w:instrText>
        </w:r>
        <w:r>
          <w:rPr>
            <w:noProof/>
            <w:webHidden/>
          </w:rPr>
        </w:r>
        <w:r>
          <w:rPr>
            <w:noProof/>
            <w:webHidden/>
          </w:rPr>
          <w:fldChar w:fldCharType="separate"/>
        </w:r>
        <w:r>
          <w:rPr>
            <w:noProof/>
            <w:webHidden/>
          </w:rPr>
          <w:t>49</w:t>
        </w:r>
        <w:r>
          <w:rPr>
            <w:noProof/>
            <w:webHidden/>
          </w:rPr>
          <w:fldChar w:fldCharType="end"/>
        </w:r>
      </w:hyperlink>
    </w:p>
    <w:p w:rsidR="00FD5530" w:rsidRDefault="00FD5530">
      <w:pPr>
        <w:pStyle w:val="TOC1"/>
        <w:tabs>
          <w:tab w:val="left" w:pos="440"/>
          <w:tab w:val="right" w:leader="dot" w:pos="9628"/>
        </w:tabs>
        <w:rPr>
          <w:rFonts w:eastAsiaTheme="minorEastAsia"/>
          <w:b w:val="0"/>
          <w:bCs w:val="0"/>
          <w:caps w:val="0"/>
          <w:noProof/>
          <w:szCs w:val="22"/>
          <w:lang w:eastAsia="en-GB"/>
        </w:rPr>
      </w:pPr>
      <w:hyperlink w:anchor="_Toc392857548" w:history="1">
        <w:r w:rsidRPr="005A628C">
          <w:rPr>
            <w:rStyle w:val="Hyperlink"/>
            <w:noProof/>
          </w:rPr>
          <w:t>5.</w:t>
        </w:r>
        <w:r>
          <w:rPr>
            <w:rFonts w:eastAsiaTheme="minorEastAsia"/>
            <w:b w:val="0"/>
            <w:bCs w:val="0"/>
            <w:caps w:val="0"/>
            <w:noProof/>
            <w:szCs w:val="22"/>
            <w:lang w:eastAsia="en-GB"/>
          </w:rPr>
          <w:tab/>
        </w:r>
        <w:r w:rsidRPr="005A628C">
          <w:rPr>
            <w:rStyle w:val="Hyperlink"/>
            <w:noProof/>
          </w:rPr>
          <w:t>Conclusion: the public alternative</w:t>
        </w:r>
        <w:r>
          <w:rPr>
            <w:noProof/>
            <w:webHidden/>
          </w:rPr>
          <w:tab/>
        </w:r>
        <w:r>
          <w:rPr>
            <w:noProof/>
            <w:webHidden/>
          </w:rPr>
          <w:fldChar w:fldCharType="begin"/>
        </w:r>
        <w:r>
          <w:rPr>
            <w:noProof/>
            <w:webHidden/>
          </w:rPr>
          <w:instrText xml:space="preserve"> PAGEREF _Toc392857548 \h </w:instrText>
        </w:r>
        <w:r>
          <w:rPr>
            <w:noProof/>
            <w:webHidden/>
          </w:rPr>
        </w:r>
        <w:r>
          <w:rPr>
            <w:noProof/>
            <w:webHidden/>
          </w:rPr>
          <w:fldChar w:fldCharType="separate"/>
        </w:r>
        <w:r>
          <w:rPr>
            <w:noProof/>
            <w:webHidden/>
          </w:rPr>
          <w:t>49</w:t>
        </w:r>
        <w:r>
          <w:rPr>
            <w:noProof/>
            <w:webHidden/>
          </w:rPr>
          <w:fldChar w:fldCharType="end"/>
        </w:r>
      </w:hyperlink>
    </w:p>
    <w:p w:rsidR="00FD5530" w:rsidRDefault="00FD5530">
      <w:pPr>
        <w:pStyle w:val="TOC1"/>
        <w:tabs>
          <w:tab w:val="left" w:pos="440"/>
          <w:tab w:val="right" w:leader="dot" w:pos="9628"/>
        </w:tabs>
        <w:rPr>
          <w:rFonts w:eastAsiaTheme="minorEastAsia"/>
          <w:b w:val="0"/>
          <w:bCs w:val="0"/>
          <w:caps w:val="0"/>
          <w:noProof/>
          <w:szCs w:val="22"/>
          <w:lang w:eastAsia="en-GB"/>
        </w:rPr>
      </w:pPr>
      <w:hyperlink w:anchor="_Toc392857549" w:history="1">
        <w:r w:rsidRPr="005A628C">
          <w:rPr>
            <w:rStyle w:val="Hyperlink"/>
            <w:noProof/>
          </w:rPr>
          <w:t>6.</w:t>
        </w:r>
        <w:r>
          <w:rPr>
            <w:rFonts w:eastAsiaTheme="minorEastAsia"/>
            <w:b w:val="0"/>
            <w:bCs w:val="0"/>
            <w:caps w:val="0"/>
            <w:noProof/>
            <w:szCs w:val="22"/>
            <w:lang w:eastAsia="en-GB"/>
          </w:rPr>
          <w:tab/>
        </w:r>
        <w:r w:rsidRPr="005A628C">
          <w:rPr>
            <w:rStyle w:val="Hyperlink"/>
            <w:noProof/>
          </w:rPr>
          <w:t>Select bibliography</w:t>
        </w:r>
        <w:r>
          <w:rPr>
            <w:noProof/>
            <w:webHidden/>
          </w:rPr>
          <w:tab/>
        </w:r>
        <w:r>
          <w:rPr>
            <w:noProof/>
            <w:webHidden/>
          </w:rPr>
          <w:fldChar w:fldCharType="begin"/>
        </w:r>
        <w:r>
          <w:rPr>
            <w:noProof/>
            <w:webHidden/>
          </w:rPr>
          <w:instrText xml:space="preserve"> PAGEREF _Toc392857549 \h </w:instrText>
        </w:r>
        <w:r>
          <w:rPr>
            <w:noProof/>
            <w:webHidden/>
          </w:rPr>
        </w:r>
        <w:r>
          <w:rPr>
            <w:noProof/>
            <w:webHidden/>
          </w:rPr>
          <w:fldChar w:fldCharType="separate"/>
        </w:r>
        <w:r>
          <w:rPr>
            <w:noProof/>
            <w:webHidden/>
          </w:rPr>
          <w:t>50</w:t>
        </w:r>
        <w:r>
          <w:rPr>
            <w:noProof/>
            <w:webHidden/>
          </w:rPr>
          <w:fldChar w:fldCharType="end"/>
        </w:r>
      </w:hyperlink>
    </w:p>
    <w:p w:rsidR="00FD5530" w:rsidRDefault="00FD5530">
      <w:pPr>
        <w:pStyle w:val="TOC1"/>
        <w:tabs>
          <w:tab w:val="left" w:pos="440"/>
          <w:tab w:val="right" w:leader="dot" w:pos="9628"/>
        </w:tabs>
        <w:rPr>
          <w:rFonts w:eastAsiaTheme="minorEastAsia"/>
          <w:b w:val="0"/>
          <w:bCs w:val="0"/>
          <w:caps w:val="0"/>
          <w:noProof/>
          <w:szCs w:val="22"/>
          <w:lang w:eastAsia="en-GB"/>
        </w:rPr>
      </w:pPr>
      <w:hyperlink w:anchor="_Toc392857550" w:history="1">
        <w:r w:rsidRPr="005A628C">
          <w:rPr>
            <w:rStyle w:val="Hyperlink"/>
            <w:noProof/>
          </w:rPr>
          <w:t>7.</w:t>
        </w:r>
        <w:r>
          <w:rPr>
            <w:rFonts w:eastAsiaTheme="minorEastAsia"/>
            <w:b w:val="0"/>
            <w:bCs w:val="0"/>
            <w:caps w:val="0"/>
            <w:noProof/>
            <w:szCs w:val="22"/>
            <w:lang w:eastAsia="en-GB"/>
          </w:rPr>
          <w:tab/>
        </w:r>
        <w:r w:rsidRPr="005A628C">
          <w:rPr>
            <w:rStyle w:val="Hyperlink"/>
            <w:noProof/>
          </w:rPr>
          <w:t>Annexe: Case studies</w:t>
        </w:r>
        <w:r>
          <w:rPr>
            <w:noProof/>
            <w:webHidden/>
          </w:rPr>
          <w:tab/>
        </w:r>
        <w:r>
          <w:rPr>
            <w:noProof/>
            <w:webHidden/>
          </w:rPr>
          <w:fldChar w:fldCharType="begin"/>
        </w:r>
        <w:r>
          <w:rPr>
            <w:noProof/>
            <w:webHidden/>
          </w:rPr>
          <w:instrText xml:space="preserve"> PAGEREF _Toc392857550 \h </w:instrText>
        </w:r>
        <w:r>
          <w:rPr>
            <w:noProof/>
            <w:webHidden/>
          </w:rPr>
        </w:r>
        <w:r>
          <w:rPr>
            <w:noProof/>
            <w:webHidden/>
          </w:rPr>
          <w:fldChar w:fldCharType="separate"/>
        </w:r>
        <w:r>
          <w:rPr>
            <w:noProof/>
            <w:webHidden/>
          </w:rPr>
          <w:t>52</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51" w:history="1">
        <w:r w:rsidRPr="005A628C">
          <w:rPr>
            <w:rStyle w:val="Hyperlink"/>
            <w:noProof/>
          </w:rPr>
          <w:t>7.1.</w:t>
        </w:r>
        <w:r>
          <w:rPr>
            <w:rFonts w:eastAsiaTheme="minorEastAsia"/>
            <w:smallCaps w:val="0"/>
            <w:noProof/>
            <w:szCs w:val="22"/>
            <w:lang w:eastAsia="en-GB"/>
          </w:rPr>
          <w:tab/>
        </w:r>
        <w:r w:rsidRPr="005A628C">
          <w:rPr>
            <w:rStyle w:val="Hyperlink"/>
            <w:noProof/>
          </w:rPr>
          <w:t>Case study: London Transport – the economic advantages of re-municipalising PPPs</w:t>
        </w:r>
        <w:r>
          <w:rPr>
            <w:noProof/>
            <w:webHidden/>
          </w:rPr>
          <w:tab/>
        </w:r>
        <w:r>
          <w:rPr>
            <w:noProof/>
            <w:webHidden/>
          </w:rPr>
          <w:fldChar w:fldCharType="begin"/>
        </w:r>
        <w:r>
          <w:rPr>
            <w:noProof/>
            <w:webHidden/>
          </w:rPr>
          <w:instrText xml:space="preserve"> PAGEREF _Toc392857551 \h </w:instrText>
        </w:r>
        <w:r>
          <w:rPr>
            <w:noProof/>
            <w:webHidden/>
          </w:rPr>
        </w:r>
        <w:r>
          <w:rPr>
            <w:noProof/>
            <w:webHidden/>
          </w:rPr>
          <w:fldChar w:fldCharType="separate"/>
        </w:r>
        <w:r>
          <w:rPr>
            <w:noProof/>
            <w:webHidden/>
          </w:rPr>
          <w:t>52</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52" w:history="1">
        <w:r w:rsidRPr="005A628C">
          <w:rPr>
            <w:rStyle w:val="Hyperlink"/>
            <w:rFonts w:cstheme="minorHAnsi"/>
            <w:noProof/>
          </w:rPr>
          <w:t>7.2.</w:t>
        </w:r>
        <w:r>
          <w:rPr>
            <w:rFonts w:eastAsiaTheme="minorEastAsia"/>
            <w:smallCaps w:val="0"/>
            <w:noProof/>
            <w:szCs w:val="22"/>
            <w:lang w:eastAsia="en-GB"/>
          </w:rPr>
          <w:tab/>
        </w:r>
        <w:r w:rsidRPr="005A628C">
          <w:rPr>
            <w:rStyle w:val="Hyperlink"/>
            <w:rFonts w:cstheme="minorHAnsi"/>
            <w:noProof/>
          </w:rPr>
          <w:t>Case study: PPPs in India</w:t>
        </w:r>
        <w:r>
          <w:rPr>
            <w:noProof/>
            <w:webHidden/>
          </w:rPr>
          <w:tab/>
        </w:r>
        <w:r>
          <w:rPr>
            <w:noProof/>
            <w:webHidden/>
          </w:rPr>
          <w:fldChar w:fldCharType="begin"/>
        </w:r>
        <w:r>
          <w:rPr>
            <w:noProof/>
            <w:webHidden/>
          </w:rPr>
          <w:instrText xml:space="preserve"> PAGEREF _Toc392857552 \h </w:instrText>
        </w:r>
        <w:r>
          <w:rPr>
            <w:noProof/>
            <w:webHidden/>
          </w:rPr>
        </w:r>
        <w:r>
          <w:rPr>
            <w:noProof/>
            <w:webHidden/>
          </w:rPr>
          <w:fldChar w:fldCharType="separate"/>
        </w:r>
        <w:r>
          <w:rPr>
            <w:noProof/>
            <w:webHidden/>
          </w:rPr>
          <w:t>55</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53" w:history="1">
        <w:r w:rsidRPr="005A628C">
          <w:rPr>
            <w:rStyle w:val="Hyperlink"/>
            <w:rFonts w:cstheme="minorHAnsi"/>
            <w:noProof/>
          </w:rPr>
          <w:t>7.3.</w:t>
        </w:r>
        <w:r>
          <w:rPr>
            <w:rFonts w:eastAsiaTheme="minorEastAsia"/>
            <w:smallCaps w:val="0"/>
            <w:noProof/>
            <w:szCs w:val="22"/>
            <w:lang w:eastAsia="en-GB"/>
          </w:rPr>
          <w:tab/>
        </w:r>
        <w:r w:rsidRPr="005A628C">
          <w:rPr>
            <w:rStyle w:val="Hyperlink"/>
            <w:rFonts w:cstheme="minorHAnsi"/>
            <w:noProof/>
          </w:rPr>
          <w:t>Case study: corruption and renegotiation in Chile and Colombia</w:t>
        </w:r>
        <w:r>
          <w:rPr>
            <w:noProof/>
            <w:webHidden/>
          </w:rPr>
          <w:tab/>
        </w:r>
        <w:r>
          <w:rPr>
            <w:noProof/>
            <w:webHidden/>
          </w:rPr>
          <w:fldChar w:fldCharType="begin"/>
        </w:r>
        <w:r>
          <w:rPr>
            <w:noProof/>
            <w:webHidden/>
          </w:rPr>
          <w:instrText xml:space="preserve"> PAGEREF _Toc392857553 \h </w:instrText>
        </w:r>
        <w:r>
          <w:rPr>
            <w:noProof/>
            <w:webHidden/>
          </w:rPr>
        </w:r>
        <w:r>
          <w:rPr>
            <w:noProof/>
            <w:webHidden/>
          </w:rPr>
          <w:fldChar w:fldCharType="separate"/>
        </w:r>
        <w:r>
          <w:rPr>
            <w:noProof/>
            <w:webHidden/>
          </w:rPr>
          <w:t>58</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54" w:history="1">
        <w:r w:rsidRPr="005A628C">
          <w:rPr>
            <w:rStyle w:val="Hyperlink"/>
            <w:rFonts w:cstheme="minorHAnsi"/>
            <w:noProof/>
          </w:rPr>
          <w:t>7.4.</w:t>
        </w:r>
        <w:r>
          <w:rPr>
            <w:rFonts w:eastAsiaTheme="minorEastAsia"/>
            <w:smallCaps w:val="0"/>
            <w:noProof/>
            <w:szCs w:val="22"/>
            <w:lang w:eastAsia="en-GB"/>
          </w:rPr>
          <w:tab/>
        </w:r>
        <w:r w:rsidRPr="005A628C">
          <w:rPr>
            <w:rStyle w:val="Hyperlink"/>
            <w:rFonts w:cstheme="minorHAnsi"/>
            <w:noProof/>
          </w:rPr>
          <w:t>Case study: fiscal problems and PPPs in Portugal and Cyprus</w:t>
        </w:r>
        <w:r>
          <w:rPr>
            <w:noProof/>
            <w:webHidden/>
          </w:rPr>
          <w:tab/>
        </w:r>
        <w:r>
          <w:rPr>
            <w:noProof/>
            <w:webHidden/>
          </w:rPr>
          <w:fldChar w:fldCharType="begin"/>
        </w:r>
        <w:r>
          <w:rPr>
            <w:noProof/>
            <w:webHidden/>
          </w:rPr>
          <w:instrText xml:space="preserve"> PAGEREF _Toc392857554 \h </w:instrText>
        </w:r>
        <w:r>
          <w:rPr>
            <w:noProof/>
            <w:webHidden/>
          </w:rPr>
        </w:r>
        <w:r>
          <w:rPr>
            <w:noProof/>
            <w:webHidden/>
          </w:rPr>
          <w:fldChar w:fldCharType="separate"/>
        </w:r>
        <w:r>
          <w:rPr>
            <w:noProof/>
            <w:webHidden/>
          </w:rPr>
          <w:t>59</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55" w:history="1">
        <w:r w:rsidRPr="005A628C">
          <w:rPr>
            <w:rStyle w:val="Hyperlink"/>
            <w:rFonts w:cstheme="minorHAnsi"/>
            <w:noProof/>
          </w:rPr>
          <w:t>7.5.</w:t>
        </w:r>
        <w:r>
          <w:rPr>
            <w:rFonts w:eastAsiaTheme="minorEastAsia"/>
            <w:smallCaps w:val="0"/>
            <w:noProof/>
            <w:szCs w:val="22"/>
            <w:lang w:eastAsia="en-GB"/>
          </w:rPr>
          <w:tab/>
        </w:r>
        <w:r w:rsidRPr="005A628C">
          <w:rPr>
            <w:rStyle w:val="Hyperlink"/>
            <w:rFonts w:cstheme="minorHAnsi"/>
            <w:noProof/>
          </w:rPr>
          <w:t>Case study: municipal funding agencies</w:t>
        </w:r>
        <w:r>
          <w:rPr>
            <w:noProof/>
            <w:webHidden/>
          </w:rPr>
          <w:tab/>
        </w:r>
        <w:r>
          <w:rPr>
            <w:noProof/>
            <w:webHidden/>
          </w:rPr>
          <w:fldChar w:fldCharType="begin"/>
        </w:r>
        <w:r>
          <w:rPr>
            <w:noProof/>
            <w:webHidden/>
          </w:rPr>
          <w:instrText xml:space="preserve"> PAGEREF _Toc392857555 \h </w:instrText>
        </w:r>
        <w:r>
          <w:rPr>
            <w:noProof/>
            <w:webHidden/>
          </w:rPr>
        </w:r>
        <w:r>
          <w:rPr>
            <w:noProof/>
            <w:webHidden/>
          </w:rPr>
          <w:fldChar w:fldCharType="separate"/>
        </w:r>
        <w:r>
          <w:rPr>
            <w:noProof/>
            <w:webHidden/>
          </w:rPr>
          <w:t>60</w:t>
        </w:r>
        <w:r>
          <w:rPr>
            <w:noProof/>
            <w:webHidden/>
          </w:rPr>
          <w:fldChar w:fldCharType="end"/>
        </w:r>
      </w:hyperlink>
    </w:p>
    <w:p w:rsidR="00FD5530" w:rsidRDefault="00FD5530">
      <w:pPr>
        <w:pStyle w:val="TOC1"/>
        <w:tabs>
          <w:tab w:val="left" w:pos="440"/>
          <w:tab w:val="right" w:leader="dot" w:pos="9628"/>
        </w:tabs>
        <w:rPr>
          <w:rFonts w:eastAsiaTheme="minorEastAsia"/>
          <w:b w:val="0"/>
          <w:bCs w:val="0"/>
          <w:caps w:val="0"/>
          <w:noProof/>
          <w:szCs w:val="22"/>
          <w:lang w:eastAsia="en-GB"/>
        </w:rPr>
      </w:pPr>
      <w:hyperlink w:anchor="_Toc392857556" w:history="1">
        <w:r w:rsidRPr="005A628C">
          <w:rPr>
            <w:rStyle w:val="Hyperlink"/>
            <w:noProof/>
          </w:rPr>
          <w:t>8.</w:t>
        </w:r>
        <w:r>
          <w:rPr>
            <w:rFonts w:eastAsiaTheme="minorEastAsia"/>
            <w:b w:val="0"/>
            <w:bCs w:val="0"/>
            <w:caps w:val="0"/>
            <w:noProof/>
            <w:szCs w:val="22"/>
            <w:lang w:eastAsia="en-GB"/>
          </w:rPr>
          <w:tab/>
        </w:r>
        <w:r w:rsidRPr="005A628C">
          <w:rPr>
            <w:rStyle w:val="Hyperlink"/>
            <w:noProof/>
          </w:rPr>
          <w:t>Annexe: Challenging PPPs: a strategic framework</w:t>
        </w:r>
        <w:r>
          <w:rPr>
            <w:noProof/>
            <w:webHidden/>
          </w:rPr>
          <w:tab/>
        </w:r>
        <w:r>
          <w:rPr>
            <w:noProof/>
            <w:webHidden/>
          </w:rPr>
          <w:fldChar w:fldCharType="begin"/>
        </w:r>
        <w:r>
          <w:rPr>
            <w:noProof/>
            <w:webHidden/>
          </w:rPr>
          <w:instrText xml:space="preserve"> PAGEREF _Toc392857556 \h </w:instrText>
        </w:r>
        <w:r>
          <w:rPr>
            <w:noProof/>
            <w:webHidden/>
          </w:rPr>
        </w:r>
        <w:r>
          <w:rPr>
            <w:noProof/>
            <w:webHidden/>
          </w:rPr>
          <w:fldChar w:fldCharType="separate"/>
        </w:r>
        <w:r>
          <w:rPr>
            <w:noProof/>
            <w:webHidden/>
          </w:rPr>
          <w:t>62</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57" w:history="1">
        <w:r w:rsidRPr="005A628C">
          <w:rPr>
            <w:rStyle w:val="Hyperlink"/>
            <w:noProof/>
          </w:rPr>
          <w:t>8.1.</w:t>
        </w:r>
        <w:r>
          <w:rPr>
            <w:rFonts w:eastAsiaTheme="minorEastAsia"/>
            <w:smallCaps w:val="0"/>
            <w:noProof/>
            <w:szCs w:val="22"/>
            <w:lang w:eastAsia="en-GB"/>
          </w:rPr>
          <w:tab/>
        </w:r>
        <w:r w:rsidRPr="005A628C">
          <w:rPr>
            <w:rStyle w:val="Hyperlink"/>
            <w:noProof/>
          </w:rPr>
          <w:t>Challenging the case for PPPs</w:t>
        </w:r>
        <w:r>
          <w:rPr>
            <w:noProof/>
            <w:webHidden/>
          </w:rPr>
          <w:tab/>
        </w:r>
        <w:r>
          <w:rPr>
            <w:noProof/>
            <w:webHidden/>
          </w:rPr>
          <w:fldChar w:fldCharType="begin"/>
        </w:r>
        <w:r>
          <w:rPr>
            <w:noProof/>
            <w:webHidden/>
          </w:rPr>
          <w:instrText xml:space="preserve"> PAGEREF _Toc392857557 \h </w:instrText>
        </w:r>
        <w:r>
          <w:rPr>
            <w:noProof/>
            <w:webHidden/>
          </w:rPr>
        </w:r>
        <w:r>
          <w:rPr>
            <w:noProof/>
            <w:webHidden/>
          </w:rPr>
          <w:fldChar w:fldCharType="separate"/>
        </w:r>
        <w:r>
          <w:rPr>
            <w:noProof/>
            <w:webHidden/>
          </w:rPr>
          <w:t>62</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58" w:history="1">
        <w:r w:rsidRPr="005A628C">
          <w:rPr>
            <w:rStyle w:val="Hyperlink"/>
            <w:rFonts w:cstheme="minorHAnsi"/>
            <w:noProof/>
          </w:rPr>
          <w:t>8.2.</w:t>
        </w:r>
        <w:r>
          <w:rPr>
            <w:rFonts w:eastAsiaTheme="minorEastAsia"/>
            <w:smallCaps w:val="0"/>
            <w:noProof/>
            <w:szCs w:val="22"/>
            <w:lang w:eastAsia="en-GB"/>
          </w:rPr>
          <w:tab/>
        </w:r>
        <w:r w:rsidRPr="005A628C">
          <w:rPr>
            <w:rStyle w:val="Hyperlink"/>
            <w:rFonts w:cstheme="minorHAnsi"/>
            <w:noProof/>
          </w:rPr>
          <w:t>Challenging the projects</w:t>
        </w:r>
        <w:r>
          <w:rPr>
            <w:noProof/>
            <w:webHidden/>
          </w:rPr>
          <w:tab/>
        </w:r>
        <w:r>
          <w:rPr>
            <w:noProof/>
            <w:webHidden/>
          </w:rPr>
          <w:fldChar w:fldCharType="begin"/>
        </w:r>
        <w:r>
          <w:rPr>
            <w:noProof/>
            <w:webHidden/>
          </w:rPr>
          <w:instrText xml:space="preserve"> PAGEREF _Toc392857558 \h </w:instrText>
        </w:r>
        <w:r>
          <w:rPr>
            <w:noProof/>
            <w:webHidden/>
          </w:rPr>
        </w:r>
        <w:r>
          <w:rPr>
            <w:noProof/>
            <w:webHidden/>
          </w:rPr>
          <w:fldChar w:fldCharType="separate"/>
        </w:r>
        <w:r>
          <w:rPr>
            <w:noProof/>
            <w:webHidden/>
          </w:rPr>
          <w:t>64</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59" w:history="1">
        <w:r w:rsidRPr="005A628C">
          <w:rPr>
            <w:rStyle w:val="Hyperlink"/>
            <w:rFonts w:cstheme="minorHAnsi"/>
            <w:noProof/>
          </w:rPr>
          <w:t>8.3.</w:t>
        </w:r>
        <w:r>
          <w:rPr>
            <w:rFonts w:eastAsiaTheme="minorEastAsia"/>
            <w:smallCaps w:val="0"/>
            <w:noProof/>
            <w:szCs w:val="22"/>
            <w:lang w:eastAsia="en-GB"/>
          </w:rPr>
          <w:tab/>
        </w:r>
        <w:r w:rsidRPr="005A628C">
          <w:rPr>
            <w:rStyle w:val="Hyperlink"/>
            <w:rFonts w:cstheme="minorHAnsi"/>
            <w:noProof/>
          </w:rPr>
          <w:t>Challenging the operation of PPPs</w:t>
        </w:r>
        <w:r>
          <w:rPr>
            <w:noProof/>
            <w:webHidden/>
          </w:rPr>
          <w:tab/>
        </w:r>
        <w:r>
          <w:rPr>
            <w:noProof/>
            <w:webHidden/>
          </w:rPr>
          <w:fldChar w:fldCharType="begin"/>
        </w:r>
        <w:r>
          <w:rPr>
            <w:noProof/>
            <w:webHidden/>
          </w:rPr>
          <w:instrText xml:space="preserve"> PAGEREF _Toc392857559 \h </w:instrText>
        </w:r>
        <w:r>
          <w:rPr>
            <w:noProof/>
            <w:webHidden/>
          </w:rPr>
        </w:r>
        <w:r>
          <w:rPr>
            <w:noProof/>
            <w:webHidden/>
          </w:rPr>
          <w:fldChar w:fldCharType="separate"/>
        </w:r>
        <w:r>
          <w:rPr>
            <w:noProof/>
            <w:webHidden/>
          </w:rPr>
          <w:t>66</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60" w:history="1">
        <w:r w:rsidRPr="005A628C">
          <w:rPr>
            <w:rStyle w:val="Hyperlink"/>
            <w:rFonts w:cstheme="minorHAnsi"/>
            <w:noProof/>
          </w:rPr>
          <w:t>8.4.</w:t>
        </w:r>
        <w:r>
          <w:rPr>
            <w:rFonts w:eastAsiaTheme="minorEastAsia"/>
            <w:smallCaps w:val="0"/>
            <w:noProof/>
            <w:szCs w:val="22"/>
            <w:lang w:eastAsia="en-GB"/>
          </w:rPr>
          <w:tab/>
        </w:r>
        <w:r w:rsidRPr="005A628C">
          <w:rPr>
            <w:rStyle w:val="Hyperlink"/>
            <w:rFonts w:cstheme="minorHAnsi"/>
            <w:noProof/>
          </w:rPr>
          <w:t>Ask a child</w:t>
        </w:r>
        <w:r>
          <w:rPr>
            <w:noProof/>
            <w:webHidden/>
          </w:rPr>
          <w:tab/>
        </w:r>
        <w:r>
          <w:rPr>
            <w:noProof/>
            <w:webHidden/>
          </w:rPr>
          <w:fldChar w:fldCharType="begin"/>
        </w:r>
        <w:r>
          <w:rPr>
            <w:noProof/>
            <w:webHidden/>
          </w:rPr>
          <w:instrText xml:space="preserve"> PAGEREF _Toc392857560 \h </w:instrText>
        </w:r>
        <w:r>
          <w:rPr>
            <w:noProof/>
            <w:webHidden/>
          </w:rPr>
        </w:r>
        <w:r>
          <w:rPr>
            <w:noProof/>
            <w:webHidden/>
          </w:rPr>
          <w:fldChar w:fldCharType="separate"/>
        </w:r>
        <w:r>
          <w:rPr>
            <w:noProof/>
            <w:webHidden/>
          </w:rPr>
          <w:t>68</w:t>
        </w:r>
        <w:r>
          <w:rPr>
            <w:noProof/>
            <w:webHidden/>
          </w:rPr>
          <w:fldChar w:fldCharType="end"/>
        </w:r>
      </w:hyperlink>
    </w:p>
    <w:p w:rsidR="00FD5530" w:rsidRDefault="00FD5530">
      <w:pPr>
        <w:pStyle w:val="TOC1"/>
        <w:tabs>
          <w:tab w:val="left" w:pos="440"/>
          <w:tab w:val="right" w:leader="dot" w:pos="9628"/>
        </w:tabs>
        <w:rPr>
          <w:rFonts w:eastAsiaTheme="minorEastAsia"/>
          <w:b w:val="0"/>
          <w:bCs w:val="0"/>
          <w:caps w:val="0"/>
          <w:noProof/>
          <w:szCs w:val="22"/>
          <w:lang w:eastAsia="en-GB"/>
        </w:rPr>
      </w:pPr>
      <w:hyperlink w:anchor="_Toc392857561" w:history="1">
        <w:r w:rsidRPr="005A628C">
          <w:rPr>
            <w:rStyle w:val="Hyperlink"/>
            <w:noProof/>
          </w:rPr>
          <w:t>9.</w:t>
        </w:r>
        <w:r>
          <w:rPr>
            <w:rFonts w:eastAsiaTheme="minorEastAsia"/>
            <w:b w:val="0"/>
            <w:bCs w:val="0"/>
            <w:caps w:val="0"/>
            <w:noProof/>
            <w:szCs w:val="22"/>
            <w:lang w:eastAsia="en-GB"/>
          </w:rPr>
          <w:tab/>
        </w:r>
        <w:r w:rsidRPr="005A628C">
          <w:rPr>
            <w:rStyle w:val="Hyperlink"/>
            <w:noProof/>
          </w:rPr>
          <w:t>Annexe: Pension funds and PPPs</w:t>
        </w:r>
        <w:r>
          <w:rPr>
            <w:noProof/>
            <w:webHidden/>
          </w:rPr>
          <w:tab/>
        </w:r>
        <w:r>
          <w:rPr>
            <w:noProof/>
            <w:webHidden/>
          </w:rPr>
          <w:fldChar w:fldCharType="begin"/>
        </w:r>
        <w:r>
          <w:rPr>
            <w:noProof/>
            <w:webHidden/>
          </w:rPr>
          <w:instrText xml:space="preserve"> PAGEREF _Toc392857561 \h </w:instrText>
        </w:r>
        <w:r>
          <w:rPr>
            <w:noProof/>
            <w:webHidden/>
          </w:rPr>
        </w:r>
        <w:r>
          <w:rPr>
            <w:noProof/>
            <w:webHidden/>
          </w:rPr>
          <w:fldChar w:fldCharType="separate"/>
        </w:r>
        <w:r>
          <w:rPr>
            <w:noProof/>
            <w:webHidden/>
          </w:rPr>
          <w:t>69</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62" w:history="1">
        <w:r w:rsidRPr="005A628C">
          <w:rPr>
            <w:rStyle w:val="Hyperlink"/>
            <w:noProof/>
          </w:rPr>
          <w:t>9.1.</w:t>
        </w:r>
        <w:r>
          <w:rPr>
            <w:rFonts w:eastAsiaTheme="minorEastAsia"/>
            <w:smallCaps w:val="0"/>
            <w:noProof/>
            <w:szCs w:val="22"/>
            <w:lang w:eastAsia="en-GB"/>
          </w:rPr>
          <w:tab/>
        </w:r>
        <w:r w:rsidRPr="005A628C">
          <w:rPr>
            <w:rStyle w:val="Hyperlink"/>
            <w:noProof/>
          </w:rPr>
          <w:t>Pressures for pension funds to invest in PPPs</w:t>
        </w:r>
        <w:r>
          <w:rPr>
            <w:noProof/>
            <w:webHidden/>
          </w:rPr>
          <w:tab/>
        </w:r>
        <w:r>
          <w:rPr>
            <w:noProof/>
            <w:webHidden/>
          </w:rPr>
          <w:fldChar w:fldCharType="begin"/>
        </w:r>
        <w:r>
          <w:rPr>
            <w:noProof/>
            <w:webHidden/>
          </w:rPr>
          <w:instrText xml:space="preserve"> PAGEREF _Toc392857562 \h </w:instrText>
        </w:r>
        <w:r>
          <w:rPr>
            <w:noProof/>
            <w:webHidden/>
          </w:rPr>
        </w:r>
        <w:r>
          <w:rPr>
            <w:noProof/>
            <w:webHidden/>
          </w:rPr>
          <w:fldChar w:fldCharType="separate"/>
        </w:r>
        <w:r>
          <w:rPr>
            <w:noProof/>
            <w:webHidden/>
          </w:rPr>
          <w:t>69</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63" w:history="1">
        <w:r w:rsidRPr="005A628C">
          <w:rPr>
            <w:rStyle w:val="Hyperlink"/>
            <w:rFonts w:cstheme="minorHAnsi"/>
            <w:noProof/>
          </w:rPr>
          <w:t>9.2.</w:t>
        </w:r>
        <w:r>
          <w:rPr>
            <w:rFonts w:eastAsiaTheme="minorEastAsia"/>
            <w:smallCaps w:val="0"/>
            <w:noProof/>
            <w:szCs w:val="22"/>
            <w:lang w:eastAsia="en-GB"/>
          </w:rPr>
          <w:tab/>
        </w:r>
        <w:r w:rsidRPr="005A628C">
          <w:rPr>
            <w:rStyle w:val="Hyperlink"/>
            <w:rFonts w:cstheme="minorHAnsi"/>
            <w:noProof/>
          </w:rPr>
          <w:t>Few pension funds invest directly in PPPs</w:t>
        </w:r>
        <w:r>
          <w:rPr>
            <w:noProof/>
            <w:webHidden/>
          </w:rPr>
          <w:tab/>
        </w:r>
        <w:r>
          <w:rPr>
            <w:noProof/>
            <w:webHidden/>
          </w:rPr>
          <w:fldChar w:fldCharType="begin"/>
        </w:r>
        <w:r>
          <w:rPr>
            <w:noProof/>
            <w:webHidden/>
          </w:rPr>
          <w:instrText xml:space="preserve"> PAGEREF _Toc392857563 \h </w:instrText>
        </w:r>
        <w:r>
          <w:rPr>
            <w:noProof/>
            <w:webHidden/>
          </w:rPr>
        </w:r>
        <w:r>
          <w:rPr>
            <w:noProof/>
            <w:webHidden/>
          </w:rPr>
          <w:fldChar w:fldCharType="separate"/>
        </w:r>
        <w:r>
          <w:rPr>
            <w:noProof/>
            <w:webHidden/>
          </w:rPr>
          <w:t>69</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64" w:history="1">
        <w:r w:rsidRPr="005A628C">
          <w:rPr>
            <w:rStyle w:val="Hyperlink"/>
            <w:rFonts w:cstheme="minorHAnsi"/>
            <w:noProof/>
          </w:rPr>
          <w:t>9.3.</w:t>
        </w:r>
        <w:r>
          <w:rPr>
            <w:rFonts w:eastAsiaTheme="minorEastAsia"/>
            <w:smallCaps w:val="0"/>
            <w:noProof/>
            <w:szCs w:val="22"/>
            <w:lang w:eastAsia="en-GB"/>
          </w:rPr>
          <w:tab/>
        </w:r>
        <w:r w:rsidRPr="005A628C">
          <w:rPr>
            <w:rStyle w:val="Hyperlink"/>
            <w:rFonts w:cstheme="minorHAnsi"/>
            <w:noProof/>
          </w:rPr>
          <w:t>Uncertainty of indirect investments in other funds</w:t>
        </w:r>
        <w:r>
          <w:rPr>
            <w:noProof/>
            <w:webHidden/>
          </w:rPr>
          <w:tab/>
        </w:r>
        <w:r>
          <w:rPr>
            <w:noProof/>
            <w:webHidden/>
          </w:rPr>
          <w:fldChar w:fldCharType="begin"/>
        </w:r>
        <w:r>
          <w:rPr>
            <w:noProof/>
            <w:webHidden/>
          </w:rPr>
          <w:instrText xml:space="preserve"> PAGEREF _Toc392857564 \h </w:instrText>
        </w:r>
        <w:r>
          <w:rPr>
            <w:noProof/>
            <w:webHidden/>
          </w:rPr>
        </w:r>
        <w:r>
          <w:rPr>
            <w:noProof/>
            <w:webHidden/>
          </w:rPr>
          <w:fldChar w:fldCharType="separate"/>
        </w:r>
        <w:r>
          <w:rPr>
            <w:noProof/>
            <w:webHidden/>
          </w:rPr>
          <w:t>69</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65" w:history="1">
        <w:r w:rsidRPr="005A628C">
          <w:rPr>
            <w:rStyle w:val="Hyperlink"/>
            <w:rFonts w:cstheme="minorHAnsi"/>
            <w:noProof/>
          </w:rPr>
          <w:t>9.4.</w:t>
        </w:r>
        <w:r>
          <w:rPr>
            <w:rFonts w:eastAsiaTheme="minorEastAsia"/>
            <w:smallCaps w:val="0"/>
            <w:noProof/>
            <w:szCs w:val="22"/>
            <w:lang w:eastAsia="en-GB"/>
          </w:rPr>
          <w:tab/>
        </w:r>
        <w:r w:rsidRPr="005A628C">
          <w:rPr>
            <w:rStyle w:val="Hyperlink"/>
            <w:rFonts w:cstheme="minorHAnsi"/>
            <w:noProof/>
          </w:rPr>
          <w:t>Pension fund concerns about investing in PPPs</w:t>
        </w:r>
        <w:r>
          <w:rPr>
            <w:noProof/>
            <w:webHidden/>
          </w:rPr>
          <w:tab/>
        </w:r>
        <w:r>
          <w:rPr>
            <w:noProof/>
            <w:webHidden/>
          </w:rPr>
          <w:fldChar w:fldCharType="begin"/>
        </w:r>
        <w:r>
          <w:rPr>
            <w:noProof/>
            <w:webHidden/>
          </w:rPr>
          <w:instrText xml:space="preserve"> PAGEREF _Toc392857565 \h </w:instrText>
        </w:r>
        <w:r>
          <w:rPr>
            <w:noProof/>
            <w:webHidden/>
          </w:rPr>
        </w:r>
        <w:r>
          <w:rPr>
            <w:noProof/>
            <w:webHidden/>
          </w:rPr>
          <w:fldChar w:fldCharType="separate"/>
        </w:r>
        <w:r>
          <w:rPr>
            <w:noProof/>
            <w:webHidden/>
          </w:rPr>
          <w:t>69</w:t>
        </w:r>
        <w:r>
          <w:rPr>
            <w:noProof/>
            <w:webHidden/>
          </w:rPr>
          <w:fldChar w:fldCharType="end"/>
        </w:r>
      </w:hyperlink>
    </w:p>
    <w:p w:rsidR="00FD5530" w:rsidRDefault="00FD5530">
      <w:pPr>
        <w:pStyle w:val="TOC2"/>
        <w:tabs>
          <w:tab w:val="left" w:pos="880"/>
          <w:tab w:val="right" w:leader="dot" w:pos="9628"/>
        </w:tabs>
        <w:rPr>
          <w:rFonts w:eastAsiaTheme="minorEastAsia"/>
          <w:smallCaps w:val="0"/>
          <w:noProof/>
          <w:szCs w:val="22"/>
          <w:lang w:eastAsia="en-GB"/>
        </w:rPr>
      </w:pPr>
      <w:hyperlink w:anchor="_Toc392857566" w:history="1">
        <w:r w:rsidRPr="005A628C">
          <w:rPr>
            <w:rStyle w:val="Hyperlink"/>
            <w:rFonts w:cstheme="minorHAnsi"/>
            <w:noProof/>
          </w:rPr>
          <w:t>9.5.</w:t>
        </w:r>
        <w:r>
          <w:rPr>
            <w:rFonts w:eastAsiaTheme="minorEastAsia"/>
            <w:smallCaps w:val="0"/>
            <w:noProof/>
            <w:szCs w:val="22"/>
            <w:lang w:eastAsia="en-GB"/>
          </w:rPr>
          <w:tab/>
        </w:r>
        <w:r w:rsidRPr="005A628C">
          <w:rPr>
            <w:rStyle w:val="Hyperlink"/>
            <w:rFonts w:cstheme="minorHAnsi"/>
            <w:noProof/>
          </w:rPr>
          <w:t>Wider social impact of investing in PPPs</w:t>
        </w:r>
        <w:r>
          <w:rPr>
            <w:noProof/>
            <w:webHidden/>
          </w:rPr>
          <w:tab/>
        </w:r>
        <w:r>
          <w:rPr>
            <w:noProof/>
            <w:webHidden/>
          </w:rPr>
          <w:fldChar w:fldCharType="begin"/>
        </w:r>
        <w:r>
          <w:rPr>
            <w:noProof/>
            <w:webHidden/>
          </w:rPr>
          <w:instrText xml:space="preserve"> PAGEREF _Toc392857566 \h </w:instrText>
        </w:r>
        <w:r>
          <w:rPr>
            <w:noProof/>
            <w:webHidden/>
          </w:rPr>
        </w:r>
        <w:r>
          <w:rPr>
            <w:noProof/>
            <w:webHidden/>
          </w:rPr>
          <w:fldChar w:fldCharType="separate"/>
        </w:r>
        <w:r>
          <w:rPr>
            <w:noProof/>
            <w:webHidden/>
          </w:rPr>
          <w:t>70</w:t>
        </w:r>
        <w:r>
          <w:rPr>
            <w:noProof/>
            <w:webHidden/>
          </w:rPr>
          <w:fldChar w:fldCharType="end"/>
        </w:r>
      </w:hyperlink>
    </w:p>
    <w:p w:rsidR="00FD5530" w:rsidRDefault="00FD5530">
      <w:pPr>
        <w:pStyle w:val="TOC1"/>
        <w:tabs>
          <w:tab w:val="left" w:pos="660"/>
          <w:tab w:val="right" w:leader="dot" w:pos="9628"/>
        </w:tabs>
        <w:rPr>
          <w:rFonts w:eastAsiaTheme="minorEastAsia"/>
          <w:b w:val="0"/>
          <w:bCs w:val="0"/>
          <w:caps w:val="0"/>
          <w:noProof/>
          <w:szCs w:val="22"/>
          <w:lang w:eastAsia="en-GB"/>
        </w:rPr>
      </w:pPr>
      <w:hyperlink w:anchor="_Toc392857567" w:history="1">
        <w:r w:rsidRPr="005A628C">
          <w:rPr>
            <w:rStyle w:val="Hyperlink"/>
            <w:noProof/>
          </w:rPr>
          <w:t>10.</w:t>
        </w:r>
        <w:r>
          <w:rPr>
            <w:rFonts w:eastAsiaTheme="minorEastAsia"/>
            <w:b w:val="0"/>
            <w:bCs w:val="0"/>
            <w:caps w:val="0"/>
            <w:noProof/>
            <w:szCs w:val="22"/>
            <w:lang w:eastAsia="en-GB"/>
          </w:rPr>
          <w:tab/>
        </w:r>
        <w:r w:rsidRPr="005A628C">
          <w:rPr>
            <w:rStyle w:val="Hyperlink"/>
            <w:noProof/>
          </w:rPr>
          <w:t>Annexe: OECD and World Bank Institute on governance and disclosure</w:t>
        </w:r>
        <w:r>
          <w:rPr>
            <w:noProof/>
            <w:webHidden/>
          </w:rPr>
          <w:tab/>
        </w:r>
        <w:r>
          <w:rPr>
            <w:noProof/>
            <w:webHidden/>
          </w:rPr>
          <w:fldChar w:fldCharType="begin"/>
        </w:r>
        <w:r>
          <w:rPr>
            <w:noProof/>
            <w:webHidden/>
          </w:rPr>
          <w:instrText xml:space="preserve"> PAGEREF _Toc392857567 \h </w:instrText>
        </w:r>
        <w:r>
          <w:rPr>
            <w:noProof/>
            <w:webHidden/>
          </w:rPr>
        </w:r>
        <w:r>
          <w:rPr>
            <w:noProof/>
            <w:webHidden/>
          </w:rPr>
          <w:fldChar w:fldCharType="separate"/>
        </w:r>
        <w:r>
          <w:rPr>
            <w:noProof/>
            <w:webHidden/>
          </w:rPr>
          <w:t>70</w:t>
        </w:r>
        <w:r>
          <w:rPr>
            <w:noProof/>
            <w:webHidden/>
          </w:rPr>
          <w:fldChar w:fldCharType="end"/>
        </w:r>
      </w:hyperlink>
    </w:p>
    <w:p w:rsidR="00FD5530" w:rsidRDefault="00FD5530">
      <w:pPr>
        <w:pStyle w:val="TOC2"/>
        <w:tabs>
          <w:tab w:val="left" w:pos="1100"/>
          <w:tab w:val="right" w:leader="dot" w:pos="9628"/>
        </w:tabs>
        <w:rPr>
          <w:rFonts w:eastAsiaTheme="minorEastAsia"/>
          <w:smallCaps w:val="0"/>
          <w:noProof/>
          <w:szCs w:val="22"/>
          <w:lang w:eastAsia="en-GB"/>
        </w:rPr>
      </w:pPr>
      <w:hyperlink w:anchor="_Toc392857568" w:history="1">
        <w:r w:rsidRPr="005A628C">
          <w:rPr>
            <w:rStyle w:val="Hyperlink"/>
            <w:noProof/>
          </w:rPr>
          <w:t>10.1.</w:t>
        </w:r>
        <w:r>
          <w:rPr>
            <w:rFonts w:eastAsiaTheme="minorEastAsia"/>
            <w:smallCaps w:val="0"/>
            <w:noProof/>
            <w:szCs w:val="22"/>
            <w:lang w:eastAsia="en-GB"/>
          </w:rPr>
          <w:tab/>
        </w:r>
        <w:r w:rsidRPr="005A628C">
          <w:rPr>
            <w:rStyle w:val="Hyperlink"/>
            <w:noProof/>
          </w:rPr>
          <w:t>OECD Principles for governance of PPP projects</w:t>
        </w:r>
        <w:r>
          <w:rPr>
            <w:noProof/>
            <w:webHidden/>
          </w:rPr>
          <w:tab/>
        </w:r>
        <w:r>
          <w:rPr>
            <w:noProof/>
            <w:webHidden/>
          </w:rPr>
          <w:fldChar w:fldCharType="begin"/>
        </w:r>
        <w:r>
          <w:rPr>
            <w:noProof/>
            <w:webHidden/>
          </w:rPr>
          <w:instrText xml:space="preserve"> PAGEREF _Toc392857568 \h </w:instrText>
        </w:r>
        <w:r>
          <w:rPr>
            <w:noProof/>
            <w:webHidden/>
          </w:rPr>
        </w:r>
        <w:r>
          <w:rPr>
            <w:noProof/>
            <w:webHidden/>
          </w:rPr>
          <w:fldChar w:fldCharType="separate"/>
        </w:r>
        <w:r>
          <w:rPr>
            <w:noProof/>
            <w:webHidden/>
          </w:rPr>
          <w:t>70</w:t>
        </w:r>
        <w:r>
          <w:rPr>
            <w:noProof/>
            <w:webHidden/>
          </w:rPr>
          <w:fldChar w:fldCharType="end"/>
        </w:r>
      </w:hyperlink>
    </w:p>
    <w:p w:rsidR="00FD5530" w:rsidRDefault="00FD5530">
      <w:pPr>
        <w:pStyle w:val="TOC2"/>
        <w:tabs>
          <w:tab w:val="left" w:pos="1100"/>
          <w:tab w:val="right" w:leader="dot" w:pos="9628"/>
        </w:tabs>
        <w:rPr>
          <w:rFonts w:eastAsiaTheme="minorEastAsia"/>
          <w:smallCaps w:val="0"/>
          <w:noProof/>
          <w:szCs w:val="22"/>
          <w:lang w:eastAsia="en-GB"/>
        </w:rPr>
      </w:pPr>
      <w:hyperlink w:anchor="_Toc392857569" w:history="1">
        <w:r w:rsidRPr="005A628C">
          <w:rPr>
            <w:rStyle w:val="Hyperlink"/>
            <w:rFonts w:cstheme="minorHAnsi"/>
            <w:noProof/>
          </w:rPr>
          <w:t>10.2.</w:t>
        </w:r>
        <w:r>
          <w:rPr>
            <w:rFonts w:eastAsiaTheme="minorEastAsia"/>
            <w:smallCaps w:val="0"/>
            <w:noProof/>
            <w:szCs w:val="22"/>
            <w:lang w:eastAsia="en-GB"/>
          </w:rPr>
          <w:tab/>
        </w:r>
        <w:r w:rsidRPr="005A628C">
          <w:rPr>
            <w:rStyle w:val="Hyperlink"/>
            <w:rFonts w:cstheme="minorHAnsi"/>
            <w:noProof/>
          </w:rPr>
          <w:t>World Bank Institute</w:t>
        </w:r>
        <w:r>
          <w:rPr>
            <w:noProof/>
            <w:webHidden/>
          </w:rPr>
          <w:tab/>
        </w:r>
        <w:r>
          <w:rPr>
            <w:noProof/>
            <w:webHidden/>
          </w:rPr>
          <w:fldChar w:fldCharType="begin"/>
        </w:r>
        <w:r>
          <w:rPr>
            <w:noProof/>
            <w:webHidden/>
          </w:rPr>
          <w:instrText xml:space="preserve"> PAGEREF _Toc392857569 \h </w:instrText>
        </w:r>
        <w:r>
          <w:rPr>
            <w:noProof/>
            <w:webHidden/>
          </w:rPr>
        </w:r>
        <w:r>
          <w:rPr>
            <w:noProof/>
            <w:webHidden/>
          </w:rPr>
          <w:fldChar w:fldCharType="separate"/>
        </w:r>
        <w:r>
          <w:rPr>
            <w:noProof/>
            <w:webHidden/>
          </w:rPr>
          <w:t>72</w:t>
        </w:r>
        <w:r>
          <w:rPr>
            <w:noProof/>
            <w:webHidden/>
          </w:rPr>
          <w:fldChar w:fldCharType="end"/>
        </w:r>
      </w:hyperlink>
    </w:p>
    <w:p w:rsidR="00FD5530" w:rsidRDefault="00FD5530">
      <w:pPr>
        <w:pStyle w:val="TOC1"/>
        <w:tabs>
          <w:tab w:val="right" w:leader="dot" w:pos="9628"/>
        </w:tabs>
        <w:rPr>
          <w:rFonts w:eastAsiaTheme="minorEastAsia"/>
          <w:b w:val="0"/>
          <w:bCs w:val="0"/>
          <w:caps w:val="0"/>
          <w:noProof/>
          <w:szCs w:val="22"/>
          <w:lang w:eastAsia="en-GB"/>
        </w:rPr>
      </w:pPr>
      <w:hyperlink w:anchor="_Toc392857570" w:history="1">
        <w:r w:rsidRPr="005A628C">
          <w:rPr>
            <w:rStyle w:val="Hyperlink"/>
            <w:noProof/>
          </w:rPr>
          <w:t>Notes</w:t>
        </w:r>
        <w:r>
          <w:rPr>
            <w:noProof/>
            <w:webHidden/>
          </w:rPr>
          <w:tab/>
        </w:r>
        <w:r>
          <w:rPr>
            <w:noProof/>
            <w:webHidden/>
          </w:rPr>
          <w:fldChar w:fldCharType="begin"/>
        </w:r>
        <w:r>
          <w:rPr>
            <w:noProof/>
            <w:webHidden/>
          </w:rPr>
          <w:instrText xml:space="preserve"> PAGEREF _Toc392857570 \h </w:instrText>
        </w:r>
        <w:r>
          <w:rPr>
            <w:noProof/>
            <w:webHidden/>
          </w:rPr>
        </w:r>
        <w:r>
          <w:rPr>
            <w:noProof/>
            <w:webHidden/>
          </w:rPr>
          <w:fldChar w:fldCharType="separate"/>
        </w:r>
        <w:r>
          <w:rPr>
            <w:noProof/>
            <w:webHidden/>
          </w:rPr>
          <w:t>74</w:t>
        </w:r>
        <w:r>
          <w:rPr>
            <w:noProof/>
            <w:webHidden/>
          </w:rPr>
          <w:fldChar w:fldCharType="end"/>
        </w:r>
      </w:hyperlink>
    </w:p>
    <w:p w:rsidR="005D08F6" w:rsidRPr="00216A71" w:rsidRDefault="006A6550" w:rsidP="007D4B2F">
      <w:pPr>
        <w:rPr>
          <w:rFonts w:cstheme="minorHAnsi"/>
          <w:szCs w:val="20"/>
        </w:rPr>
      </w:pPr>
      <w:r w:rsidRPr="00216A71">
        <w:rPr>
          <w:rFonts w:cstheme="minorHAnsi"/>
          <w:szCs w:val="20"/>
        </w:rPr>
        <w:fldChar w:fldCharType="end"/>
      </w:r>
    </w:p>
    <w:p w:rsidR="00191F44" w:rsidRDefault="00191F44">
      <w:pPr>
        <w:rPr>
          <w:rFonts w:cstheme="minorHAnsi"/>
          <w:b/>
          <w:bCs/>
          <w:caps/>
          <w:szCs w:val="20"/>
        </w:rPr>
      </w:pPr>
      <w:r>
        <w:rPr>
          <w:rFonts w:cstheme="minorHAnsi"/>
        </w:rPr>
        <w:br w:type="page"/>
      </w:r>
    </w:p>
    <w:p w:rsidR="000C629A" w:rsidRPr="00CE1FBB" w:rsidRDefault="00C575E1" w:rsidP="00CE1FBB">
      <w:pPr>
        <w:pStyle w:val="Heading1"/>
      </w:pPr>
      <w:bookmarkStart w:id="1" w:name="_Toc392857517"/>
      <w:r w:rsidRPr="00CE1FBB">
        <w:lastRenderedPageBreak/>
        <w:t>Summary</w:t>
      </w:r>
      <w:bookmarkEnd w:id="1"/>
    </w:p>
    <w:p w:rsidR="00746749" w:rsidRPr="00216A71" w:rsidRDefault="00746749" w:rsidP="00746749">
      <w:pPr>
        <w:rPr>
          <w:rFonts w:cstheme="minorHAnsi"/>
          <w:szCs w:val="20"/>
        </w:rPr>
      </w:pPr>
      <w:r w:rsidRPr="00216A71">
        <w:rPr>
          <w:rFonts w:cstheme="minorHAnsi"/>
          <w:szCs w:val="20"/>
        </w:rPr>
        <w:t>A public-private partnership (PPP) is a contract between government and a private company under which:</w:t>
      </w:r>
    </w:p>
    <w:p w:rsidR="00746749" w:rsidRPr="00216A71" w:rsidRDefault="00CE1FBB" w:rsidP="00781FBC">
      <w:pPr>
        <w:numPr>
          <w:ilvl w:val="0"/>
          <w:numId w:val="44"/>
        </w:numPr>
        <w:rPr>
          <w:rFonts w:cstheme="minorHAnsi"/>
          <w:szCs w:val="20"/>
        </w:rPr>
      </w:pPr>
      <w:r>
        <w:rPr>
          <w:rFonts w:cstheme="minorHAnsi"/>
          <w:szCs w:val="20"/>
        </w:rPr>
        <w:t>A</w:t>
      </w:r>
      <w:r w:rsidR="00746749" w:rsidRPr="00216A71">
        <w:rPr>
          <w:rFonts w:cstheme="minorHAnsi"/>
          <w:szCs w:val="20"/>
        </w:rPr>
        <w:t xml:space="preserve"> private company finances, builds, and operates some element of a public service; and </w:t>
      </w:r>
    </w:p>
    <w:p w:rsidR="000C629A" w:rsidRDefault="00CE1FBB" w:rsidP="00781FBC">
      <w:pPr>
        <w:numPr>
          <w:ilvl w:val="0"/>
          <w:numId w:val="44"/>
        </w:numPr>
        <w:rPr>
          <w:rFonts w:cstheme="minorHAnsi"/>
          <w:szCs w:val="20"/>
        </w:rPr>
      </w:pPr>
      <w:r>
        <w:rPr>
          <w:rFonts w:cstheme="minorHAnsi"/>
          <w:szCs w:val="20"/>
        </w:rPr>
        <w:t>T</w:t>
      </w:r>
      <w:r w:rsidR="00746749" w:rsidRPr="00216A71">
        <w:rPr>
          <w:rFonts w:cstheme="minorHAnsi"/>
          <w:szCs w:val="20"/>
        </w:rPr>
        <w:t>he private company gets paid over a number of years, either through charges paid by users, or by payments from the public authority, or a combination of both.</w:t>
      </w:r>
      <w:r w:rsidR="004045AD">
        <w:rPr>
          <w:rFonts w:cstheme="minorHAnsi"/>
          <w:szCs w:val="20"/>
        </w:rPr>
        <w:t xml:space="preserve"> </w:t>
      </w:r>
    </w:p>
    <w:p w:rsidR="000C629A" w:rsidRDefault="002435BE" w:rsidP="002435BE">
      <w:pPr>
        <w:rPr>
          <w:rFonts w:cstheme="minorHAnsi"/>
          <w:szCs w:val="20"/>
        </w:rPr>
      </w:pPr>
      <w:r w:rsidRPr="00216A71">
        <w:rPr>
          <w:rFonts w:cstheme="minorHAnsi"/>
          <w:szCs w:val="20"/>
        </w:rPr>
        <w:t xml:space="preserve">PPPs are now being promoted worldwide by global institutions and consultants. </w:t>
      </w:r>
      <w:r w:rsidR="00DC419A" w:rsidRPr="00216A71">
        <w:rPr>
          <w:rFonts w:cstheme="minorHAnsi"/>
          <w:szCs w:val="20"/>
        </w:rPr>
        <w:t>Development banks, n</w:t>
      </w:r>
      <w:r w:rsidRPr="00216A71">
        <w:rPr>
          <w:rFonts w:cstheme="minorHAnsi"/>
          <w:szCs w:val="20"/>
        </w:rPr>
        <w:t xml:space="preserve">ational governments, the EU and </w:t>
      </w:r>
      <w:r w:rsidR="00DC419A" w:rsidRPr="00216A71">
        <w:rPr>
          <w:rFonts w:cstheme="minorHAnsi"/>
          <w:szCs w:val="20"/>
        </w:rPr>
        <w:t>donor</w:t>
      </w:r>
      <w:r w:rsidRPr="00216A71">
        <w:rPr>
          <w:rFonts w:cstheme="minorHAnsi"/>
          <w:szCs w:val="20"/>
        </w:rPr>
        <w:t xml:space="preserve"> agencies are providing subsidised public finance</w:t>
      </w:r>
      <w:r w:rsidR="00DC419A" w:rsidRPr="00216A71">
        <w:rPr>
          <w:rFonts w:cstheme="minorHAnsi"/>
          <w:szCs w:val="20"/>
        </w:rPr>
        <w:t xml:space="preserve"> specifically for PPPs. </w:t>
      </w:r>
      <w:r w:rsidRPr="00216A71">
        <w:rPr>
          <w:rFonts w:cstheme="minorHAnsi"/>
          <w:szCs w:val="20"/>
        </w:rPr>
        <w:t>Countries subject to IMF regimes, and other developing countries, are being subject</w:t>
      </w:r>
      <w:r w:rsidR="00CE1FBB">
        <w:rPr>
          <w:rFonts w:cstheme="minorHAnsi"/>
          <w:szCs w:val="20"/>
        </w:rPr>
        <w:t>ed</w:t>
      </w:r>
      <w:r w:rsidRPr="00216A71">
        <w:rPr>
          <w:rFonts w:cstheme="minorHAnsi"/>
          <w:szCs w:val="20"/>
        </w:rPr>
        <w:t xml:space="preserve"> to political pressures and marketing campaigns. </w:t>
      </w:r>
    </w:p>
    <w:p w:rsidR="000C629A" w:rsidRDefault="002435BE" w:rsidP="009A3B34">
      <w:pPr>
        <w:rPr>
          <w:rFonts w:cstheme="minorHAnsi"/>
          <w:szCs w:val="20"/>
        </w:rPr>
      </w:pPr>
      <w:r w:rsidRPr="00216A71">
        <w:rPr>
          <w:rFonts w:cstheme="minorHAnsi"/>
          <w:szCs w:val="20"/>
        </w:rPr>
        <w:t>But experience over the last 15 years shows that PPPs are an expensive</w:t>
      </w:r>
      <w:r w:rsidR="009A3B34" w:rsidRPr="00216A71">
        <w:rPr>
          <w:rFonts w:cstheme="minorHAnsi"/>
          <w:szCs w:val="20"/>
        </w:rPr>
        <w:t xml:space="preserve"> and inefficient</w:t>
      </w:r>
      <w:r w:rsidRPr="00216A71">
        <w:rPr>
          <w:rFonts w:cstheme="minorHAnsi"/>
          <w:szCs w:val="20"/>
        </w:rPr>
        <w:t xml:space="preserve"> way of financing </w:t>
      </w:r>
      <w:r w:rsidR="009A3B34" w:rsidRPr="00216A71">
        <w:rPr>
          <w:rFonts w:cstheme="minorHAnsi"/>
          <w:szCs w:val="20"/>
        </w:rPr>
        <w:t>infrastructure</w:t>
      </w:r>
      <w:r w:rsidR="00CE1FBB">
        <w:rPr>
          <w:rFonts w:cstheme="minorHAnsi"/>
          <w:szCs w:val="20"/>
        </w:rPr>
        <w:t xml:space="preserve"> and</w:t>
      </w:r>
      <w:r w:rsidR="009A3B34" w:rsidRPr="00216A71">
        <w:rPr>
          <w:rFonts w:cstheme="minorHAnsi"/>
          <w:szCs w:val="20"/>
        </w:rPr>
        <w:t xml:space="preserve"> </w:t>
      </w:r>
      <w:r w:rsidR="00AA261E" w:rsidRPr="00216A71">
        <w:rPr>
          <w:rFonts w:cstheme="minorHAnsi"/>
          <w:szCs w:val="20"/>
        </w:rPr>
        <w:t xml:space="preserve">divert government spending away from other </w:t>
      </w:r>
      <w:r w:rsidR="009A3B34" w:rsidRPr="00216A71">
        <w:rPr>
          <w:rFonts w:cstheme="minorHAnsi"/>
          <w:szCs w:val="20"/>
        </w:rPr>
        <w:t>public services</w:t>
      </w:r>
      <w:r w:rsidR="00AA261E" w:rsidRPr="00216A71">
        <w:rPr>
          <w:rFonts w:cstheme="minorHAnsi"/>
          <w:szCs w:val="20"/>
        </w:rPr>
        <w:t>. They conceal public borrowing, while providing long-term state guarantees for profit</w:t>
      </w:r>
      <w:r w:rsidR="00CE1FBB">
        <w:rPr>
          <w:rFonts w:cstheme="minorHAnsi"/>
          <w:szCs w:val="20"/>
        </w:rPr>
        <w:t xml:space="preserve">s </w:t>
      </w:r>
      <w:r w:rsidR="00AA261E" w:rsidRPr="00216A71">
        <w:rPr>
          <w:rFonts w:cstheme="minorHAnsi"/>
          <w:szCs w:val="20"/>
        </w:rPr>
        <w:t>to private companies.</w:t>
      </w:r>
      <w:r w:rsidRPr="00216A71">
        <w:rPr>
          <w:rFonts w:cstheme="minorHAnsi"/>
          <w:szCs w:val="20"/>
        </w:rPr>
        <w:t xml:space="preserve"> </w:t>
      </w:r>
    </w:p>
    <w:p w:rsidR="00A97EF0" w:rsidRPr="00216A71" w:rsidRDefault="002435BE" w:rsidP="009A3B34">
      <w:pPr>
        <w:rPr>
          <w:rFonts w:cstheme="minorHAnsi"/>
          <w:szCs w:val="20"/>
        </w:rPr>
      </w:pPr>
      <w:r w:rsidRPr="00216A71">
        <w:rPr>
          <w:rFonts w:cstheme="minorHAnsi"/>
          <w:szCs w:val="20"/>
        </w:rPr>
        <w:t xml:space="preserve">This </w:t>
      </w:r>
      <w:r w:rsidR="00AA261E" w:rsidRPr="00216A71">
        <w:rPr>
          <w:rFonts w:cstheme="minorHAnsi"/>
          <w:szCs w:val="20"/>
        </w:rPr>
        <w:t xml:space="preserve">report </w:t>
      </w:r>
      <w:r w:rsidRPr="00216A71">
        <w:rPr>
          <w:rFonts w:cstheme="minorHAnsi"/>
          <w:szCs w:val="20"/>
        </w:rPr>
        <w:t>looks at the scale of PPPs</w:t>
      </w:r>
      <w:r w:rsidR="00666CB8" w:rsidRPr="00216A71">
        <w:rPr>
          <w:rFonts w:cstheme="minorHAnsi"/>
          <w:szCs w:val="20"/>
        </w:rPr>
        <w:t>, and</w:t>
      </w:r>
      <w:r w:rsidR="004045AD">
        <w:rPr>
          <w:rFonts w:cstheme="minorHAnsi"/>
          <w:szCs w:val="20"/>
        </w:rPr>
        <w:t xml:space="preserve"> </w:t>
      </w:r>
      <w:r w:rsidR="00E9780C" w:rsidRPr="00216A71">
        <w:rPr>
          <w:rFonts w:cstheme="minorHAnsi"/>
          <w:szCs w:val="20"/>
        </w:rPr>
        <w:t>the institutions p</w:t>
      </w:r>
      <w:r w:rsidR="00AA261E" w:rsidRPr="00216A71">
        <w:rPr>
          <w:rFonts w:cstheme="minorHAnsi"/>
          <w:szCs w:val="20"/>
        </w:rPr>
        <w:t xml:space="preserve">romoting them; </w:t>
      </w:r>
      <w:r w:rsidRPr="00216A71">
        <w:rPr>
          <w:rFonts w:cstheme="minorHAnsi"/>
          <w:szCs w:val="20"/>
        </w:rPr>
        <w:t xml:space="preserve">the </w:t>
      </w:r>
      <w:r w:rsidR="00AA261E" w:rsidRPr="00216A71">
        <w:rPr>
          <w:rFonts w:cstheme="minorHAnsi"/>
          <w:szCs w:val="20"/>
        </w:rPr>
        <w:t>lessons of experience with PPPs</w:t>
      </w:r>
      <w:r w:rsidR="009A3B34" w:rsidRPr="00216A71">
        <w:rPr>
          <w:rFonts w:cstheme="minorHAnsi"/>
          <w:szCs w:val="20"/>
        </w:rPr>
        <w:t>;</w:t>
      </w:r>
      <w:r w:rsidR="004045AD">
        <w:rPr>
          <w:rFonts w:cstheme="minorHAnsi"/>
          <w:szCs w:val="20"/>
        </w:rPr>
        <w:t xml:space="preserve"> </w:t>
      </w:r>
      <w:r w:rsidR="00CE1FBB">
        <w:rPr>
          <w:rFonts w:cstheme="minorHAnsi"/>
          <w:szCs w:val="20"/>
        </w:rPr>
        <w:t xml:space="preserve">and </w:t>
      </w:r>
      <w:r w:rsidR="00666CB8" w:rsidRPr="00216A71">
        <w:rPr>
          <w:rFonts w:cstheme="minorHAnsi"/>
          <w:szCs w:val="20"/>
        </w:rPr>
        <w:t>a process for systematic evaluation of PPPs against public sector options</w:t>
      </w:r>
      <w:r w:rsidR="00CE1FBB">
        <w:rPr>
          <w:rFonts w:cstheme="minorHAnsi"/>
          <w:szCs w:val="20"/>
        </w:rPr>
        <w:t>.</w:t>
      </w:r>
      <w:r w:rsidR="00666CB8" w:rsidRPr="00216A71">
        <w:rPr>
          <w:rFonts w:cstheme="minorHAnsi"/>
          <w:szCs w:val="20"/>
        </w:rPr>
        <w:t xml:space="preserve"> </w:t>
      </w:r>
      <w:r w:rsidR="00CE1FBB">
        <w:rPr>
          <w:rFonts w:cstheme="minorHAnsi"/>
          <w:szCs w:val="20"/>
        </w:rPr>
        <w:t xml:space="preserve">It also </w:t>
      </w:r>
      <w:r w:rsidR="00E9780C" w:rsidRPr="00216A71">
        <w:rPr>
          <w:rFonts w:cstheme="minorHAnsi"/>
          <w:szCs w:val="20"/>
        </w:rPr>
        <w:t xml:space="preserve">sets out </w:t>
      </w:r>
      <w:r w:rsidR="009A3B34" w:rsidRPr="00216A71">
        <w:rPr>
          <w:rFonts w:cstheme="minorHAnsi"/>
          <w:szCs w:val="20"/>
        </w:rPr>
        <w:t xml:space="preserve">some </w:t>
      </w:r>
      <w:r w:rsidR="00E9780C" w:rsidRPr="00216A71">
        <w:rPr>
          <w:rFonts w:cstheme="minorHAnsi"/>
          <w:szCs w:val="20"/>
        </w:rPr>
        <w:t xml:space="preserve">ways of challenging PPP </w:t>
      </w:r>
      <w:r w:rsidR="009A3B34" w:rsidRPr="00216A71">
        <w:rPr>
          <w:rFonts w:cstheme="minorHAnsi"/>
          <w:szCs w:val="20"/>
        </w:rPr>
        <w:t xml:space="preserve">policies and </w:t>
      </w:r>
      <w:r w:rsidR="00E9780C" w:rsidRPr="00216A71">
        <w:rPr>
          <w:rFonts w:cstheme="minorHAnsi"/>
          <w:szCs w:val="20"/>
        </w:rPr>
        <w:t>programmes</w:t>
      </w:r>
      <w:r w:rsidR="00666CB8" w:rsidRPr="00216A71">
        <w:rPr>
          <w:rFonts w:cstheme="minorHAnsi"/>
          <w:szCs w:val="20"/>
        </w:rPr>
        <w:t xml:space="preserve">, </w:t>
      </w:r>
      <w:r w:rsidR="00CE1FBB">
        <w:rPr>
          <w:rFonts w:cstheme="minorHAnsi"/>
          <w:szCs w:val="20"/>
        </w:rPr>
        <w:t xml:space="preserve">and offers </w:t>
      </w:r>
      <w:r w:rsidR="00666CB8" w:rsidRPr="00216A71">
        <w:rPr>
          <w:rFonts w:cstheme="minorHAnsi"/>
          <w:szCs w:val="20"/>
        </w:rPr>
        <w:t>advice to pension funds considering investing in PPPs.</w:t>
      </w:r>
    </w:p>
    <w:p w:rsidR="003B6BBC" w:rsidRPr="00216A71" w:rsidRDefault="003B6BBC" w:rsidP="00CE1FBB">
      <w:pPr>
        <w:pStyle w:val="Heading1"/>
      </w:pPr>
      <w:bookmarkStart w:id="2" w:name="_Toc392857518"/>
      <w:r w:rsidRPr="00216A71">
        <w:t>Introduction to PPPs</w:t>
      </w:r>
      <w:bookmarkEnd w:id="2"/>
    </w:p>
    <w:p w:rsidR="00E45767" w:rsidRPr="00216A71" w:rsidRDefault="00E45767" w:rsidP="001B7C02">
      <w:pPr>
        <w:pStyle w:val="Heading2"/>
        <w:rPr>
          <w:rFonts w:asciiTheme="minorHAnsi" w:hAnsiTheme="minorHAnsi" w:cstheme="minorHAnsi"/>
          <w:szCs w:val="20"/>
        </w:rPr>
      </w:pPr>
      <w:bookmarkStart w:id="3" w:name="_Toc392857519"/>
      <w:r w:rsidRPr="00216A71">
        <w:rPr>
          <w:rFonts w:asciiTheme="minorHAnsi" w:hAnsiTheme="minorHAnsi" w:cstheme="minorHAnsi"/>
          <w:szCs w:val="20"/>
        </w:rPr>
        <w:t>The invention of PPPs</w:t>
      </w:r>
      <w:r w:rsidR="007B656E" w:rsidRPr="00216A71">
        <w:rPr>
          <w:rFonts w:asciiTheme="minorHAnsi" w:hAnsiTheme="minorHAnsi" w:cstheme="minorHAnsi"/>
          <w:szCs w:val="20"/>
        </w:rPr>
        <w:t>: bending fiscal rules for private profit</w:t>
      </w:r>
      <w:bookmarkEnd w:id="3"/>
      <w:r w:rsidR="007B656E" w:rsidRPr="00216A71">
        <w:rPr>
          <w:rFonts w:asciiTheme="minorHAnsi" w:hAnsiTheme="minorHAnsi" w:cstheme="minorHAnsi"/>
          <w:szCs w:val="20"/>
        </w:rPr>
        <w:t xml:space="preserve"> </w:t>
      </w:r>
    </w:p>
    <w:p w:rsidR="00413559" w:rsidRPr="00216A71" w:rsidRDefault="00413559" w:rsidP="00CE1FBB">
      <w:pPr>
        <w:jc w:val="center"/>
        <w:rPr>
          <w:rFonts w:cstheme="minorHAnsi"/>
          <w:i/>
          <w:szCs w:val="20"/>
        </w:rPr>
      </w:pPr>
      <w:r w:rsidRPr="00216A71">
        <w:rPr>
          <w:rFonts w:cstheme="minorHAnsi"/>
          <w:i/>
          <w:szCs w:val="20"/>
        </w:rPr>
        <w:t>“If you’re a good public sector, you shouldn’t need PPPs. If you’re bad, you shouldn’t go near them</w:t>
      </w:r>
      <w:r w:rsidR="00CE1FBB">
        <w:rPr>
          <w:rFonts w:cstheme="minorHAnsi"/>
          <w:i/>
          <w:szCs w:val="20"/>
        </w:rPr>
        <w:t>.</w:t>
      </w:r>
      <w:r w:rsidRPr="00216A71">
        <w:rPr>
          <w:rFonts w:cstheme="minorHAnsi"/>
          <w:i/>
          <w:szCs w:val="20"/>
        </w:rPr>
        <w:t>”</w:t>
      </w:r>
    </w:p>
    <w:p w:rsidR="000C629A" w:rsidRDefault="00413559" w:rsidP="00413559">
      <w:pPr>
        <w:jc w:val="center"/>
        <w:rPr>
          <w:rFonts w:cstheme="minorHAnsi"/>
          <w:i/>
          <w:szCs w:val="20"/>
        </w:rPr>
      </w:pPr>
      <w:r w:rsidRPr="00216A71">
        <w:rPr>
          <w:rFonts w:cstheme="minorHAnsi"/>
          <w:i/>
          <w:szCs w:val="20"/>
        </w:rPr>
        <w:t>(</w:t>
      </w:r>
      <w:r w:rsidR="00CE1FBB">
        <w:rPr>
          <w:rFonts w:cstheme="minorHAnsi"/>
          <w:i/>
          <w:szCs w:val="20"/>
        </w:rPr>
        <w:t>I</w:t>
      </w:r>
      <w:r w:rsidRPr="00216A71">
        <w:rPr>
          <w:rFonts w:cstheme="minorHAnsi"/>
          <w:i/>
          <w:szCs w:val="20"/>
        </w:rPr>
        <w:t>nterviewee quoted in Robert Bain, ‘Review of Lessons from Completed PPP Projects Financed by the EIB</w:t>
      </w:r>
      <w:r w:rsidR="00CE1FBB">
        <w:rPr>
          <w:rFonts w:cstheme="minorHAnsi"/>
          <w:i/>
          <w:szCs w:val="20"/>
        </w:rPr>
        <w:t>,</w:t>
      </w:r>
      <w:r w:rsidRPr="00216A71">
        <w:rPr>
          <w:rFonts w:cstheme="minorHAnsi"/>
          <w:i/>
          <w:szCs w:val="20"/>
        </w:rPr>
        <w:t>’ May 2009)</w:t>
      </w:r>
    </w:p>
    <w:p w:rsidR="00413559" w:rsidRPr="00216A71" w:rsidRDefault="00413559" w:rsidP="00413559">
      <w:pPr>
        <w:rPr>
          <w:rFonts w:cstheme="minorHAnsi"/>
          <w:szCs w:val="20"/>
        </w:rPr>
      </w:pPr>
      <w:r w:rsidRPr="00216A71">
        <w:rPr>
          <w:rFonts w:cstheme="minorHAnsi"/>
          <w:szCs w:val="20"/>
        </w:rPr>
        <w:t>A public-private partnership (PPP) is a contract between government and a private company under which:</w:t>
      </w:r>
    </w:p>
    <w:p w:rsidR="006C200D" w:rsidRPr="00216A71" w:rsidRDefault="00CE1FBB" w:rsidP="00413559">
      <w:pPr>
        <w:numPr>
          <w:ilvl w:val="0"/>
          <w:numId w:val="44"/>
        </w:numPr>
        <w:autoSpaceDE w:val="0"/>
        <w:autoSpaceDN w:val="0"/>
        <w:adjustRightInd w:val="0"/>
        <w:rPr>
          <w:rFonts w:cstheme="minorHAnsi"/>
          <w:szCs w:val="20"/>
        </w:rPr>
      </w:pPr>
      <w:r>
        <w:rPr>
          <w:rFonts w:cstheme="minorHAnsi"/>
          <w:szCs w:val="20"/>
        </w:rPr>
        <w:t>A</w:t>
      </w:r>
      <w:r w:rsidR="00413559" w:rsidRPr="00216A71">
        <w:rPr>
          <w:rFonts w:cstheme="minorHAnsi"/>
          <w:szCs w:val="20"/>
        </w:rPr>
        <w:t xml:space="preserve"> private company finances, builds, and operates some element of a public service; and </w:t>
      </w:r>
    </w:p>
    <w:p w:rsidR="000C629A" w:rsidRDefault="00CE1FBB" w:rsidP="00413559">
      <w:pPr>
        <w:numPr>
          <w:ilvl w:val="0"/>
          <w:numId w:val="44"/>
        </w:numPr>
        <w:autoSpaceDE w:val="0"/>
        <w:autoSpaceDN w:val="0"/>
        <w:adjustRightInd w:val="0"/>
        <w:rPr>
          <w:rFonts w:cstheme="minorHAnsi"/>
          <w:szCs w:val="20"/>
        </w:rPr>
      </w:pPr>
      <w:r>
        <w:rPr>
          <w:rFonts w:cstheme="minorHAnsi"/>
          <w:szCs w:val="20"/>
        </w:rPr>
        <w:t>T</w:t>
      </w:r>
      <w:r w:rsidR="00413559" w:rsidRPr="00216A71">
        <w:rPr>
          <w:rFonts w:cstheme="minorHAnsi"/>
          <w:szCs w:val="20"/>
        </w:rPr>
        <w:t>he private company gets paid over a number of years, either through charges paid by users</w:t>
      </w:r>
      <w:r w:rsidR="006C200D" w:rsidRPr="00216A71">
        <w:rPr>
          <w:rFonts w:cstheme="minorHAnsi"/>
          <w:szCs w:val="20"/>
        </w:rPr>
        <w:t xml:space="preserve"> (often called a concession)</w:t>
      </w:r>
      <w:r w:rsidR="00413559" w:rsidRPr="00216A71">
        <w:rPr>
          <w:rFonts w:cstheme="minorHAnsi"/>
          <w:szCs w:val="20"/>
        </w:rPr>
        <w:t>, or by payments from the public authority, or a combination of both.</w:t>
      </w:r>
      <w:r w:rsidR="00413559" w:rsidRPr="00216A71">
        <w:rPr>
          <w:rStyle w:val="EndnoteReference"/>
          <w:rFonts w:cstheme="minorHAnsi"/>
          <w:szCs w:val="20"/>
        </w:rPr>
        <w:endnoteReference w:id="1"/>
      </w:r>
      <w:r w:rsidR="00413559" w:rsidRPr="00216A71">
        <w:rPr>
          <w:rStyle w:val="FootnoteReference"/>
          <w:rFonts w:cstheme="minorHAnsi"/>
          <w:szCs w:val="20"/>
        </w:rPr>
        <w:footnoteReference w:id="1"/>
      </w:r>
      <w:r w:rsidR="00413559" w:rsidRPr="00216A71">
        <w:rPr>
          <w:rFonts w:cstheme="minorHAnsi"/>
          <w:szCs w:val="20"/>
        </w:rPr>
        <w:t xml:space="preserve"> </w:t>
      </w:r>
    </w:p>
    <w:p w:rsidR="000C629A" w:rsidRDefault="00B61896" w:rsidP="00746749">
      <w:pPr>
        <w:rPr>
          <w:rFonts w:cstheme="minorHAnsi"/>
          <w:szCs w:val="20"/>
        </w:rPr>
      </w:pPr>
      <w:r w:rsidRPr="00216A71">
        <w:rPr>
          <w:rFonts w:cstheme="minorHAnsi"/>
          <w:szCs w:val="20"/>
        </w:rPr>
        <w:t>T</w:t>
      </w:r>
      <w:r w:rsidR="00746749" w:rsidRPr="00216A71">
        <w:rPr>
          <w:rFonts w:cstheme="minorHAnsi"/>
          <w:szCs w:val="20"/>
        </w:rPr>
        <w:t xml:space="preserve">he </w:t>
      </w:r>
      <w:r w:rsidRPr="00216A71">
        <w:rPr>
          <w:rFonts w:cstheme="minorHAnsi"/>
          <w:szCs w:val="20"/>
        </w:rPr>
        <w:t>concept of</w:t>
      </w:r>
      <w:r w:rsidR="00746749" w:rsidRPr="00216A71">
        <w:rPr>
          <w:rFonts w:cstheme="minorHAnsi"/>
          <w:szCs w:val="20"/>
        </w:rPr>
        <w:t xml:space="preserve"> PPPs was </w:t>
      </w:r>
      <w:r w:rsidRPr="00216A71">
        <w:rPr>
          <w:rFonts w:cstheme="minorHAnsi"/>
          <w:szCs w:val="20"/>
        </w:rPr>
        <w:t>not</w:t>
      </w:r>
      <w:r w:rsidR="00746749" w:rsidRPr="00216A71">
        <w:rPr>
          <w:rFonts w:cstheme="minorHAnsi"/>
          <w:szCs w:val="20"/>
        </w:rPr>
        <w:t xml:space="preserve"> used before the 1990s, </w:t>
      </w:r>
      <w:r w:rsidR="006C200D" w:rsidRPr="00216A71">
        <w:rPr>
          <w:rFonts w:cstheme="minorHAnsi"/>
          <w:szCs w:val="20"/>
        </w:rPr>
        <w:t xml:space="preserve">but </w:t>
      </w:r>
      <w:r w:rsidR="00746749" w:rsidRPr="00216A71">
        <w:rPr>
          <w:rFonts w:cstheme="minorHAnsi"/>
          <w:szCs w:val="20"/>
        </w:rPr>
        <w:t>concession</w:t>
      </w:r>
      <w:r w:rsidR="006C200D" w:rsidRPr="00216A71">
        <w:rPr>
          <w:rFonts w:cstheme="minorHAnsi"/>
          <w:szCs w:val="20"/>
        </w:rPr>
        <w:t>s have</w:t>
      </w:r>
      <w:r w:rsidR="00746749" w:rsidRPr="00216A71">
        <w:rPr>
          <w:rFonts w:cstheme="minorHAnsi"/>
          <w:szCs w:val="20"/>
        </w:rPr>
        <w:t xml:space="preserve"> existed</w:t>
      </w:r>
      <w:r w:rsidR="00360736" w:rsidRPr="00216A71">
        <w:rPr>
          <w:rFonts w:cstheme="minorHAnsi"/>
          <w:szCs w:val="20"/>
        </w:rPr>
        <w:t xml:space="preserve"> for many centuries. </w:t>
      </w:r>
      <w:r w:rsidR="006C200D" w:rsidRPr="00216A71">
        <w:rPr>
          <w:rFonts w:cstheme="minorHAnsi"/>
          <w:szCs w:val="20"/>
        </w:rPr>
        <w:t>The principle was that the private company agreed to invest its own money in return for which the state guaranteed a monopoly to the company on supplying that service in the area covered, and so the company could expect to get a return on its capital by charging users.</w:t>
      </w:r>
      <w:r w:rsidR="004045AD">
        <w:rPr>
          <w:rFonts w:cstheme="minorHAnsi"/>
          <w:szCs w:val="20"/>
        </w:rPr>
        <w:t xml:space="preserve"> </w:t>
      </w:r>
      <w:r w:rsidR="00A42F35" w:rsidRPr="00216A71">
        <w:rPr>
          <w:rFonts w:cstheme="minorHAnsi"/>
          <w:szCs w:val="20"/>
        </w:rPr>
        <w:t>Concessions</w:t>
      </w:r>
      <w:r w:rsidR="006C200D" w:rsidRPr="00216A71">
        <w:rPr>
          <w:rFonts w:cstheme="minorHAnsi"/>
          <w:szCs w:val="20"/>
        </w:rPr>
        <w:t xml:space="preserve"> were often used in the 19th century to develop water, gas, and electricity systems, </w:t>
      </w:r>
      <w:r w:rsidR="00A42F35" w:rsidRPr="00216A71">
        <w:rPr>
          <w:rFonts w:cstheme="minorHAnsi"/>
          <w:szCs w:val="20"/>
        </w:rPr>
        <w:t xml:space="preserve">and railways, </w:t>
      </w:r>
      <w:r w:rsidR="006C200D" w:rsidRPr="00216A71">
        <w:rPr>
          <w:rFonts w:cstheme="minorHAnsi"/>
          <w:szCs w:val="20"/>
        </w:rPr>
        <w:t>which involved high capital</w:t>
      </w:r>
      <w:r w:rsidR="00A42F35" w:rsidRPr="00216A71">
        <w:rPr>
          <w:rFonts w:cstheme="minorHAnsi"/>
          <w:szCs w:val="20"/>
        </w:rPr>
        <w:t xml:space="preserve"> </w:t>
      </w:r>
      <w:r w:rsidR="006C200D" w:rsidRPr="00216A71">
        <w:rPr>
          <w:rFonts w:cstheme="minorHAnsi"/>
          <w:szCs w:val="20"/>
        </w:rPr>
        <w:t xml:space="preserve">investment. </w:t>
      </w:r>
      <w:r w:rsidR="005B56EA" w:rsidRPr="00216A71">
        <w:rPr>
          <w:rFonts w:cstheme="minorHAnsi"/>
          <w:szCs w:val="20"/>
        </w:rPr>
        <w:t xml:space="preserve">But </w:t>
      </w:r>
      <w:r w:rsidR="00A42F35" w:rsidRPr="00216A71">
        <w:rPr>
          <w:rFonts w:cstheme="minorHAnsi"/>
          <w:szCs w:val="20"/>
        </w:rPr>
        <w:t>they</w:t>
      </w:r>
      <w:r w:rsidR="00746749" w:rsidRPr="00216A71">
        <w:rPr>
          <w:rFonts w:cstheme="minorHAnsi"/>
          <w:szCs w:val="20"/>
        </w:rPr>
        <w:t xml:space="preserve"> were unable to deliver the required scale of investment for universal services at affordable rates, and so were generally replaced by public ownership</w:t>
      </w:r>
      <w:r w:rsidRPr="00216A71">
        <w:rPr>
          <w:rFonts w:cstheme="minorHAnsi"/>
          <w:szCs w:val="20"/>
        </w:rPr>
        <w:t xml:space="preserve"> using public finance.</w:t>
      </w:r>
      <w:r w:rsidR="004045AD">
        <w:rPr>
          <w:rFonts w:cstheme="minorHAnsi"/>
          <w:szCs w:val="20"/>
        </w:rPr>
        <w:t xml:space="preserve"> </w:t>
      </w:r>
    </w:p>
    <w:p w:rsidR="003B6BBC" w:rsidRPr="00216A71" w:rsidRDefault="00B61896" w:rsidP="00746749">
      <w:pPr>
        <w:rPr>
          <w:rFonts w:cstheme="minorHAnsi"/>
          <w:szCs w:val="20"/>
        </w:rPr>
      </w:pPr>
      <w:r w:rsidRPr="00216A71">
        <w:rPr>
          <w:rFonts w:cstheme="minorHAnsi"/>
          <w:szCs w:val="20"/>
        </w:rPr>
        <w:t>The modern version of PPPs</w:t>
      </w:r>
      <w:r w:rsidR="00621564" w:rsidRPr="00216A71">
        <w:rPr>
          <w:rFonts w:cstheme="minorHAnsi"/>
          <w:szCs w:val="20"/>
        </w:rPr>
        <w:t xml:space="preserve">, whereby the private company is paid by the government rather than by consumers, </w:t>
      </w:r>
      <w:r w:rsidRPr="00216A71">
        <w:rPr>
          <w:rFonts w:cstheme="minorHAnsi"/>
          <w:szCs w:val="20"/>
        </w:rPr>
        <w:t xml:space="preserve">was invented in </w:t>
      </w:r>
      <w:r w:rsidR="00621564" w:rsidRPr="00216A71">
        <w:rPr>
          <w:rFonts w:cstheme="minorHAnsi"/>
          <w:szCs w:val="20"/>
        </w:rPr>
        <w:t xml:space="preserve">the </w:t>
      </w:r>
      <w:r w:rsidR="00063B03" w:rsidRPr="00216A71">
        <w:rPr>
          <w:rFonts w:cstheme="minorHAnsi"/>
          <w:szCs w:val="20"/>
        </w:rPr>
        <w:t>UK in the 1980s</w:t>
      </w:r>
      <w:r w:rsidR="00621564" w:rsidRPr="00216A71">
        <w:rPr>
          <w:rFonts w:cstheme="minorHAnsi"/>
          <w:szCs w:val="20"/>
        </w:rPr>
        <w:t>, by</w:t>
      </w:r>
      <w:r w:rsidRPr="00216A71">
        <w:rPr>
          <w:rFonts w:cstheme="minorHAnsi"/>
          <w:szCs w:val="20"/>
        </w:rPr>
        <w:t xml:space="preserve"> the Thatcher government.</w:t>
      </w:r>
      <w:r w:rsidR="00621564" w:rsidRPr="00216A71">
        <w:rPr>
          <w:rStyle w:val="FootnoteReference"/>
          <w:rFonts w:cstheme="minorHAnsi"/>
          <w:szCs w:val="20"/>
        </w:rPr>
        <w:footnoteReference w:id="2"/>
      </w:r>
      <w:r w:rsidR="004045AD">
        <w:rPr>
          <w:rFonts w:cstheme="minorHAnsi"/>
          <w:szCs w:val="20"/>
        </w:rPr>
        <w:t xml:space="preserve"> </w:t>
      </w:r>
      <w:r w:rsidR="00621564" w:rsidRPr="00216A71">
        <w:rPr>
          <w:rFonts w:cstheme="minorHAnsi"/>
          <w:szCs w:val="20"/>
        </w:rPr>
        <w:t xml:space="preserve">The introduction of neo-liberal fiscal rules </w:t>
      </w:r>
      <w:r w:rsidR="00A73BDF" w:rsidRPr="00216A71">
        <w:rPr>
          <w:rFonts w:cstheme="minorHAnsi"/>
          <w:szCs w:val="20"/>
        </w:rPr>
        <w:t>limited</w:t>
      </w:r>
      <w:r w:rsidR="00621564" w:rsidRPr="00216A71">
        <w:rPr>
          <w:rFonts w:cstheme="minorHAnsi"/>
          <w:szCs w:val="20"/>
        </w:rPr>
        <w:t xml:space="preserve"> government borrowing, </w:t>
      </w:r>
      <w:r w:rsidR="00A73BDF" w:rsidRPr="00216A71">
        <w:rPr>
          <w:rFonts w:cstheme="minorHAnsi"/>
          <w:szCs w:val="20"/>
        </w:rPr>
        <w:t>but the government still wanted to be able to invest in public infrastructure.</w:t>
      </w:r>
      <w:r w:rsidR="004045AD">
        <w:rPr>
          <w:rFonts w:cstheme="minorHAnsi"/>
          <w:szCs w:val="20"/>
        </w:rPr>
        <w:t xml:space="preserve"> </w:t>
      </w:r>
      <w:r w:rsidR="00621564" w:rsidRPr="00216A71">
        <w:rPr>
          <w:rFonts w:cstheme="minorHAnsi"/>
          <w:szCs w:val="20"/>
        </w:rPr>
        <w:t>PPPs</w:t>
      </w:r>
      <w:r w:rsidR="004045AD">
        <w:rPr>
          <w:rFonts w:cstheme="minorHAnsi"/>
          <w:szCs w:val="20"/>
        </w:rPr>
        <w:t xml:space="preserve"> </w:t>
      </w:r>
      <w:r w:rsidR="00A73BDF" w:rsidRPr="00216A71">
        <w:rPr>
          <w:rFonts w:cstheme="minorHAnsi"/>
          <w:szCs w:val="20"/>
        </w:rPr>
        <w:t xml:space="preserve">were the solution, under the heading of the private finance initiative (PFI). </w:t>
      </w:r>
      <w:r w:rsidR="00E06088" w:rsidRPr="00216A71">
        <w:rPr>
          <w:rFonts w:cstheme="minorHAnsi"/>
          <w:szCs w:val="20"/>
        </w:rPr>
        <w:t xml:space="preserve">Although the government </w:t>
      </w:r>
      <w:r w:rsidR="007B656E" w:rsidRPr="00216A71">
        <w:rPr>
          <w:rFonts w:cstheme="minorHAnsi"/>
          <w:szCs w:val="20"/>
        </w:rPr>
        <w:t xml:space="preserve">is </w:t>
      </w:r>
      <w:r w:rsidR="00E06088" w:rsidRPr="00216A71">
        <w:rPr>
          <w:rFonts w:cstheme="minorHAnsi"/>
          <w:szCs w:val="20"/>
        </w:rPr>
        <w:t xml:space="preserve">committed to paying for the investment, just as if it had borrowed the money itself over a period of 25 years or more, the accounting rules allow them to be treated as private borrowing, </w:t>
      </w:r>
      <w:r w:rsidR="007B656E" w:rsidRPr="00216A71">
        <w:rPr>
          <w:rFonts w:cstheme="minorHAnsi"/>
          <w:szCs w:val="20"/>
        </w:rPr>
        <w:t>not public borrowing</w:t>
      </w:r>
      <w:r w:rsidR="004045AD">
        <w:rPr>
          <w:rFonts w:cstheme="minorHAnsi"/>
          <w:szCs w:val="20"/>
        </w:rPr>
        <w:t xml:space="preserve"> – </w:t>
      </w:r>
      <w:r w:rsidR="00E06088" w:rsidRPr="00216A71">
        <w:rPr>
          <w:rFonts w:cstheme="minorHAnsi"/>
          <w:szCs w:val="20"/>
        </w:rPr>
        <w:t>and so</w:t>
      </w:r>
      <w:r w:rsidR="004045AD">
        <w:rPr>
          <w:rFonts w:cstheme="minorHAnsi"/>
          <w:szCs w:val="20"/>
        </w:rPr>
        <w:t xml:space="preserve"> </w:t>
      </w:r>
      <w:r w:rsidR="007B656E" w:rsidRPr="00216A71">
        <w:rPr>
          <w:rFonts w:cstheme="minorHAnsi"/>
          <w:szCs w:val="20"/>
        </w:rPr>
        <w:t>the money can be borrowed without</w:t>
      </w:r>
      <w:r w:rsidR="00E06088" w:rsidRPr="00216A71">
        <w:rPr>
          <w:rFonts w:cstheme="minorHAnsi"/>
          <w:szCs w:val="20"/>
        </w:rPr>
        <w:t xml:space="preserve"> breach</w:t>
      </w:r>
      <w:r w:rsidR="007B656E" w:rsidRPr="00216A71">
        <w:rPr>
          <w:rFonts w:cstheme="minorHAnsi"/>
          <w:szCs w:val="20"/>
        </w:rPr>
        <w:t>ing</w:t>
      </w:r>
      <w:r w:rsidR="00E06088" w:rsidRPr="00216A71">
        <w:rPr>
          <w:rFonts w:cstheme="minorHAnsi"/>
          <w:szCs w:val="20"/>
        </w:rPr>
        <w:t xml:space="preserve"> the fiscal rules.</w:t>
      </w:r>
      <w:r w:rsidR="00413559" w:rsidRPr="00216A71">
        <w:rPr>
          <w:rFonts w:cstheme="minorHAnsi"/>
          <w:szCs w:val="20"/>
        </w:rPr>
        <w:t xml:space="preserve"> </w:t>
      </w:r>
      <w:r w:rsidR="00542B1C" w:rsidRPr="00216A71">
        <w:rPr>
          <w:rFonts w:cstheme="minorHAnsi"/>
          <w:szCs w:val="20"/>
        </w:rPr>
        <w:t xml:space="preserve">The policy was also attractive </w:t>
      </w:r>
      <w:r w:rsidR="00CE1FBB">
        <w:rPr>
          <w:rFonts w:cstheme="minorHAnsi"/>
          <w:szCs w:val="20"/>
        </w:rPr>
        <w:t xml:space="preserve">to the Thatcher government </w:t>
      </w:r>
      <w:r w:rsidR="00542B1C" w:rsidRPr="00216A71">
        <w:rPr>
          <w:rFonts w:cstheme="minorHAnsi"/>
          <w:szCs w:val="20"/>
        </w:rPr>
        <w:t xml:space="preserve">as it was another form of privatisation, allowing </w:t>
      </w:r>
      <w:r w:rsidR="00542B1C" w:rsidRPr="00216A71">
        <w:rPr>
          <w:rFonts w:cstheme="minorHAnsi"/>
          <w:szCs w:val="20"/>
        </w:rPr>
        <w:lastRenderedPageBreak/>
        <w:t>private companies to profit from public expenditure, and requiring public services to provide profitable market opportunities.</w:t>
      </w:r>
    </w:p>
    <w:p w:rsidR="0034586E" w:rsidRPr="00216A71" w:rsidRDefault="00E06088" w:rsidP="00A50131">
      <w:pPr>
        <w:rPr>
          <w:rFonts w:cstheme="minorHAnsi"/>
          <w:i/>
          <w:color w:val="000000"/>
          <w:szCs w:val="20"/>
        </w:rPr>
      </w:pPr>
      <w:r w:rsidRPr="00216A71">
        <w:rPr>
          <w:rFonts w:cstheme="minorHAnsi"/>
          <w:szCs w:val="20"/>
        </w:rPr>
        <w:t xml:space="preserve">PPPs </w:t>
      </w:r>
      <w:r w:rsidR="00C61C11" w:rsidRPr="00216A71">
        <w:rPr>
          <w:rFonts w:cstheme="minorHAnsi"/>
          <w:szCs w:val="20"/>
        </w:rPr>
        <w:t xml:space="preserve">originated as </w:t>
      </w:r>
      <w:r w:rsidR="0034586E" w:rsidRPr="00216A71">
        <w:rPr>
          <w:rFonts w:cstheme="minorHAnsi"/>
          <w:szCs w:val="20"/>
        </w:rPr>
        <w:t>an accounting</w:t>
      </w:r>
      <w:r w:rsidRPr="00216A71">
        <w:rPr>
          <w:rFonts w:cstheme="minorHAnsi"/>
          <w:szCs w:val="20"/>
        </w:rPr>
        <w:t xml:space="preserve"> trick, a way round the government’s own constraints on public borrowing. This remains the overwhelming attraction for</w:t>
      </w:r>
      <w:r w:rsidR="004045AD">
        <w:rPr>
          <w:rFonts w:cstheme="minorHAnsi"/>
          <w:szCs w:val="20"/>
        </w:rPr>
        <w:t xml:space="preserve"> </w:t>
      </w:r>
      <w:r w:rsidRPr="00216A71">
        <w:rPr>
          <w:rFonts w:cstheme="minorHAnsi"/>
          <w:szCs w:val="20"/>
        </w:rPr>
        <w:t>governments</w:t>
      </w:r>
      <w:r w:rsidR="0034586E" w:rsidRPr="00216A71">
        <w:rPr>
          <w:rFonts w:cstheme="minorHAnsi"/>
          <w:szCs w:val="20"/>
        </w:rPr>
        <w:t xml:space="preserve"> and international institutions</w:t>
      </w:r>
      <w:r w:rsidR="00413559" w:rsidRPr="00216A71">
        <w:rPr>
          <w:rFonts w:cstheme="minorHAnsi"/>
          <w:szCs w:val="20"/>
        </w:rPr>
        <w:t xml:space="preserve">. </w:t>
      </w:r>
      <w:r w:rsidR="0034586E" w:rsidRPr="00216A71">
        <w:rPr>
          <w:rFonts w:cstheme="minorHAnsi"/>
          <w:szCs w:val="20"/>
        </w:rPr>
        <w:t>Just as companies like Enron had tried to conceal their true liabilities by moving them ‘off-balance-sheet’, so governments started using PPPs as “tricks…. whereby</w:t>
      </w:r>
      <w:r w:rsidR="0034586E" w:rsidRPr="00216A71">
        <w:rPr>
          <w:rFonts w:cstheme="minorHAnsi"/>
          <w:color w:val="000000"/>
          <w:szCs w:val="20"/>
        </w:rPr>
        <w:t xml:space="preserve"> public accounts imitate the creative accounting of some companies in the past.”</w:t>
      </w:r>
      <w:r w:rsidR="0034586E" w:rsidRPr="00216A71">
        <w:rPr>
          <w:rFonts w:cstheme="minorHAnsi"/>
          <w:i/>
          <w:color w:val="000000"/>
          <w:szCs w:val="20"/>
        </w:rPr>
        <w:t xml:space="preserve"> </w:t>
      </w:r>
      <w:r w:rsidR="00E50F88" w:rsidRPr="00216A71">
        <w:rPr>
          <w:rFonts w:cstheme="minorHAnsi"/>
          <w:color w:val="000000"/>
          <w:szCs w:val="20"/>
        </w:rPr>
        <w:t>Since the collapse of Enron, these tricks have been outlawed for companies, but PPPs</w:t>
      </w:r>
      <w:r w:rsidR="004045AD">
        <w:rPr>
          <w:rFonts w:cstheme="minorHAnsi"/>
          <w:color w:val="000000"/>
          <w:szCs w:val="20"/>
        </w:rPr>
        <w:t xml:space="preserve"> – </w:t>
      </w:r>
      <w:r w:rsidR="00E50F88" w:rsidRPr="00216A71">
        <w:rPr>
          <w:rFonts w:cstheme="minorHAnsi"/>
          <w:color w:val="000000"/>
          <w:szCs w:val="20"/>
        </w:rPr>
        <w:t>based on the same principles of hiding liabilities</w:t>
      </w:r>
      <w:r w:rsidR="004045AD">
        <w:rPr>
          <w:rFonts w:cstheme="minorHAnsi"/>
          <w:color w:val="000000"/>
          <w:szCs w:val="20"/>
        </w:rPr>
        <w:t xml:space="preserve"> – </w:t>
      </w:r>
      <w:r w:rsidR="00E50F88" w:rsidRPr="00216A71">
        <w:rPr>
          <w:rFonts w:cstheme="minorHAnsi"/>
          <w:color w:val="000000"/>
          <w:szCs w:val="20"/>
        </w:rPr>
        <w:t>are enthusiastically promoted as the way forward for governments.</w:t>
      </w:r>
      <w:r w:rsidR="0034586E" w:rsidRPr="00216A71">
        <w:rPr>
          <w:rStyle w:val="EndnoteReference"/>
          <w:rFonts w:cstheme="minorHAnsi"/>
          <w:i/>
          <w:color w:val="000000"/>
          <w:szCs w:val="20"/>
        </w:rPr>
        <w:endnoteReference w:id="2"/>
      </w:r>
    </w:p>
    <w:p w:rsidR="0034586E" w:rsidRPr="00216A71" w:rsidRDefault="004045AD" w:rsidP="00A50131">
      <w:pPr>
        <w:rPr>
          <w:rFonts w:cstheme="minorHAnsi"/>
          <w:szCs w:val="20"/>
        </w:rPr>
      </w:pPr>
      <w:r>
        <w:rPr>
          <w:rFonts w:cstheme="minorHAnsi"/>
          <w:szCs w:val="20"/>
        </w:rPr>
        <w:t xml:space="preserve"> </w:t>
      </w:r>
    </w:p>
    <w:p w:rsidR="000C629A" w:rsidRDefault="00E06088" w:rsidP="00746749">
      <w:pPr>
        <w:rPr>
          <w:rFonts w:cstheme="minorHAnsi"/>
          <w:szCs w:val="20"/>
        </w:rPr>
      </w:pPr>
      <w:r w:rsidRPr="00216A71">
        <w:rPr>
          <w:rFonts w:cstheme="minorHAnsi"/>
          <w:szCs w:val="20"/>
        </w:rPr>
        <w:t>For the private companies involved – the banks, the builders and the service companies – they represent an extremely attractive business opportunity. A single contract gives them a flow of income for 25 years or more – usually underwritten to a great extent by the government itself.</w:t>
      </w:r>
      <w:r w:rsidR="004045AD">
        <w:rPr>
          <w:rFonts w:cstheme="minorHAnsi"/>
          <w:szCs w:val="20"/>
        </w:rPr>
        <w:t xml:space="preserve"> </w:t>
      </w:r>
      <w:r w:rsidR="00653BFA" w:rsidRPr="00216A71">
        <w:rPr>
          <w:rFonts w:cstheme="minorHAnsi"/>
          <w:szCs w:val="20"/>
        </w:rPr>
        <w:t>The companies can</w:t>
      </w:r>
      <w:r w:rsidR="004045AD">
        <w:rPr>
          <w:rFonts w:cstheme="minorHAnsi"/>
          <w:szCs w:val="20"/>
        </w:rPr>
        <w:t xml:space="preserve"> </w:t>
      </w:r>
      <w:r w:rsidR="007B656E" w:rsidRPr="00216A71">
        <w:rPr>
          <w:rFonts w:cstheme="minorHAnsi"/>
          <w:szCs w:val="20"/>
        </w:rPr>
        <w:t>lobby</w:t>
      </w:r>
      <w:r w:rsidR="00653BFA" w:rsidRPr="00216A71">
        <w:rPr>
          <w:rFonts w:cstheme="minorHAnsi"/>
          <w:szCs w:val="20"/>
        </w:rPr>
        <w:t xml:space="preserve"> politicians to ensure that governments create PPPs, and </w:t>
      </w:r>
      <w:r w:rsidRPr="00216A71">
        <w:rPr>
          <w:rFonts w:cstheme="minorHAnsi"/>
          <w:szCs w:val="20"/>
        </w:rPr>
        <w:t>renegotiat</w:t>
      </w:r>
      <w:r w:rsidR="00653BFA" w:rsidRPr="00216A71">
        <w:rPr>
          <w:rFonts w:cstheme="minorHAnsi"/>
          <w:szCs w:val="20"/>
        </w:rPr>
        <w:t>e</w:t>
      </w:r>
      <w:r w:rsidR="007B656E" w:rsidRPr="00216A71">
        <w:rPr>
          <w:rFonts w:cstheme="minorHAnsi"/>
          <w:szCs w:val="20"/>
        </w:rPr>
        <w:t xml:space="preserve"> them as necessary during the long years of the contract.</w:t>
      </w:r>
      <w:r w:rsidR="004045AD">
        <w:rPr>
          <w:rFonts w:cstheme="minorHAnsi"/>
          <w:szCs w:val="20"/>
        </w:rPr>
        <w:t xml:space="preserve"> </w:t>
      </w:r>
      <w:r w:rsidR="007B656E" w:rsidRPr="00216A71">
        <w:rPr>
          <w:rFonts w:cstheme="minorHAnsi"/>
          <w:szCs w:val="20"/>
        </w:rPr>
        <w:t xml:space="preserve">From the outset, the PFI was criticised from both right and left for being far more costly than using public finance, undermining services, and a ‘scam’ to conceal real public borrowing and expenditure. It was nevertheless adopted and accelerated by subsequent UK governments, and a special unit, mainly staffed by the </w:t>
      </w:r>
      <w:r w:rsidR="00E17CD0" w:rsidRPr="00216A71">
        <w:rPr>
          <w:rFonts w:cstheme="minorHAnsi"/>
          <w:szCs w:val="20"/>
        </w:rPr>
        <w:t xml:space="preserve">executives from the private sector, </w:t>
      </w:r>
      <w:r w:rsidR="007B656E" w:rsidRPr="00216A71">
        <w:rPr>
          <w:rFonts w:cstheme="minorHAnsi"/>
          <w:szCs w:val="20"/>
        </w:rPr>
        <w:t xml:space="preserve">was created within the Treasury to </w:t>
      </w:r>
      <w:r w:rsidR="00E50F88" w:rsidRPr="00216A71">
        <w:rPr>
          <w:rFonts w:cstheme="minorHAnsi"/>
          <w:szCs w:val="20"/>
        </w:rPr>
        <w:t>act as a permanent centr</w:t>
      </w:r>
      <w:r w:rsidR="001F07C1" w:rsidRPr="00216A71">
        <w:rPr>
          <w:rFonts w:cstheme="minorHAnsi"/>
          <w:szCs w:val="20"/>
        </w:rPr>
        <w:t>e inside government</w:t>
      </w:r>
      <w:r w:rsidR="00E50F88" w:rsidRPr="00216A71">
        <w:rPr>
          <w:rFonts w:cstheme="minorHAnsi"/>
          <w:szCs w:val="20"/>
        </w:rPr>
        <w:t xml:space="preserve"> for the </w:t>
      </w:r>
      <w:r w:rsidR="007B656E" w:rsidRPr="00216A71">
        <w:rPr>
          <w:rFonts w:cstheme="minorHAnsi"/>
          <w:szCs w:val="20"/>
        </w:rPr>
        <w:t>promot</w:t>
      </w:r>
      <w:r w:rsidR="00E50F88" w:rsidRPr="00216A71">
        <w:rPr>
          <w:rFonts w:cstheme="minorHAnsi"/>
          <w:szCs w:val="20"/>
        </w:rPr>
        <w:t>ion of</w:t>
      </w:r>
      <w:r w:rsidR="007B656E" w:rsidRPr="00216A71">
        <w:rPr>
          <w:rFonts w:cstheme="minorHAnsi"/>
          <w:szCs w:val="20"/>
        </w:rPr>
        <w:t xml:space="preserve"> PFI</w:t>
      </w:r>
      <w:r w:rsidR="00E50F88" w:rsidRPr="00216A71">
        <w:rPr>
          <w:rFonts w:cstheme="minorHAnsi"/>
          <w:szCs w:val="20"/>
        </w:rPr>
        <w:t xml:space="preserve"> projects.</w:t>
      </w:r>
      <w:r w:rsidR="004045AD">
        <w:rPr>
          <w:rFonts w:cstheme="minorHAnsi"/>
          <w:szCs w:val="20"/>
        </w:rPr>
        <w:t xml:space="preserve"> </w:t>
      </w:r>
      <w:r w:rsidR="00E50F88" w:rsidRPr="00216A71">
        <w:rPr>
          <w:rFonts w:cstheme="minorHAnsi"/>
          <w:szCs w:val="20"/>
        </w:rPr>
        <w:t>This has become the model for PPPs units established</w:t>
      </w:r>
      <w:r w:rsidR="004045AD">
        <w:rPr>
          <w:rFonts w:cstheme="minorHAnsi"/>
          <w:szCs w:val="20"/>
        </w:rPr>
        <w:t xml:space="preserve"> </w:t>
      </w:r>
      <w:r w:rsidR="00E50F88" w:rsidRPr="00216A71">
        <w:rPr>
          <w:rFonts w:cstheme="minorHAnsi"/>
          <w:szCs w:val="20"/>
        </w:rPr>
        <w:t>by many governments around the world.</w:t>
      </w:r>
      <w:r w:rsidR="007B656E" w:rsidRPr="00216A71">
        <w:rPr>
          <w:rStyle w:val="EndnoteReference"/>
          <w:rFonts w:cstheme="minorHAnsi"/>
          <w:szCs w:val="20"/>
        </w:rPr>
        <w:endnoteReference w:id="3"/>
      </w:r>
    </w:p>
    <w:p w:rsidR="000C629A" w:rsidRDefault="00E50F88" w:rsidP="00DA35A6">
      <w:pPr>
        <w:rPr>
          <w:rFonts w:cstheme="minorHAnsi"/>
          <w:szCs w:val="20"/>
        </w:rPr>
      </w:pPr>
      <w:r w:rsidRPr="00216A71">
        <w:rPr>
          <w:rFonts w:cstheme="minorHAnsi"/>
          <w:szCs w:val="20"/>
        </w:rPr>
        <w:t>The UK has used PPPs for a wide range of buildings and infrastructure</w:t>
      </w:r>
      <w:r w:rsidR="004045AD">
        <w:rPr>
          <w:rFonts w:cstheme="minorHAnsi"/>
          <w:szCs w:val="20"/>
        </w:rPr>
        <w:t xml:space="preserve"> – </w:t>
      </w:r>
      <w:r w:rsidR="00A73BDF" w:rsidRPr="00216A71">
        <w:rPr>
          <w:rFonts w:cstheme="minorHAnsi"/>
          <w:szCs w:val="20"/>
        </w:rPr>
        <w:t>hospitals, school</w:t>
      </w:r>
      <w:r w:rsidR="001F07C1" w:rsidRPr="00216A71">
        <w:rPr>
          <w:rFonts w:cstheme="minorHAnsi"/>
          <w:szCs w:val="20"/>
        </w:rPr>
        <w:t>s</w:t>
      </w:r>
      <w:r w:rsidR="00A73BDF" w:rsidRPr="00216A71">
        <w:rPr>
          <w:rFonts w:cstheme="minorHAnsi"/>
          <w:szCs w:val="20"/>
        </w:rPr>
        <w:t xml:space="preserve">, roads, rail, </w:t>
      </w:r>
      <w:r w:rsidR="00912487" w:rsidRPr="00216A71">
        <w:rPr>
          <w:rFonts w:cstheme="minorHAnsi"/>
          <w:szCs w:val="20"/>
        </w:rPr>
        <w:t xml:space="preserve">defence, </w:t>
      </w:r>
      <w:r w:rsidR="00FF6D63" w:rsidRPr="00216A71">
        <w:rPr>
          <w:rFonts w:cstheme="minorHAnsi"/>
          <w:szCs w:val="20"/>
        </w:rPr>
        <w:t>and government</w:t>
      </w:r>
      <w:r w:rsidR="00063B03" w:rsidRPr="00216A71">
        <w:rPr>
          <w:rFonts w:cstheme="minorHAnsi"/>
          <w:szCs w:val="20"/>
        </w:rPr>
        <w:t xml:space="preserve"> offices</w:t>
      </w:r>
      <w:r w:rsidR="00A73BDF" w:rsidRPr="00216A71">
        <w:rPr>
          <w:rFonts w:cstheme="minorHAnsi"/>
          <w:szCs w:val="20"/>
        </w:rPr>
        <w:t xml:space="preserve">. </w:t>
      </w:r>
      <w:r w:rsidR="00413559" w:rsidRPr="00216A71">
        <w:rPr>
          <w:rFonts w:cstheme="minorHAnsi"/>
          <w:szCs w:val="20"/>
        </w:rPr>
        <w:t>As neoliberal limits on government borrowing spread, so did PPPs</w:t>
      </w:r>
      <w:r w:rsidR="00542B1C" w:rsidRPr="00216A71">
        <w:rPr>
          <w:rFonts w:cstheme="minorHAnsi"/>
          <w:szCs w:val="20"/>
        </w:rPr>
        <w:t xml:space="preserve"> – for example i</w:t>
      </w:r>
      <w:r w:rsidR="00DA35A6" w:rsidRPr="00216A71">
        <w:rPr>
          <w:rFonts w:cstheme="minorHAnsi"/>
          <w:szCs w:val="20"/>
        </w:rPr>
        <w:t>n Europe</w:t>
      </w:r>
      <w:r w:rsidR="00C1362A" w:rsidRPr="00216A71">
        <w:rPr>
          <w:rFonts w:cstheme="minorHAnsi"/>
          <w:szCs w:val="20"/>
        </w:rPr>
        <w:t>, where EU rules started to</w:t>
      </w:r>
      <w:r w:rsidR="00DA35A6" w:rsidRPr="00216A71">
        <w:rPr>
          <w:rFonts w:cstheme="minorHAnsi"/>
          <w:szCs w:val="20"/>
        </w:rPr>
        <w:t xml:space="preserve"> limit government </w:t>
      </w:r>
      <w:r w:rsidR="004170A9" w:rsidRPr="00216A71">
        <w:rPr>
          <w:rFonts w:cstheme="minorHAnsi"/>
          <w:szCs w:val="20"/>
        </w:rPr>
        <w:t>borrowing</w:t>
      </w:r>
      <w:r w:rsidR="00DA35A6" w:rsidRPr="00216A71">
        <w:rPr>
          <w:rFonts w:cstheme="minorHAnsi"/>
          <w:szCs w:val="20"/>
        </w:rPr>
        <w:t xml:space="preserve"> to 3</w:t>
      </w:r>
      <w:r w:rsidR="00A42FDE">
        <w:rPr>
          <w:rFonts w:cstheme="minorHAnsi"/>
          <w:szCs w:val="20"/>
        </w:rPr>
        <w:t xml:space="preserve"> per cent</w:t>
      </w:r>
      <w:r w:rsidR="00DA35A6" w:rsidRPr="00216A71">
        <w:rPr>
          <w:rFonts w:cstheme="minorHAnsi"/>
          <w:szCs w:val="20"/>
        </w:rPr>
        <w:t xml:space="preserve"> of</w:t>
      </w:r>
      <w:r w:rsidR="00C1362A" w:rsidRPr="00216A71">
        <w:rPr>
          <w:rFonts w:cstheme="minorHAnsi"/>
          <w:szCs w:val="20"/>
        </w:rPr>
        <w:t xml:space="preserve"> GDP.</w:t>
      </w:r>
      <w:r w:rsidR="004045AD">
        <w:rPr>
          <w:rFonts w:cstheme="minorHAnsi"/>
          <w:szCs w:val="20"/>
        </w:rPr>
        <w:t xml:space="preserve"> </w:t>
      </w:r>
      <w:r w:rsidR="004170A9" w:rsidRPr="00216A71">
        <w:rPr>
          <w:rFonts w:cstheme="minorHAnsi"/>
          <w:szCs w:val="20"/>
        </w:rPr>
        <w:t>New Zealand, Australia</w:t>
      </w:r>
      <w:r w:rsidR="00DA35A6" w:rsidRPr="00216A71">
        <w:rPr>
          <w:rFonts w:cstheme="minorHAnsi"/>
          <w:szCs w:val="20"/>
        </w:rPr>
        <w:t xml:space="preserve">, </w:t>
      </w:r>
      <w:r w:rsidR="004170A9" w:rsidRPr="00216A71">
        <w:rPr>
          <w:rFonts w:cstheme="minorHAnsi"/>
          <w:szCs w:val="20"/>
        </w:rPr>
        <w:t>Canada and the USA all began using PPPs as an element of privatisation policy</w:t>
      </w:r>
      <w:r w:rsidR="00A42F35" w:rsidRPr="00216A71">
        <w:rPr>
          <w:rFonts w:cstheme="minorHAnsi"/>
          <w:szCs w:val="20"/>
        </w:rPr>
        <w:t xml:space="preserve">, and as a way of </w:t>
      </w:r>
      <w:r w:rsidR="00C61C11" w:rsidRPr="00216A71">
        <w:rPr>
          <w:rFonts w:cstheme="minorHAnsi"/>
          <w:szCs w:val="20"/>
        </w:rPr>
        <w:t>balanc</w:t>
      </w:r>
      <w:r w:rsidR="00A42F35" w:rsidRPr="00216A71">
        <w:rPr>
          <w:rFonts w:cstheme="minorHAnsi"/>
          <w:szCs w:val="20"/>
        </w:rPr>
        <w:t>ing</w:t>
      </w:r>
      <w:r w:rsidR="00C61C11" w:rsidRPr="00216A71">
        <w:rPr>
          <w:rFonts w:cstheme="minorHAnsi"/>
          <w:szCs w:val="20"/>
        </w:rPr>
        <w:t xml:space="preserve"> budgets</w:t>
      </w:r>
      <w:r w:rsidR="00A42F35" w:rsidRPr="00216A71">
        <w:rPr>
          <w:rFonts w:cstheme="minorHAnsi"/>
          <w:szCs w:val="20"/>
        </w:rPr>
        <w:t xml:space="preserve"> by concealing borrowing.</w:t>
      </w:r>
    </w:p>
    <w:p w:rsidR="009A3B34" w:rsidRPr="00216A71" w:rsidRDefault="00381974" w:rsidP="00542B1C">
      <w:pPr>
        <w:rPr>
          <w:rFonts w:cstheme="minorHAnsi"/>
          <w:szCs w:val="20"/>
        </w:rPr>
      </w:pPr>
      <w:r w:rsidRPr="00216A71">
        <w:rPr>
          <w:rFonts w:cstheme="minorHAnsi"/>
          <w:szCs w:val="20"/>
        </w:rPr>
        <w:t xml:space="preserve">In developing countries, </w:t>
      </w:r>
      <w:r w:rsidR="004170A9" w:rsidRPr="00216A71">
        <w:rPr>
          <w:rFonts w:cstheme="minorHAnsi"/>
          <w:szCs w:val="20"/>
        </w:rPr>
        <w:t>the development banks and multinational companies encouraged the spread of PPPs in the 1990s</w:t>
      </w:r>
      <w:r w:rsidR="009D3CAB" w:rsidRPr="00216A71">
        <w:rPr>
          <w:rFonts w:cstheme="minorHAnsi"/>
          <w:szCs w:val="20"/>
        </w:rPr>
        <w:t xml:space="preserve">, </w:t>
      </w:r>
      <w:r w:rsidR="00542B1C" w:rsidRPr="00216A71">
        <w:rPr>
          <w:rFonts w:cstheme="minorHAnsi"/>
          <w:szCs w:val="20"/>
        </w:rPr>
        <w:t xml:space="preserve">especially in the water and energy sectors, </w:t>
      </w:r>
      <w:r w:rsidR="009D3CAB" w:rsidRPr="00216A71">
        <w:rPr>
          <w:rFonts w:cstheme="minorHAnsi"/>
          <w:szCs w:val="20"/>
        </w:rPr>
        <w:t xml:space="preserve">as </w:t>
      </w:r>
      <w:r w:rsidR="004170A9" w:rsidRPr="00216A71">
        <w:rPr>
          <w:rFonts w:cstheme="minorHAnsi"/>
          <w:szCs w:val="20"/>
        </w:rPr>
        <w:t>part of the general promotion of privatisation</w:t>
      </w:r>
      <w:r w:rsidR="00542B1C" w:rsidRPr="00216A71">
        <w:rPr>
          <w:rFonts w:cstheme="minorHAnsi"/>
          <w:szCs w:val="20"/>
        </w:rPr>
        <w:t xml:space="preserve"> – and as</w:t>
      </w:r>
      <w:r w:rsidR="004045AD">
        <w:rPr>
          <w:rFonts w:cstheme="minorHAnsi"/>
          <w:szCs w:val="20"/>
        </w:rPr>
        <w:t xml:space="preserve"> </w:t>
      </w:r>
      <w:r w:rsidR="00BC10F5">
        <w:rPr>
          <w:rFonts w:cstheme="minorHAnsi"/>
          <w:szCs w:val="20"/>
        </w:rPr>
        <w:t xml:space="preserve">a </w:t>
      </w:r>
      <w:r w:rsidR="00542B1C" w:rsidRPr="00216A71">
        <w:rPr>
          <w:rFonts w:cstheme="minorHAnsi"/>
          <w:szCs w:val="20"/>
        </w:rPr>
        <w:t xml:space="preserve">way </w:t>
      </w:r>
      <w:r w:rsidR="00BC10F5">
        <w:rPr>
          <w:rFonts w:cstheme="minorHAnsi"/>
          <w:szCs w:val="20"/>
        </w:rPr>
        <w:t>a</w:t>
      </w:r>
      <w:r w:rsidR="00542B1C" w:rsidRPr="00216A71">
        <w:rPr>
          <w:rFonts w:cstheme="minorHAnsi"/>
          <w:szCs w:val="20"/>
        </w:rPr>
        <w:t xml:space="preserve">round the fiscal limits which the same IFIs were imposing on developing countries. </w:t>
      </w:r>
      <w:r w:rsidR="009D3CAB" w:rsidRPr="00216A71">
        <w:rPr>
          <w:rFonts w:cstheme="minorHAnsi"/>
          <w:szCs w:val="20"/>
        </w:rPr>
        <w:t xml:space="preserve">The main form of privatisation in water was </w:t>
      </w:r>
      <w:r w:rsidR="004170A9" w:rsidRPr="00216A71">
        <w:rPr>
          <w:rFonts w:cstheme="minorHAnsi"/>
          <w:szCs w:val="20"/>
        </w:rPr>
        <w:t>concessions</w:t>
      </w:r>
      <w:r w:rsidR="009D3CAB" w:rsidRPr="00216A71">
        <w:rPr>
          <w:rFonts w:cstheme="minorHAnsi"/>
          <w:szCs w:val="20"/>
        </w:rPr>
        <w:t xml:space="preserve"> or lease contracts, which are a classic form of PPP</w:t>
      </w:r>
      <w:r w:rsidR="00BC10F5">
        <w:rPr>
          <w:rFonts w:cstheme="minorHAnsi"/>
          <w:szCs w:val="20"/>
        </w:rPr>
        <w:t>. I</w:t>
      </w:r>
      <w:r w:rsidR="009D3CAB" w:rsidRPr="00216A71">
        <w:rPr>
          <w:rFonts w:cstheme="minorHAnsi"/>
          <w:szCs w:val="20"/>
        </w:rPr>
        <w:t xml:space="preserve">n energy, there has been widespread introduction of independent power </w:t>
      </w:r>
      <w:r w:rsidR="00C61C11" w:rsidRPr="00216A71">
        <w:rPr>
          <w:rFonts w:cstheme="minorHAnsi"/>
          <w:szCs w:val="20"/>
        </w:rPr>
        <w:t xml:space="preserve">producers </w:t>
      </w:r>
      <w:r w:rsidR="009D3CAB" w:rsidRPr="00216A71">
        <w:rPr>
          <w:rFonts w:cstheme="minorHAnsi"/>
          <w:szCs w:val="20"/>
        </w:rPr>
        <w:t xml:space="preserve">(IPPs) </w:t>
      </w:r>
      <w:r w:rsidR="001B7C02" w:rsidRPr="00216A71">
        <w:rPr>
          <w:rFonts w:cstheme="minorHAnsi"/>
          <w:szCs w:val="20"/>
        </w:rPr>
        <w:t>with long-term guaranteed purchase of electricity by the public sector.</w:t>
      </w:r>
      <w:r w:rsidR="004045AD">
        <w:rPr>
          <w:rFonts w:cstheme="minorHAnsi"/>
          <w:szCs w:val="20"/>
        </w:rPr>
        <w:t xml:space="preserve"> </w:t>
      </w:r>
      <w:r w:rsidR="009D3CAB" w:rsidRPr="00216A71">
        <w:rPr>
          <w:rFonts w:cstheme="minorHAnsi"/>
          <w:szCs w:val="20"/>
        </w:rPr>
        <w:t xml:space="preserve">These </w:t>
      </w:r>
      <w:r w:rsidR="001B7C02" w:rsidRPr="00216A71">
        <w:rPr>
          <w:rFonts w:cstheme="minorHAnsi"/>
          <w:szCs w:val="20"/>
        </w:rPr>
        <w:t>have met</w:t>
      </w:r>
      <w:r w:rsidR="009D3CAB" w:rsidRPr="00216A71">
        <w:rPr>
          <w:rFonts w:cstheme="minorHAnsi"/>
          <w:szCs w:val="20"/>
        </w:rPr>
        <w:t xml:space="preserve"> strong public resistance</w:t>
      </w:r>
      <w:r w:rsidR="001B7C02" w:rsidRPr="00216A71">
        <w:rPr>
          <w:rFonts w:cstheme="minorHAnsi"/>
          <w:szCs w:val="20"/>
        </w:rPr>
        <w:t xml:space="preserve"> in many countries, leading to the termination of many </w:t>
      </w:r>
      <w:r w:rsidR="009D3CAB" w:rsidRPr="00216A71">
        <w:rPr>
          <w:rFonts w:cstheme="minorHAnsi"/>
          <w:szCs w:val="20"/>
        </w:rPr>
        <w:t xml:space="preserve">water concessions </w:t>
      </w:r>
      <w:r w:rsidR="001B7C02" w:rsidRPr="00216A71">
        <w:rPr>
          <w:rFonts w:cstheme="minorHAnsi"/>
          <w:szCs w:val="20"/>
        </w:rPr>
        <w:t>in particular.</w:t>
      </w:r>
    </w:p>
    <w:p w:rsidR="0034586E" w:rsidRPr="00216A71" w:rsidRDefault="0034586E" w:rsidP="0034586E">
      <w:pPr>
        <w:pStyle w:val="Heading6"/>
        <w:rPr>
          <w:rFonts w:cstheme="minorHAnsi"/>
          <w:szCs w:val="20"/>
        </w:rPr>
      </w:pPr>
      <w:r w:rsidRPr="00216A71">
        <w:rPr>
          <w:rFonts w:cstheme="minorHAnsi"/>
          <w:szCs w:val="20"/>
        </w:rPr>
        <w:t>The unease of the EU and the IMF</w:t>
      </w:r>
    </w:p>
    <w:p w:rsidR="000C629A" w:rsidRDefault="00EA47F5" w:rsidP="00EA47F5">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There is a dilemma for fiscal rule-makers, such as the EU and the IMF, between enforcement of fiscal discipline – which would require much stricter rules for PPPs – and a desire to promote privatisation in general, which would imply making it easier to use PPPs. </w:t>
      </w:r>
    </w:p>
    <w:p w:rsidR="000C629A" w:rsidRDefault="00EA47F5" w:rsidP="00191F44">
      <w:pPr>
        <w:pBdr>
          <w:top w:val="single" w:sz="4" w:space="1" w:color="auto"/>
          <w:left w:val="single" w:sz="4" w:space="4" w:color="auto"/>
          <w:bottom w:val="single" w:sz="4" w:space="1" w:color="auto"/>
          <w:right w:val="single" w:sz="4" w:space="4" w:color="auto"/>
        </w:pBdr>
        <w:autoSpaceDE w:val="0"/>
        <w:autoSpaceDN w:val="0"/>
        <w:adjustRightInd w:val="0"/>
        <w:rPr>
          <w:rFonts w:eastAsia="SimSun" w:cstheme="minorHAnsi"/>
          <w:color w:val="231F20"/>
          <w:szCs w:val="20"/>
          <w:lang w:eastAsia="zh-CN"/>
        </w:rPr>
      </w:pPr>
      <w:r w:rsidRPr="00216A71">
        <w:rPr>
          <w:rFonts w:cstheme="minorHAnsi"/>
          <w:szCs w:val="20"/>
        </w:rPr>
        <w:t>The European Commission (EC) has taken various views on the relations between PPPs and fiscal discipline. T</w:t>
      </w:r>
      <w:r w:rsidRPr="00216A71">
        <w:rPr>
          <w:rFonts w:eastAsia="SimSun" w:cstheme="minorHAnsi"/>
          <w:szCs w:val="20"/>
          <w:lang w:eastAsia="zh-CN"/>
        </w:rPr>
        <w:t xml:space="preserve">he </w:t>
      </w:r>
      <w:r w:rsidR="00BC10F5">
        <w:rPr>
          <w:rFonts w:eastAsia="SimSun" w:cstheme="minorHAnsi"/>
          <w:szCs w:val="20"/>
          <w:lang w:eastAsia="zh-CN"/>
        </w:rPr>
        <w:t xml:space="preserve">2003 </w:t>
      </w:r>
      <w:r w:rsidRPr="00216A71">
        <w:rPr>
          <w:rFonts w:eastAsia="SimSun" w:cstheme="minorHAnsi"/>
          <w:szCs w:val="20"/>
          <w:lang w:eastAsia="zh-CN"/>
        </w:rPr>
        <w:t xml:space="preserve">report on </w:t>
      </w:r>
      <w:r w:rsidR="00BC10F5">
        <w:rPr>
          <w:rFonts w:eastAsia="SimSun" w:cstheme="minorHAnsi"/>
          <w:szCs w:val="20"/>
          <w:lang w:eastAsia="zh-CN"/>
        </w:rPr>
        <w:t>the European Economic and Monetary Union (</w:t>
      </w:r>
      <w:r w:rsidRPr="00216A71">
        <w:rPr>
          <w:rFonts w:eastAsia="SimSun" w:cstheme="minorHAnsi"/>
          <w:szCs w:val="20"/>
          <w:lang w:eastAsia="zh-CN"/>
        </w:rPr>
        <w:t>EMU</w:t>
      </w:r>
      <w:r w:rsidR="00BC10F5">
        <w:rPr>
          <w:rFonts w:eastAsia="SimSun" w:cstheme="minorHAnsi"/>
          <w:szCs w:val="20"/>
          <w:lang w:eastAsia="zh-CN"/>
        </w:rPr>
        <w:t>)</w:t>
      </w:r>
      <w:r w:rsidRPr="00216A71">
        <w:rPr>
          <w:rFonts w:eastAsia="SimSun" w:cstheme="minorHAnsi"/>
          <w:szCs w:val="20"/>
          <w:lang w:eastAsia="zh-CN"/>
        </w:rPr>
        <w:t xml:space="preserve"> (produced before the Eurostat ruling)</w:t>
      </w:r>
      <w:r w:rsidRPr="00216A71">
        <w:rPr>
          <w:rFonts w:eastAsia="SimSun" w:cstheme="minorHAnsi"/>
          <w:color w:val="231F20"/>
          <w:szCs w:val="20"/>
          <w:lang w:eastAsia="zh-CN"/>
        </w:rPr>
        <w:t xml:space="preserve"> said</w:t>
      </w:r>
      <w:r w:rsidR="00BC10F5">
        <w:rPr>
          <w:rFonts w:eastAsia="SimSun" w:cstheme="minorHAnsi"/>
          <w:szCs w:val="20"/>
          <w:lang w:eastAsia="zh-CN"/>
        </w:rPr>
        <w:t>,</w:t>
      </w:r>
      <w:r w:rsidRPr="00216A71">
        <w:rPr>
          <w:rFonts w:eastAsia="SimSun" w:cstheme="minorHAnsi"/>
          <w:szCs w:val="20"/>
          <w:lang w:eastAsia="zh-CN"/>
        </w:rPr>
        <w:t xml:space="preserve"> “</w:t>
      </w:r>
      <w:r w:rsidR="00191F44">
        <w:rPr>
          <w:rFonts w:eastAsia="SimSun" w:cstheme="minorHAnsi"/>
          <w:szCs w:val="20"/>
          <w:lang w:eastAsia="zh-CN"/>
        </w:rPr>
        <w:t>T</w:t>
      </w:r>
      <w:r w:rsidRPr="00216A71">
        <w:rPr>
          <w:rFonts w:eastAsia="SimSun" w:cstheme="minorHAnsi"/>
          <w:color w:val="231F20"/>
          <w:szCs w:val="20"/>
          <w:lang w:eastAsia="zh-CN"/>
        </w:rPr>
        <w:t xml:space="preserve">here is the risk that the recourse to PPPs is increasingly motivated instead by the purpose of putting capital spending outside government budgets, in order to bypass budgetary constraints. If this is the case, then it may happen that PPPs are carried out even when they are more costly than purely public investment.” </w:t>
      </w:r>
      <w:r w:rsidRPr="00216A71">
        <w:rPr>
          <w:rStyle w:val="EndnoteReference"/>
          <w:rFonts w:eastAsia="SimSun" w:cstheme="minorHAnsi"/>
          <w:szCs w:val="20"/>
          <w:lang w:eastAsia="zh-CN"/>
        </w:rPr>
        <w:endnoteReference w:id="4"/>
      </w:r>
      <w:r w:rsidRPr="00216A71">
        <w:rPr>
          <w:rFonts w:eastAsia="SimSun" w:cstheme="minorHAnsi"/>
          <w:color w:val="231F20"/>
          <w:szCs w:val="20"/>
          <w:lang w:eastAsia="zh-CN"/>
        </w:rPr>
        <w:t xml:space="preserve"> </w:t>
      </w:r>
    </w:p>
    <w:p w:rsidR="000C629A" w:rsidRDefault="00EA47F5" w:rsidP="00191F44">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szCs w:val="20"/>
        </w:rPr>
      </w:pPr>
      <w:r w:rsidRPr="00216A71">
        <w:rPr>
          <w:rFonts w:cstheme="minorHAnsi"/>
          <w:szCs w:val="20"/>
        </w:rPr>
        <w:t xml:space="preserve">In October 2005, PPPs were again being treated </w:t>
      </w:r>
      <w:r w:rsidR="00C61C11" w:rsidRPr="00216A71">
        <w:rPr>
          <w:rFonts w:cstheme="minorHAnsi"/>
          <w:szCs w:val="20"/>
        </w:rPr>
        <w:t xml:space="preserve">with </w:t>
      </w:r>
      <w:r w:rsidRPr="00216A71">
        <w:rPr>
          <w:rFonts w:cstheme="minorHAnsi"/>
          <w:szCs w:val="20"/>
        </w:rPr>
        <w:t>suspicion: “</w:t>
      </w:r>
      <w:r w:rsidRPr="00216A71">
        <w:rPr>
          <w:rFonts w:cstheme="minorHAnsi"/>
          <w:color w:val="000000"/>
          <w:szCs w:val="20"/>
        </w:rPr>
        <w:t xml:space="preserve">Monetary </w:t>
      </w:r>
      <w:r w:rsidR="00C61C11" w:rsidRPr="00216A71">
        <w:rPr>
          <w:rFonts w:cstheme="minorHAnsi"/>
          <w:color w:val="000000"/>
          <w:szCs w:val="20"/>
        </w:rPr>
        <w:t>A</w:t>
      </w:r>
      <w:r w:rsidRPr="00216A71">
        <w:rPr>
          <w:rFonts w:cstheme="minorHAnsi"/>
          <w:color w:val="000000"/>
          <w:szCs w:val="20"/>
        </w:rPr>
        <w:t xml:space="preserve">ffairs </w:t>
      </w:r>
      <w:r w:rsidR="00C61C11" w:rsidRPr="00216A71">
        <w:rPr>
          <w:rFonts w:cstheme="minorHAnsi"/>
          <w:color w:val="000000"/>
          <w:szCs w:val="20"/>
        </w:rPr>
        <w:t>C</w:t>
      </w:r>
      <w:r w:rsidRPr="00216A71">
        <w:rPr>
          <w:rFonts w:cstheme="minorHAnsi"/>
          <w:color w:val="000000"/>
          <w:szCs w:val="20"/>
        </w:rPr>
        <w:t xml:space="preserve">ommissioner Joaquin Almunia accused national governments of using </w:t>
      </w:r>
      <w:r w:rsidR="00BC10F5">
        <w:rPr>
          <w:rFonts w:cstheme="minorHAnsi"/>
          <w:color w:val="000000"/>
          <w:szCs w:val="20"/>
        </w:rPr>
        <w:t>‘</w:t>
      </w:r>
      <w:r w:rsidRPr="00216A71">
        <w:rPr>
          <w:rFonts w:cstheme="minorHAnsi"/>
          <w:color w:val="000000"/>
          <w:szCs w:val="20"/>
        </w:rPr>
        <w:t>tricks</w:t>
      </w:r>
      <w:r w:rsidR="00BC10F5">
        <w:rPr>
          <w:rFonts w:cstheme="minorHAnsi"/>
          <w:color w:val="000000"/>
          <w:szCs w:val="20"/>
        </w:rPr>
        <w:t>’</w:t>
      </w:r>
      <w:r w:rsidRPr="00216A71">
        <w:rPr>
          <w:rFonts w:cstheme="minorHAnsi"/>
          <w:color w:val="000000"/>
          <w:szCs w:val="20"/>
        </w:rPr>
        <w:t xml:space="preserve"> to artificially cut budgetary deficits, as member states try to be seen to be following the </w:t>
      </w:r>
      <w:r w:rsidR="008F1153" w:rsidRPr="00216A71">
        <w:rPr>
          <w:rFonts w:cstheme="minorHAnsi"/>
          <w:color w:val="000000"/>
          <w:szCs w:val="20"/>
        </w:rPr>
        <w:t>Eurozone’s</w:t>
      </w:r>
      <w:r w:rsidRPr="00216A71">
        <w:rPr>
          <w:rFonts w:cstheme="minorHAnsi"/>
          <w:color w:val="000000"/>
          <w:szCs w:val="20"/>
        </w:rPr>
        <w:t xml:space="preserve"> rules….</w:t>
      </w:r>
      <w:r w:rsidR="004045AD">
        <w:rPr>
          <w:rFonts w:cstheme="minorHAnsi"/>
          <w:color w:val="000000"/>
          <w:szCs w:val="20"/>
        </w:rPr>
        <w:t xml:space="preserve"> </w:t>
      </w:r>
      <w:r w:rsidRPr="00216A71">
        <w:rPr>
          <w:rFonts w:cstheme="minorHAnsi"/>
          <w:color w:val="000000"/>
          <w:szCs w:val="20"/>
        </w:rPr>
        <w:t>He particularly referred to so-called Public-Private Partnerships (</w:t>
      </w:r>
      <w:r w:rsidRPr="00216A71">
        <w:rPr>
          <w:rFonts w:cstheme="minorHAnsi"/>
          <w:bCs/>
          <w:color w:val="000000"/>
          <w:szCs w:val="20"/>
        </w:rPr>
        <w:t>PPP)</w:t>
      </w:r>
      <w:r w:rsidRPr="00216A71">
        <w:rPr>
          <w:rFonts w:cstheme="minorHAnsi"/>
          <w:color w:val="000000"/>
          <w:szCs w:val="20"/>
        </w:rPr>
        <w:t>, which share the financial burden of large infrastructure projects. According to Mr</w:t>
      </w:r>
      <w:r w:rsidR="00BC10F5">
        <w:rPr>
          <w:rFonts w:cstheme="minorHAnsi"/>
          <w:color w:val="000000"/>
          <w:szCs w:val="20"/>
        </w:rPr>
        <w:t>.</w:t>
      </w:r>
      <w:r w:rsidRPr="00216A71">
        <w:rPr>
          <w:rFonts w:cstheme="minorHAnsi"/>
          <w:color w:val="000000"/>
          <w:szCs w:val="20"/>
        </w:rPr>
        <w:t xml:space="preserve"> Almunia, it has become increasingly difficult for the EU executive, in charge of monitoring member states' budgetary performance, to look through such tendencies and figure out the real height of the countries' deficits. … The commissioner stressed that </w:t>
      </w:r>
      <w:r w:rsidRPr="00216A71">
        <w:rPr>
          <w:rFonts w:cstheme="minorHAnsi"/>
          <w:bCs/>
          <w:color w:val="000000"/>
          <w:szCs w:val="20"/>
        </w:rPr>
        <w:t>Europe</w:t>
      </w:r>
      <w:r w:rsidRPr="00216A71">
        <w:rPr>
          <w:rFonts w:cstheme="minorHAnsi"/>
          <w:color w:val="000000"/>
          <w:szCs w:val="20"/>
        </w:rPr>
        <w:t xml:space="preserve"> should avoid the situation where public accounts imitate the creative accounting of some companies in the past.” </w:t>
      </w:r>
      <w:r w:rsidRPr="00216A71">
        <w:rPr>
          <w:rStyle w:val="EndnoteReference"/>
          <w:rFonts w:cstheme="minorHAnsi"/>
          <w:color w:val="000000"/>
          <w:szCs w:val="20"/>
        </w:rPr>
        <w:endnoteReference w:id="5"/>
      </w:r>
    </w:p>
    <w:p w:rsidR="000C629A" w:rsidRDefault="00EA47F5" w:rsidP="00EA47F5">
      <w:pPr>
        <w:pBdr>
          <w:top w:val="single" w:sz="4" w:space="1" w:color="auto"/>
          <w:left w:val="single" w:sz="4" w:space="4" w:color="auto"/>
          <w:bottom w:val="single" w:sz="4" w:space="1" w:color="auto"/>
          <w:right w:val="single" w:sz="4" w:space="4" w:color="auto"/>
        </w:pBdr>
        <w:jc w:val="both"/>
        <w:rPr>
          <w:rFonts w:cstheme="minorHAnsi"/>
          <w:szCs w:val="20"/>
        </w:rPr>
      </w:pPr>
      <w:r w:rsidRPr="00216A71">
        <w:rPr>
          <w:rFonts w:cstheme="minorHAnsi"/>
          <w:szCs w:val="20"/>
        </w:rPr>
        <w:t xml:space="preserve">The dilemma was solved, for supporters of PPPs, by a ruling of Eurostat, the Statistical Office of the EC, that the assets involved in a PPP should be classified as non-government assets, and therefore recorded off </w:t>
      </w:r>
      <w:r w:rsidRPr="00216A71">
        <w:rPr>
          <w:rFonts w:cstheme="minorHAnsi"/>
          <w:szCs w:val="20"/>
        </w:rPr>
        <w:lastRenderedPageBreak/>
        <w:t>balance sheet for government, as long as (a) the private partner bears the construction risk, and (b) the private partner bears either availability or demand risk.</w:t>
      </w:r>
      <w:r w:rsidRPr="00216A71">
        <w:rPr>
          <w:rStyle w:val="EndnoteReference"/>
          <w:rFonts w:cstheme="minorHAnsi"/>
          <w:szCs w:val="20"/>
        </w:rPr>
        <w:endnoteReference w:id="6"/>
      </w:r>
      <w:r w:rsidRPr="00216A71">
        <w:rPr>
          <w:rFonts w:cstheme="minorHAnsi"/>
          <w:szCs w:val="20"/>
        </w:rPr>
        <w:t xml:space="preserve"> </w:t>
      </w:r>
    </w:p>
    <w:p w:rsidR="00EA47F5" w:rsidRPr="00216A71" w:rsidRDefault="00EA47F5" w:rsidP="00EA47F5">
      <w:pPr>
        <w:pBdr>
          <w:top w:val="single" w:sz="4" w:space="1" w:color="auto"/>
          <w:left w:val="single" w:sz="4" w:space="4" w:color="auto"/>
          <w:bottom w:val="single" w:sz="4" w:space="1" w:color="auto"/>
          <w:right w:val="single" w:sz="4" w:space="4" w:color="auto"/>
        </w:pBdr>
        <w:rPr>
          <w:rFonts w:eastAsia="SimSun" w:cstheme="minorHAnsi"/>
          <w:szCs w:val="20"/>
          <w:lang w:eastAsia="zh-CN"/>
        </w:rPr>
      </w:pPr>
      <w:r w:rsidRPr="00216A71">
        <w:rPr>
          <w:rFonts w:cstheme="minorHAnsi"/>
          <w:szCs w:val="20"/>
        </w:rPr>
        <w:t>The IMF was unimpressed with this ruling, seeing this as an invitation to creative accounting to avoid the fiscal rules. In March 2004 it described the Eurostat decision as “problematic</w:t>
      </w:r>
      <w:r w:rsidR="00BC10F5">
        <w:rPr>
          <w:rFonts w:cstheme="minorHAnsi"/>
          <w:szCs w:val="20"/>
        </w:rPr>
        <w:t>,</w:t>
      </w:r>
      <w:r w:rsidRPr="00216A71">
        <w:rPr>
          <w:rFonts w:cstheme="minorHAnsi"/>
          <w:szCs w:val="20"/>
        </w:rPr>
        <w:t>”</w:t>
      </w:r>
      <w:r w:rsidRPr="00216A71">
        <w:rPr>
          <w:rStyle w:val="EndnoteReference"/>
          <w:rFonts w:eastAsia="SimSun" w:cstheme="minorHAnsi"/>
          <w:szCs w:val="20"/>
          <w:lang w:eastAsia="zh-CN"/>
        </w:rPr>
        <w:t xml:space="preserve"> </w:t>
      </w:r>
      <w:r w:rsidRPr="00216A71">
        <w:rPr>
          <w:rStyle w:val="EndnoteReference"/>
          <w:rFonts w:eastAsia="SimSun" w:cstheme="minorHAnsi"/>
          <w:szCs w:val="20"/>
          <w:lang w:eastAsia="zh-CN"/>
        </w:rPr>
        <w:endnoteReference w:id="7"/>
      </w:r>
      <w:r w:rsidRPr="00216A71">
        <w:rPr>
          <w:rFonts w:cstheme="minorHAnsi"/>
          <w:szCs w:val="20"/>
        </w:rPr>
        <w:t xml:space="preserve"> declaring that the “</w:t>
      </w:r>
      <w:r w:rsidRPr="00216A71">
        <w:rPr>
          <w:rFonts w:eastAsia="SimSun" w:cstheme="minorHAnsi"/>
          <w:szCs w:val="20"/>
          <w:lang w:eastAsia="zh-CN"/>
        </w:rPr>
        <w:t>recent Eurostat decision on accounting for risk transfer gives</w:t>
      </w:r>
      <w:r w:rsidR="00C61C11" w:rsidRPr="00216A71">
        <w:rPr>
          <w:rFonts w:eastAsia="SimSun" w:cstheme="minorHAnsi"/>
          <w:szCs w:val="20"/>
          <w:lang w:eastAsia="zh-CN"/>
        </w:rPr>
        <w:t xml:space="preserve"> considerable cause for concern</w:t>
      </w:r>
      <w:r w:rsidRPr="00216A71">
        <w:rPr>
          <w:rFonts w:eastAsia="SimSun" w:cstheme="minorHAnsi"/>
          <w:szCs w:val="20"/>
          <w:lang w:eastAsia="zh-CN"/>
        </w:rPr>
        <w:t>, because it is likely to result in most PPPs being classified as private investment. …. Since most PPPs involve the private sector bearing construction and availability risk, they will probably be treated as private investment, even though the government bears substantial demand risk (e.g., when it guarantees to the private operator a minimum level of demand for the service provided through the PPP). …the recent decision …. thus could provide an incentive for EU governments to resort to PPPs mainly to circumvent the Stability and Growth Pact (SGP) fiscal constraints.”</w:t>
      </w:r>
      <w:r w:rsidRPr="00216A71">
        <w:rPr>
          <w:rStyle w:val="EndnoteReference"/>
          <w:rFonts w:eastAsia="SimSun" w:cstheme="minorHAnsi"/>
          <w:szCs w:val="20"/>
          <w:lang w:eastAsia="zh-CN"/>
        </w:rPr>
        <w:endnoteReference w:id="8"/>
      </w:r>
      <w:r w:rsidR="004045AD">
        <w:rPr>
          <w:rFonts w:eastAsia="SimSun" w:cstheme="minorHAnsi"/>
          <w:szCs w:val="20"/>
          <w:lang w:eastAsia="zh-CN"/>
        </w:rPr>
        <w:t xml:space="preserve"> </w:t>
      </w:r>
    </w:p>
    <w:p w:rsidR="00DE46E2" w:rsidRPr="00216A71" w:rsidRDefault="003B6BBC" w:rsidP="00C66997">
      <w:pPr>
        <w:pStyle w:val="Heading2"/>
        <w:rPr>
          <w:rFonts w:asciiTheme="minorHAnsi" w:hAnsiTheme="minorHAnsi" w:cstheme="minorHAnsi"/>
          <w:szCs w:val="20"/>
        </w:rPr>
      </w:pPr>
      <w:bookmarkStart w:id="4" w:name="_Toc392857520"/>
      <w:r w:rsidRPr="00216A71">
        <w:rPr>
          <w:rFonts w:asciiTheme="minorHAnsi" w:hAnsiTheme="minorHAnsi" w:cstheme="minorHAnsi"/>
          <w:szCs w:val="20"/>
        </w:rPr>
        <w:t>Rise and fall: caught out by the crisis</w:t>
      </w:r>
      <w:bookmarkEnd w:id="4"/>
    </w:p>
    <w:p w:rsidR="000C629A" w:rsidRDefault="00BA0051" w:rsidP="002435BE">
      <w:pPr>
        <w:rPr>
          <w:rFonts w:cstheme="minorHAnsi"/>
          <w:szCs w:val="20"/>
        </w:rPr>
      </w:pPr>
      <w:r w:rsidRPr="00216A71">
        <w:rPr>
          <w:rFonts w:cstheme="minorHAnsi"/>
          <w:szCs w:val="20"/>
        </w:rPr>
        <w:t xml:space="preserve">There was a growth in the number of PPPs in many countries until the </w:t>
      </w:r>
      <w:r w:rsidR="00C61C11" w:rsidRPr="00216A71">
        <w:rPr>
          <w:rFonts w:cstheme="minorHAnsi"/>
          <w:szCs w:val="20"/>
        </w:rPr>
        <w:t>late 2000s, but this has been</w:t>
      </w:r>
      <w:r w:rsidR="00772CE5" w:rsidRPr="00216A71">
        <w:rPr>
          <w:rFonts w:cstheme="minorHAnsi"/>
          <w:szCs w:val="20"/>
        </w:rPr>
        <w:t xml:space="preserve"> </w:t>
      </w:r>
      <w:r w:rsidR="002435BE" w:rsidRPr="00216A71">
        <w:rPr>
          <w:rFonts w:cstheme="minorHAnsi"/>
          <w:szCs w:val="20"/>
        </w:rPr>
        <w:t>badly affected by the financial crisis which has made it very difficult for private companies to borrow money.</w:t>
      </w:r>
      <w:r w:rsidR="004045AD">
        <w:rPr>
          <w:rFonts w:cstheme="minorHAnsi"/>
          <w:szCs w:val="20"/>
        </w:rPr>
        <w:t xml:space="preserve"> </w:t>
      </w:r>
      <w:r w:rsidR="00653BFA" w:rsidRPr="00216A71">
        <w:rPr>
          <w:rFonts w:cstheme="minorHAnsi"/>
          <w:szCs w:val="20"/>
        </w:rPr>
        <w:t>Companies always had to pay higher interest than governments on loans – but after the crisis the gap has wide</w:t>
      </w:r>
      <w:r w:rsidR="005443FF">
        <w:rPr>
          <w:rFonts w:cstheme="minorHAnsi"/>
          <w:szCs w:val="20"/>
        </w:rPr>
        <w:t xml:space="preserve">ned </w:t>
      </w:r>
      <w:r w:rsidR="00653BFA" w:rsidRPr="00216A71">
        <w:rPr>
          <w:rFonts w:cstheme="minorHAnsi"/>
          <w:szCs w:val="20"/>
        </w:rPr>
        <w:t>a</w:t>
      </w:r>
      <w:r w:rsidR="006B7A10" w:rsidRPr="00216A71">
        <w:rPr>
          <w:rFonts w:cstheme="minorHAnsi"/>
          <w:szCs w:val="20"/>
        </w:rPr>
        <w:t>s b</w:t>
      </w:r>
      <w:r w:rsidR="00772CE5" w:rsidRPr="00216A71">
        <w:rPr>
          <w:rFonts w:cstheme="minorHAnsi"/>
          <w:szCs w:val="20"/>
        </w:rPr>
        <w:t xml:space="preserve">anks </w:t>
      </w:r>
      <w:r w:rsidR="006B7A10" w:rsidRPr="00216A71">
        <w:rPr>
          <w:rFonts w:cstheme="minorHAnsi"/>
          <w:szCs w:val="20"/>
        </w:rPr>
        <w:t xml:space="preserve">are </w:t>
      </w:r>
      <w:r w:rsidR="00772CE5" w:rsidRPr="00216A71">
        <w:rPr>
          <w:rFonts w:cstheme="minorHAnsi"/>
          <w:szCs w:val="20"/>
        </w:rPr>
        <w:t>not willing to lend</w:t>
      </w:r>
      <w:r w:rsidR="006B7A10" w:rsidRPr="00216A71">
        <w:rPr>
          <w:rFonts w:cstheme="minorHAnsi"/>
          <w:szCs w:val="20"/>
        </w:rPr>
        <w:t xml:space="preserve"> to private companies for such large long-term projects.</w:t>
      </w:r>
    </w:p>
    <w:p w:rsidR="000C629A" w:rsidRDefault="002435BE" w:rsidP="002435BE">
      <w:pPr>
        <w:rPr>
          <w:rFonts w:cstheme="minorHAnsi"/>
          <w:szCs w:val="20"/>
        </w:rPr>
      </w:pPr>
      <w:r w:rsidRPr="00216A71">
        <w:rPr>
          <w:rFonts w:cstheme="minorHAnsi"/>
          <w:szCs w:val="20"/>
        </w:rPr>
        <w:t>In Europe, the number and value of PPPs in 2012 was the lowest for at least 10 years, with 66 new deals worth €11.7 billion. Half of this was in the UK, and most of the rest was in France and Netherlands: the rest of Europe made very little use of PPPs.</w:t>
      </w:r>
      <w:r w:rsidR="004045AD">
        <w:rPr>
          <w:rFonts w:cstheme="minorHAnsi"/>
          <w:szCs w:val="20"/>
        </w:rPr>
        <w:t xml:space="preserve"> </w:t>
      </w:r>
      <w:r w:rsidRPr="00216A71">
        <w:rPr>
          <w:rFonts w:cstheme="minorHAnsi"/>
          <w:szCs w:val="20"/>
        </w:rPr>
        <w:t>The average interest rate on the borrowing of PPPs increased. The main factors behind this decline, according to the EIB, were changes in the political climate, the lack of government guarantees, and austerity measures leading to general cuts in public spending plans.</w:t>
      </w:r>
      <w:r w:rsidRPr="00216A71">
        <w:rPr>
          <w:rStyle w:val="EndnoteReference"/>
          <w:rFonts w:cstheme="minorHAnsi"/>
          <w:szCs w:val="20"/>
        </w:rPr>
        <w:endnoteReference w:id="9"/>
      </w:r>
    </w:p>
    <w:p w:rsidR="000C629A" w:rsidRDefault="000979F0" w:rsidP="002435BE">
      <w:pPr>
        <w:rPr>
          <w:rFonts w:cstheme="minorHAnsi"/>
          <w:szCs w:val="20"/>
        </w:rPr>
      </w:pPr>
      <w:r w:rsidRPr="00216A71">
        <w:rPr>
          <w:rFonts w:cstheme="minorHAnsi"/>
          <w:szCs w:val="20"/>
        </w:rPr>
        <w:t xml:space="preserve">Although PPPs are often promoted as a solution for countries under fiscal constraints, the evidence suggests rather that they worsen fiscal problems. </w:t>
      </w:r>
      <w:r w:rsidRPr="00216A71">
        <w:rPr>
          <w:rFonts w:cstheme="minorHAnsi"/>
          <w:szCs w:val="20"/>
          <w:lang w:val="en-US"/>
        </w:rPr>
        <w:t>According to the EIB, the six countries which have made the greatest use of PPPs in recent years are Cyprus, Greece, Ireland, Portugal, Spain and the UK. Four of these are subject to ‘Troika’ rescue packages, and the other two – Spain and the UK – both face large fiscal problems.</w:t>
      </w:r>
      <w:r w:rsidRPr="00216A71">
        <w:rPr>
          <w:rFonts w:cstheme="minorHAnsi"/>
          <w:szCs w:val="20"/>
        </w:rPr>
        <w:t xml:space="preserve"> In both Portugal and Cyprus, the IMF/EU ‘troika’ packages have identified PPPs as a contributory cause of the countries’ fiscal problems, and required an audit and renegotiation of existing PPPs and a freeze on new PPPs.</w:t>
      </w:r>
      <w:r w:rsidRPr="00216A71">
        <w:rPr>
          <w:rFonts w:cstheme="minorHAnsi"/>
          <w:szCs w:val="20"/>
          <w:vertAlign w:val="superscript"/>
        </w:rPr>
        <w:endnoteReference w:id="10"/>
      </w:r>
      <w:r w:rsidRPr="00216A71">
        <w:rPr>
          <w:rFonts w:cstheme="minorHAnsi"/>
          <w:szCs w:val="20"/>
        </w:rPr>
        <w:t xml:space="preserve"> </w:t>
      </w:r>
      <w:r w:rsidR="00542B1C" w:rsidRPr="00216A71">
        <w:rPr>
          <w:rFonts w:cstheme="minorHAnsi"/>
          <w:szCs w:val="20"/>
        </w:rPr>
        <w:t xml:space="preserve">(see </w:t>
      </w:r>
      <w:r w:rsidR="00A50131" w:rsidRPr="00216A71">
        <w:rPr>
          <w:rFonts w:cstheme="minorHAnsi"/>
          <w:szCs w:val="20"/>
        </w:rPr>
        <w:t>case study</w:t>
      </w:r>
      <w:r w:rsidR="00542B1C" w:rsidRPr="00216A71">
        <w:rPr>
          <w:rFonts w:cstheme="minorHAnsi"/>
          <w:szCs w:val="20"/>
        </w:rPr>
        <w:t>)</w:t>
      </w:r>
    </w:p>
    <w:p w:rsidR="00653BFA" w:rsidRPr="00216A71" w:rsidRDefault="00DC0718" w:rsidP="002435BE">
      <w:pPr>
        <w:rPr>
          <w:rFonts w:cstheme="minorHAnsi"/>
          <w:szCs w:val="20"/>
        </w:rPr>
      </w:pPr>
      <w:r w:rsidRPr="00216A71">
        <w:rPr>
          <w:rFonts w:cstheme="minorHAnsi"/>
          <w:szCs w:val="20"/>
        </w:rPr>
        <w:t>In Lati</w:t>
      </w:r>
      <w:r w:rsidR="00BA0051" w:rsidRPr="00216A71">
        <w:rPr>
          <w:rFonts w:cstheme="minorHAnsi"/>
          <w:szCs w:val="20"/>
        </w:rPr>
        <w:t>n America, PPPs are also concen</w:t>
      </w:r>
      <w:r w:rsidRPr="00216A71">
        <w:rPr>
          <w:rFonts w:cstheme="minorHAnsi"/>
          <w:szCs w:val="20"/>
        </w:rPr>
        <w:t>trated in very few countries. Brazil and Mexico account for 65</w:t>
      </w:r>
      <w:r w:rsidR="00A42FDE">
        <w:rPr>
          <w:rFonts w:cstheme="minorHAnsi"/>
          <w:szCs w:val="20"/>
        </w:rPr>
        <w:t xml:space="preserve"> per cent</w:t>
      </w:r>
      <w:r w:rsidRPr="00216A71">
        <w:rPr>
          <w:rFonts w:cstheme="minorHAnsi"/>
          <w:szCs w:val="20"/>
        </w:rPr>
        <w:t xml:space="preserve"> of all PPPs; Colombia, Peru, and Chile account for a further 15</w:t>
      </w:r>
      <w:r w:rsidR="00A42FDE">
        <w:rPr>
          <w:rFonts w:cstheme="minorHAnsi"/>
          <w:szCs w:val="20"/>
        </w:rPr>
        <w:t xml:space="preserve"> per cent</w:t>
      </w:r>
      <w:r w:rsidRPr="00216A71">
        <w:rPr>
          <w:rFonts w:cstheme="minorHAnsi"/>
          <w:szCs w:val="20"/>
        </w:rPr>
        <w:t>.</w:t>
      </w:r>
    </w:p>
    <w:p w:rsidR="002435BE" w:rsidRPr="00216A71" w:rsidRDefault="002435BE" w:rsidP="002435BE">
      <w:pPr>
        <w:pStyle w:val="Heading7"/>
        <w:rPr>
          <w:rFonts w:asciiTheme="minorHAnsi" w:hAnsiTheme="minorHAnsi" w:cstheme="minorHAnsi"/>
          <w:szCs w:val="20"/>
        </w:rPr>
      </w:pPr>
      <w:bookmarkStart w:id="5" w:name="_Toc374451086"/>
      <w:r w:rsidRPr="00216A71">
        <w:rPr>
          <w:rFonts w:asciiTheme="minorHAnsi" w:hAnsiTheme="minorHAnsi" w:cstheme="minorHAnsi"/>
          <w:szCs w:val="20"/>
        </w:rPr>
        <w:t>PPPs funded 1985-2009</w:t>
      </w:r>
      <w:bookmarkEnd w:id="5"/>
      <w:r w:rsidRPr="00216A71">
        <w:rPr>
          <w:rFonts w:asciiTheme="minorHAnsi" w:hAnsiTheme="minorHAnsi" w:cstheme="minorHAnsi"/>
          <w:szCs w:val="20"/>
        </w:rPr>
        <w:t xml:space="preserve">: by region </w:t>
      </w:r>
    </w:p>
    <w:tbl>
      <w:tblPr>
        <w:tblStyle w:val="TableGrid"/>
        <w:tblW w:w="6487" w:type="dxa"/>
        <w:tblLook w:val="04A0" w:firstRow="1" w:lastRow="0" w:firstColumn="1" w:lastColumn="0" w:noHBand="0" w:noVBand="1"/>
      </w:tblPr>
      <w:tblGrid>
        <w:gridCol w:w="2802"/>
        <w:gridCol w:w="1559"/>
        <w:gridCol w:w="2126"/>
      </w:tblGrid>
      <w:tr w:rsidR="002435BE" w:rsidRPr="00216A71" w:rsidTr="00D408D1">
        <w:tc>
          <w:tcPr>
            <w:tcW w:w="2802" w:type="dxa"/>
          </w:tcPr>
          <w:p w:rsidR="002435BE" w:rsidRPr="00216A71" w:rsidRDefault="002435BE" w:rsidP="00D408D1">
            <w:pPr>
              <w:rPr>
                <w:rFonts w:cstheme="minorHAnsi"/>
                <w:szCs w:val="20"/>
              </w:rPr>
            </w:pPr>
          </w:p>
        </w:tc>
        <w:tc>
          <w:tcPr>
            <w:tcW w:w="1559" w:type="dxa"/>
          </w:tcPr>
          <w:p w:rsidR="002435BE" w:rsidRPr="00216A71" w:rsidRDefault="002435BE" w:rsidP="00D408D1">
            <w:pPr>
              <w:rPr>
                <w:rFonts w:cstheme="minorHAnsi"/>
                <w:szCs w:val="20"/>
              </w:rPr>
            </w:pPr>
            <w:r w:rsidRPr="00216A71">
              <w:rPr>
                <w:rFonts w:cstheme="minorHAnsi"/>
                <w:szCs w:val="20"/>
              </w:rPr>
              <w:t>Number of PPPs</w:t>
            </w:r>
          </w:p>
        </w:tc>
        <w:tc>
          <w:tcPr>
            <w:tcW w:w="2126" w:type="dxa"/>
          </w:tcPr>
          <w:p w:rsidR="002435BE" w:rsidRPr="00216A71" w:rsidRDefault="002435BE" w:rsidP="00D408D1">
            <w:pPr>
              <w:rPr>
                <w:rFonts w:cstheme="minorHAnsi"/>
                <w:szCs w:val="20"/>
              </w:rPr>
            </w:pPr>
            <w:r w:rsidRPr="00216A71">
              <w:rPr>
                <w:rFonts w:cstheme="minorHAnsi"/>
                <w:szCs w:val="20"/>
              </w:rPr>
              <w:t>Value USD</w:t>
            </w:r>
            <w:r w:rsidR="00A42FDE">
              <w:rPr>
                <w:rFonts w:cstheme="minorHAnsi"/>
                <w:szCs w:val="20"/>
              </w:rPr>
              <w:t xml:space="preserve"> </w:t>
            </w:r>
            <w:r w:rsidRPr="00216A71">
              <w:rPr>
                <w:rFonts w:cstheme="minorHAnsi"/>
                <w:szCs w:val="20"/>
              </w:rPr>
              <w:t>$ billion</w:t>
            </w:r>
          </w:p>
        </w:tc>
      </w:tr>
      <w:tr w:rsidR="00E45505" w:rsidRPr="00216A71" w:rsidTr="007B656E">
        <w:tc>
          <w:tcPr>
            <w:tcW w:w="2802" w:type="dxa"/>
          </w:tcPr>
          <w:p w:rsidR="00E45505" w:rsidRPr="00216A71" w:rsidRDefault="00E45505" w:rsidP="007B656E">
            <w:pPr>
              <w:rPr>
                <w:rFonts w:cstheme="minorHAnsi"/>
                <w:szCs w:val="20"/>
              </w:rPr>
            </w:pPr>
            <w:r w:rsidRPr="00216A71">
              <w:rPr>
                <w:rFonts w:cstheme="minorHAnsi"/>
                <w:szCs w:val="20"/>
              </w:rPr>
              <w:t>Europe</w:t>
            </w:r>
          </w:p>
        </w:tc>
        <w:tc>
          <w:tcPr>
            <w:tcW w:w="1559" w:type="dxa"/>
          </w:tcPr>
          <w:p w:rsidR="00E45505" w:rsidRPr="00216A71" w:rsidRDefault="00E45505" w:rsidP="007B656E">
            <w:pPr>
              <w:jc w:val="right"/>
              <w:rPr>
                <w:rFonts w:cstheme="minorHAnsi"/>
                <w:szCs w:val="20"/>
              </w:rPr>
            </w:pPr>
            <w:r w:rsidRPr="00216A71">
              <w:rPr>
                <w:rFonts w:cstheme="minorHAnsi"/>
                <w:szCs w:val="20"/>
              </w:rPr>
              <w:t>642</w:t>
            </w:r>
          </w:p>
        </w:tc>
        <w:tc>
          <w:tcPr>
            <w:tcW w:w="2126" w:type="dxa"/>
          </w:tcPr>
          <w:p w:rsidR="00E45505" w:rsidRPr="00216A71" w:rsidRDefault="00E45505" w:rsidP="007B656E">
            <w:pPr>
              <w:jc w:val="right"/>
              <w:rPr>
                <w:rFonts w:cstheme="minorHAnsi"/>
                <w:szCs w:val="20"/>
              </w:rPr>
            </w:pPr>
            <w:r w:rsidRPr="00216A71">
              <w:rPr>
                <w:rFonts w:cstheme="minorHAnsi"/>
                <w:szCs w:val="20"/>
              </w:rPr>
              <w:t>302.9</w:t>
            </w:r>
          </w:p>
        </w:tc>
      </w:tr>
      <w:tr w:rsidR="00E45505" w:rsidRPr="00216A71" w:rsidTr="007B656E">
        <w:tc>
          <w:tcPr>
            <w:tcW w:w="2802" w:type="dxa"/>
          </w:tcPr>
          <w:p w:rsidR="00E45505" w:rsidRPr="00216A71" w:rsidRDefault="00E45505" w:rsidP="007B656E">
            <w:pPr>
              <w:rPr>
                <w:rFonts w:cstheme="minorHAnsi"/>
                <w:szCs w:val="20"/>
              </w:rPr>
            </w:pPr>
            <w:r w:rsidRPr="00216A71">
              <w:rPr>
                <w:rFonts w:cstheme="minorHAnsi"/>
                <w:szCs w:val="20"/>
              </w:rPr>
              <w:t>Asia</w:t>
            </w:r>
          </w:p>
        </w:tc>
        <w:tc>
          <w:tcPr>
            <w:tcW w:w="1559" w:type="dxa"/>
          </w:tcPr>
          <w:p w:rsidR="00E45505" w:rsidRPr="00216A71" w:rsidRDefault="00E45505" w:rsidP="007B656E">
            <w:pPr>
              <w:jc w:val="right"/>
              <w:rPr>
                <w:rFonts w:cstheme="minorHAnsi"/>
                <w:szCs w:val="20"/>
              </w:rPr>
            </w:pPr>
            <w:r w:rsidRPr="00216A71">
              <w:rPr>
                <w:rFonts w:cstheme="minorHAnsi"/>
                <w:szCs w:val="20"/>
              </w:rPr>
              <w:t>346</w:t>
            </w:r>
          </w:p>
        </w:tc>
        <w:tc>
          <w:tcPr>
            <w:tcW w:w="2126" w:type="dxa"/>
          </w:tcPr>
          <w:p w:rsidR="00E45505" w:rsidRPr="00216A71" w:rsidRDefault="00E45505" w:rsidP="007B656E">
            <w:pPr>
              <w:jc w:val="right"/>
              <w:rPr>
                <w:rFonts w:cstheme="minorHAnsi"/>
                <w:szCs w:val="20"/>
              </w:rPr>
            </w:pPr>
            <w:r w:rsidRPr="00216A71">
              <w:rPr>
                <w:rFonts w:cstheme="minorHAnsi"/>
                <w:szCs w:val="20"/>
              </w:rPr>
              <w:t>155.0</w:t>
            </w:r>
          </w:p>
        </w:tc>
      </w:tr>
      <w:tr w:rsidR="00E45505" w:rsidRPr="00216A71" w:rsidTr="007B656E">
        <w:tc>
          <w:tcPr>
            <w:tcW w:w="2802" w:type="dxa"/>
          </w:tcPr>
          <w:p w:rsidR="00E45505" w:rsidRPr="00216A71" w:rsidRDefault="00E45505" w:rsidP="007B656E">
            <w:pPr>
              <w:rPr>
                <w:rFonts w:cstheme="minorHAnsi"/>
                <w:szCs w:val="20"/>
              </w:rPr>
            </w:pPr>
            <w:r w:rsidRPr="00216A71">
              <w:rPr>
                <w:rFonts w:cstheme="minorHAnsi"/>
                <w:szCs w:val="20"/>
              </w:rPr>
              <w:t>Latin America</w:t>
            </w:r>
          </w:p>
        </w:tc>
        <w:tc>
          <w:tcPr>
            <w:tcW w:w="1559" w:type="dxa"/>
          </w:tcPr>
          <w:p w:rsidR="00E45505" w:rsidRPr="00216A71" w:rsidRDefault="00E45505" w:rsidP="007B656E">
            <w:pPr>
              <w:jc w:val="right"/>
              <w:rPr>
                <w:rFonts w:cstheme="minorHAnsi"/>
                <w:szCs w:val="20"/>
              </w:rPr>
            </w:pPr>
            <w:r w:rsidRPr="00216A71">
              <w:rPr>
                <w:rFonts w:cstheme="minorHAnsi"/>
                <w:szCs w:val="20"/>
              </w:rPr>
              <w:t>253</w:t>
            </w:r>
          </w:p>
        </w:tc>
        <w:tc>
          <w:tcPr>
            <w:tcW w:w="2126" w:type="dxa"/>
          </w:tcPr>
          <w:p w:rsidR="00E45505" w:rsidRPr="00216A71" w:rsidRDefault="00E45505" w:rsidP="007B656E">
            <w:pPr>
              <w:jc w:val="right"/>
              <w:rPr>
                <w:rFonts w:cstheme="minorHAnsi"/>
                <w:szCs w:val="20"/>
              </w:rPr>
            </w:pPr>
            <w:r w:rsidRPr="00216A71">
              <w:rPr>
                <w:rFonts w:cstheme="minorHAnsi"/>
                <w:szCs w:val="20"/>
              </w:rPr>
              <w:t>82.4</w:t>
            </w:r>
          </w:p>
        </w:tc>
      </w:tr>
      <w:tr w:rsidR="002435BE" w:rsidRPr="00216A71" w:rsidTr="00D408D1">
        <w:tc>
          <w:tcPr>
            <w:tcW w:w="2802" w:type="dxa"/>
          </w:tcPr>
          <w:p w:rsidR="002435BE" w:rsidRPr="00216A71" w:rsidRDefault="002435BE" w:rsidP="00D408D1">
            <w:pPr>
              <w:rPr>
                <w:rFonts w:cstheme="minorHAnsi"/>
                <w:szCs w:val="20"/>
              </w:rPr>
            </w:pPr>
            <w:r w:rsidRPr="00216A71">
              <w:rPr>
                <w:rFonts w:cstheme="minorHAnsi"/>
                <w:szCs w:val="20"/>
              </w:rPr>
              <w:t>USA and Canada</w:t>
            </w:r>
          </w:p>
        </w:tc>
        <w:tc>
          <w:tcPr>
            <w:tcW w:w="1559" w:type="dxa"/>
          </w:tcPr>
          <w:p w:rsidR="002435BE" w:rsidRPr="00216A71" w:rsidRDefault="002435BE" w:rsidP="00D408D1">
            <w:pPr>
              <w:jc w:val="right"/>
              <w:rPr>
                <w:rFonts w:cstheme="minorHAnsi"/>
                <w:szCs w:val="20"/>
              </w:rPr>
            </w:pPr>
            <w:r w:rsidRPr="00216A71">
              <w:rPr>
                <w:rFonts w:cstheme="minorHAnsi"/>
                <w:szCs w:val="20"/>
              </w:rPr>
              <w:t>440</w:t>
            </w:r>
          </w:p>
        </w:tc>
        <w:tc>
          <w:tcPr>
            <w:tcW w:w="2126" w:type="dxa"/>
          </w:tcPr>
          <w:p w:rsidR="002435BE" w:rsidRPr="00216A71" w:rsidRDefault="002435BE" w:rsidP="00D408D1">
            <w:pPr>
              <w:jc w:val="right"/>
              <w:rPr>
                <w:rFonts w:cstheme="minorHAnsi"/>
                <w:szCs w:val="20"/>
              </w:rPr>
            </w:pPr>
            <w:r w:rsidRPr="00216A71">
              <w:rPr>
                <w:rFonts w:cstheme="minorHAnsi"/>
                <w:szCs w:val="20"/>
              </w:rPr>
              <w:t>75.4</w:t>
            </w:r>
          </w:p>
        </w:tc>
      </w:tr>
      <w:tr w:rsidR="00E45505" w:rsidRPr="00216A71" w:rsidTr="007B656E">
        <w:tc>
          <w:tcPr>
            <w:tcW w:w="2802" w:type="dxa"/>
          </w:tcPr>
          <w:p w:rsidR="00E45505" w:rsidRPr="00216A71" w:rsidRDefault="00E45505" w:rsidP="007B656E">
            <w:pPr>
              <w:rPr>
                <w:rFonts w:cstheme="minorHAnsi"/>
                <w:szCs w:val="20"/>
              </w:rPr>
            </w:pPr>
            <w:r w:rsidRPr="00216A71">
              <w:rPr>
                <w:rFonts w:cstheme="minorHAnsi"/>
                <w:szCs w:val="20"/>
              </w:rPr>
              <w:t>Africa/MENA</w:t>
            </w:r>
          </w:p>
        </w:tc>
        <w:tc>
          <w:tcPr>
            <w:tcW w:w="1559" w:type="dxa"/>
          </w:tcPr>
          <w:p w:rsidR="00E45505" w:rsidRPr="00216A71" w:rsidRDefault="00E45505" w:rsidP="007B656E">
            <w:pPr>
              <w:jc w:val="right"/>
              <w:rPr>
                <w:rFonts w:cstheme="minorHAnsi"/>
                <w:szCs w:val="20"/>
              </w:rPr>
            </w:pPr>
            <w:r w:rsidRPr="00216A71">
              <w:rPr>
                <w:rFonts w:cstheme="minorHAnsi"/>
                <w:szCs w:val="20"/>
              </w:rPr>
              <w:t>66</w:t>
            </w:r>
          </w:p>
        </w:tc>
        <w:tc>
          <w:tcPr>
            <w:tcW w:w="2126" w:type="dxa"/>
          </w:tcPr>
          <w:p w:rsidR="00E45505" w:rsidRPr="00216A71" w:rsidRDefault="00E45505" w:rsidP="007B656E">
            <w:pPr>
              <w:jc w:val="right"/>
              <w:rPr>
                <w:rFonts w:cstheme="minorHAnsi"/>
                <w:szCs w:val="20"/>
              </w:rPr>
            </w:pPr>
            <w:r w:rsidRPr="00216A71">
              <w:rPr>
                <w:rFonts w:cstheme="minorHAnsi"/>
                <w:szCs w:val="20"/>
              </w:rPr>
              <w:t>29.2</w:t>
            </w:r>
          </w:p>
        </w:tc>
      </w:tr>
      <w:tr w:rsidR="002435BE" w:rsidRPr="00216A71" w:rsidTr="00D408D1">
        <w:tc>
          <w:tcPr>
            <w:tcW w:w="2802" w:type="dxa"/>
          </w:tcPr>
          <w:p w:rsidR="002435BE" w:rsidRPr="00216A71" w:rsidRDefault="002435BE" w:rsidP="00D408D1">
            <w:pPr>
              <w:rPr>
                <w:rFonts w:cstheme="minorHAnsi"/>
                <w:szCs w:val="20"/>
              </w:rPr>
            </w:pPr>
            <w:r w:rsidRPr="00216A71">
              <w:rPr>
                <w:rFonts w:cstheme="minorHAnsi"/>
                <w:szCs w:val="20"/>
              </w:rPr>
              <w:t>World total</w:t>
            </w:r>
          </w:p>
        </w:tc>
        <w:tc>
          <w:tcPr>
            <w:tcW w:w="1559" w:type="dxa"/>
          </w:tcPr>
          <w:p w:rsidR="002435BE" w:rsidRPr="00216A71" w:rsidRDefault="002435BE" w:rsidP="00D408D1">
            <w:pPr>
              <w:jc w:val="right"/>
              <w:rPr>
                <w:rFonts w:cstheme="minorHAnsi"/>
                <w:szCs w:val="20"/>
              </w:rPr>
            </w:pPr>
            <w:r w:rsidRPr="00216A71">
              <w:rPr>
                <w:rFonts w:cstheme="minorHAnsi"/>
                <w:szCs w:val="20"/>
              </w:rPr>
              <w:t>1747</w:t>
            </w:r>
          </w:p>
        </w:tc>
        <w:tc>
          <w:tcPr>
            <w:tcW w:w="2126" w:type="dxa"/>
          </w:tcPr>
          <w:p w:rsidR="002435BE" w:rsidRPr="00216A71" w:rsidRDefault="002435BE" w:rsidP="00D408D1">
            <w:pPr>
              <w:jc w:val="right"/>
              <w:rPr>
                <w:rFonts w:cstheme="minorHAnsi"/>
                <w:szCs w:val="20"/>
              </w:rPr>
            </w:pPr>
            <w:r w:rsidRPr="00216A71">
              <w:rPr>
                <w:rFonts w:cstheme="minorHAnsi"/>
                <w:szCs w:val="20"/>
              </w:rPr>
              <w:t>644.8</w:t>
            </w:r>
          </w:p>
        </w:tc>
      </w:tr>
    </w:tbl>
    <w:p w:rsidR="002435BE" w:rsidRPr="00216A71" w:rsidRDefault="002435BE" w:rsidP="002435BE">
      <w:pPr>
        <w:pStyle w:val="Default"/>
        <w:rPr>
          <w:rFonts w:asciiTheme="minorHAnsi" w:hAnsiTheme="minorHAnsi" w:cstheme="minorHAnsi"/>
          <w:sz w:val="20"/>
          <w:szCs w:val="20"/>
        </w:rPr>
      </w:pPr>
      <w:r w:rsidRPr="00216A71">
        <w:rPr>
          <w:rFonts w:asciiTheme="minorHAnsi" w:hAnsiTheme="minorHAnsi" w:cstheme="minorHAnsi"/>
          <w:sz w:val="20"/>
          <w:szCs w:val="20"/>
        </w:rPr>
        <w:t xml:space="preserve">Source: OECD 2012 </w:t>
      </w:r>
      <w:r w:rsidRPr="00216A71">
        <w:rPr>
          <w:rStyle w:val="EndnoteReference"/>
          <w:rFonts w:asciiTheme="minorHAnsi" w:hAnsiTheme="minorHAnsi" w:cstheme="minorHAnsi"/>
          <w:sz w:val="20"/>
          <w:szCs w:val="20"/>
        </w:rPr>
        <w:endnoteReference w:id="11"/>
      </w:r>
    </w:p>
    <w:p w:rsidR="002435BE" w:rsidRPr="00216A71" w:rsidRDefault="002435BE" w:rsidP="002435BE">
      <w:pPr>
        <w:pStyle w:val="Heading7"/>
        <w:rPr>
          <w:rFonts w:asciiTheme="minorHAnsi" w:hAnsiTheme="minorHAnsi" w:cstheme="minorHAnsi"/>
          <w:szCs w:val="20"/>
        </w:rPr>
      </w:pPr>
      <w:r w:rsidRPr="00216A71">
        <w:rPr>
          <w:rFonts w:asciiTheme="minorHAnsi" w:hAnsiTheme="minorHAnsi" w:cstheme="minorHAnsi"/>
          <w:szCs w:val="20"/>
        </w:rPr>
        <w:t>PPPs funded 1985-2009: by sector</w:t>
      </w:r>
      <w:r w:rsidR="004045AD">
        <w:rPr>
          <w:rFonts w:asciiTheme="minorHAnsi" w:hAnsiTheme="minorHAnsi" w:cstheme="minorHAnsi"/>
          <w:szCs w:val="20"/>
        </w:rPr>
        <w:t xml:space="preserve"> </w:t>
      </w:r>
    </w:p>
    <w:tbl>
      <w:tblPr>
        <w:tblStyle w:val="TableGrid"/>
        <w:tblW w:w="5516" w:type="dxa"/>
        <w:tblLook w:val="04A0" w:firstRow="1" w:lastRow="0" w:firstColumn="1" w:lastColumn="0" w:noHBand="0" w:noVBand="1"/>
      </w:tblPr>
      <w:tblGrid>
        <w:gridCol w:w="2382"/>
        <w:gridCol w:w="1326"/>
        <w:gridCol w:w="1808"/>
      </w:tblGrid>
      <w:tr w:rsidR="002435BE" w:rsidRPr="00216A71" w:rsidTr="007D4B2F">
        <w:trPr>
          <w:trHeight w:val="247"/>
        </w:trPr>
        <w:tc>
          <w:tcPr>
            <w:tcW w:w="2382" w:type="dxa"/>
          </w:tcPr>
          <w:p w:rsidR="002435BE" w:rsidRPr="00216A71" w:rsidRDefault="002435BE" w:rsidP="00D408D1">
            <w:pPr>
              <w:rPr>
                <w:rFonts w:cstheme="minorHAnsi"/>
                <w:szCs w:val="20"/>
              </w:rPr>
            </w:pPr>
          </w:p>
        </w:tc>
        <w:tc>
          <w:tcPr>
            <w:tcW w:w="1326" w:type="dxa"/>
          </w:tcPr>
          <w:p w:rsidR="002435BE" w:rsidRPr="00216A71" w:rsidRDefault="002435BE" w:rsidP="00D408D1">
            <w:pPr>
              <w:rPr>
                <w:rFonts w:cstheme="minorHAnsi"/>
                <w:szCs w:val="20"/>
              </w:rPr>
            </w:pPr>
            <w:r w:rsidRPr="00216A71">
              <w:rPr>
                <w:rFonts w:cstheme="minorHAnsi"/>
                <w:szCs w:val="20"/>
              </w:rPr>
              <w:t>Number of PPPs</w:t>
            </w:r>
          </w:p>
        </w:tc>
        <w:tc>
          <w:tcPr>
            <w:tcW w:w="1808" w:type="dxa"/>
          </w:tcPr>
          <w:p w:rsidR="002435BE" w:rsidRPr="00216A71" w:rsidRDefault="002435BE" w:rsidP="00D408D1">
            <w:pPr>
              <w:rPr>
                <w:rFonts w:cstheme="minorHAnsi"/>
                <w:szCs w:val="20"/>
              </w:rPr>
            </w:pPr>
            <w:r w:rsidRPr="00216A71">
              <w:rPr>
                <w:rFonts w:cstheme="minorHAnsi"/>
                <w:szCs w:val="20"/>
              </w:rPr>
              <w:t>Value USD</w:t>
            </w:r>
            <w:r w:rsidR="00A42FDE">
              <w:rPr>
                <w:rFonts w:cstheme="minorHAnsi"/>
                <w:szCs w:val="20"/>
              </w:rPr>
              <w:t xml:space="preserve"> </w:t>
            </w:r>
            <w:r w:rsidR="00A42FDE">
              <w:rPr>
                <w:rFonts w:cstheme="minorHAnsi"/>
                <w:szCs w:val="20"/>
              </w:rPr>
              <w:br/>
            </w:r>
            <w:r w:rsidRPr="00216A71">
              <w:rPr>
                <w:rFonts w:cstheme="minorHAnsi"/>
                <w:szCs w:val="20"/>
              </w:rPr>
              <w:t>$ billion</w:t>
            </w:r>
          </w:p>
        </w:tc>
      </w:tr>
      <w:tr w:rsidR="005A663D" w:rsidRPr="00216A71" w:rsidTr="007D4B2F">
        <w:trPr>
          <w:trHeight w:val="247"/>
        </w:trPr>
        <w:tc>
          <w:tcPr>
            <w:tcW w:w="2382" w:type="dxa"/>
          </w:tcPr>
          <w:p w:rsidR="005A663D" w:rsidRPr="00216A71" w:rsidRDefault="005A663D" w:rsidP="00D408D1">
            <w:pPr>
              <w:rPr>
                <w:rFonts w:cstheme="minorHAnsi"/>
                <w:szCs w:val="20"/>
              </w:rPr>
            </w:pPr>
          </w:p>
        </w:tc>
        <w:tc>
          <w:tcPr>
            <w:tcW w:w="1326" w:type="dxa"/>
          </w:tcPr>
          <w:p w:rsidR="005A663D" w:rsidRPr="00216A71" w:rsidRDefault="005A663D" w:rsidP="00D408D1">
            <w:pPr>
              <w:jc w:val="right"/>
              <w:rPr>
                <w:rFonts w:cstheme="minorHAnsi"/>
                <w:szCs w:val="20"/>
              </w:rPr>
            </w:pPr>
          </w:p>
        </w:tc>
        <w:tc>
          <w:tcPr>
            <w:tcW w:w="1808" w:type="dxa"/>
          </w:tcPr>
          <w:p w:rsidR="005A663D" w:rsidRPr="00216A71" w:rsidRDefault="005A663D" w:rsidP="00D408D1">
            <w:pPr>
              <w:jc w:val="right"/>
              <w:rPr>
                <w:rFonts w:cstheme="minorHAnsi"/>
                <w:szCs w:val="20"/>
              </w:rPr>
            </w:pPr>
          </w:p>
        </w:tc>
      </w:tr>
      <w:tr w:rsidR="002435BE" w:rsidRPr="00216A71" w:rsidTr="007D4B2F">
        <w:trPr>
          <w:trHeight w:val="247"/>
        </w:trPr>
        <w:tc>
          <w:tcPr>
            <w:tcW w:w="2382" w:type="dxa"/>
          </w:tcPr>
          <w:p w:rsidR="002435BE" w:rsidRPr="00216A71" w:rsidRDefault="002435BE" w:rsidP="00D408D1">
            <w:pPr>
              <w:rPr>
                <w:rFonts w:cstheme="minorHAnsi"/>
                <w:szCs w:val="20"/>
              </w:rPr>
            </w:pPr>
            <w:r w:rsidRPr="00216A71">
              <w:rPr>
                <w:rFonts w:cstheme="minorHAnsi"/>
                <w:szCs w:val="20"/>
              </w:rPr>
              <w:t>Roads</w:t>
            </w:r>
          </w:p>
        </w:tc>
        <w:tc>
          <w:tcPr>
            <w:tcW w:w="1326" w:type="dxa"/>
          </w:tcPr>
          <w:p w:rsidR="002435BE" w:rsidRPr="00216A71" w:rsidRDefault="002435BE" w:rsidP="00D408D1">
            <w:pPr>
              <w:jc w:val="right"/>
              <w:rPr>
                <w:rFonts w:cstheme="minorHAnsi"/>
                <w:szCs w:val="20"/>
              </w:rPr>
            </w:pPr>
            <w:r w:rsidRPr="00216A71">
              <w:rPr>
                <w:rFonts w:cstheme="minorHAnsi"/>
                <w:szCs w:val="20"/>
              </w:rPr>
              <w:t>567</w:t>
            </w:r>
          </w:p>
        </w:tc>
        <w:tc>
          <w:tcPr>
            <w:tcW w:w="1808" w:type="dxa"/>
          </w:tcPr>
          <w:p w:rsidR="002435BE" w:rsidRPr="00216A71" w:rsidRDefault="002435BE" w:rsidP="00D408D1">
            <w:pPr>
              <w:jc w:val="right"/>
              <w:rPr>
                <w:rFonts w:cstheme="minorHAnsi"/>
                <w:szCs w:val="20"/>
              </w:rPr>
            </w:pPr>
            <w:r w:rsidRPr="00216A71">
              <w:rPr>
                <w:rFonts w:cstheme="minorHAnsi"/>
                <w:szCs w:val="20"/>
              </w:rPr>
              <w:t>306.7</w:t>
            </w:r>
          </w:p>
        </w:tc>
      </w:tr>
      <w:tr w:rsidR="002435BE" w:rsidRPr="00216A71" w:rsidTr="007D4B2F">
        <w:trPr>
          <w:trHeight w:val="247"/>
        </w:trPr>
        <w:tc>
          <w:tcPr>
            <w:tcW w:w="2382" w:type="dxa"/>
          </w:tcPr>
          <w:p w:rsidR="002435BE" w:rsidRPr="00216A71" w:rsidRDefault="002435BE" w:rsidP="00D408D1">
            <w:pPr>
              <w:rPr>
                <w:rFonts w:cstheme="minorHAnsi"/>
                <w:szCs w:val="20"/>
              </w:rPr>
            </w:pPr>
            <w:r w:rsidRPr="00216A71">
              <w:rPr>
                <w:rFonts w:cstheme="minorHAnsi"/>
                <w:szCs w:val="20"/>
              </w:rPr>
              <w:t>Rail</w:t>
            </w:r>
          </w:p>
        </w:tc>
        <w:tc>
          <w:tcPr>
            <w:tcW w:w="1326" w:type="dxa"/>
          </w:tcPr>
          <w:p w:rsidR="002435BE" w:rsidRPr="00216A71" w:rsidRDefault="002435BE" w:rsidP="00D408D1">
            <w:pPr>
              <w:jc w:val="right"/>
              <w:rPr>
                <w:rFonts w:cstheme="minorHAnsi"/>
                <w:szCs w:val="20"/>
              </w:rPr>
            </w:pPr>
            <w:r w:rsidRPr="00216A71">
              <w:rPr>
                <w:rFonts w:cstheme="minorHAnsi"/>
                <w:szCs w:val="20"/>
              </w:rPr>
              <w:t>153</w:t>
            </w:r>
          </w:p>
        </w:tc>
        <w:tc>
          <w:tcPr>
            <w:tcW w:w="1808" w:type="dxa"/>
          </w:tcPr>
          <w:p w:rsidR="002435BE" w:rsidRPr="00216A71" w:rsidRDefault="002435BE" w:rsidP="00D408D1">
            <w:pPr>
              <w:jc w:val="right"/>
              <w:rPr>
                <w:rFonts w:cstheme="minorHAnsi"/>
                <w:szCs w:val="20"/>
              </w:rPr>
            </w:pPr>
            <w:r w:rsidRPr="00216A71">
              <w:rPr>
                <w:rFonts w:cstheme="minorHAnsi"/>
                <w:szCs w:val="20"/>
              </w:rPr>
              <w:t>138.2</w:t>
            </w:r>
          </w:p>
        </w:tc>
      </w:tr>
      <w:tr w:rsidR="002435BE" w:rsidRPr="00216A71" w:rsidTr="007D4B2F">
        <w:trPr>
          <w:trHeight w:val="247"/>
        </w:trPr>
        <w:tc>
          <w:tcPr>
            <w:tcW w:w="2382" w:type="dxa"/>
          </w:tcPr>
          <w:p w:rsidR="002435BE" w:rsidRPr="00216A71" w:rsidRDefault="002435BE" w:rsidP="00D408D1">
            <w:pPr>
              <w:rPr>
                <w:rFonts w:cstheme="minorHAnsi"/>
                <w:szCs w:val="20"/>
              </w:rPr>
            </w:pPr>
            <w:r w:rsidRPr="00216A71">
              <w:rPr>
                <w:rFonts w:cstheme="minorHAnsi"/>
                <w:szCs w:val="20"/>
              </w:rPr>
              <w:t>Water</w:t>
            </w:r>
          </w:p>
        </w:tc>
        <w:tc>
          <w:tcPr>
            <w:tcW w:w="1326" w:type="dxa"/>
          </w:tcPr>
          <w:p w:rsidR="002435BE" w:rsidRPr="00216A71" w:rsidRDefault="002435BE" w:rsidP="00D408D1">
            <w:pPr>
              <w:jc w:val="right"/>
              <w:rPr>
                <w:rFonts w:cstheme="minorHAnsi"/>
                <w:szCs w:val="20"/>
              </w:rPr>
            </w:pPr>
            <w:r w:rsidRPr="00216A71">
              <w:rPr>
                <w:rFonts w:cstheme="minorHAnsi"/>
                <w:szCs w:val="20"/>
              </w:rPr>
              <w:t>564</w:t>
            </w:r>
          </w:p>
        </w:tc>
        <w:tc>
          <w:tcPr>
            <w:tcW w:w="1808" w:type="dxa"/>
          </w:tcPr>
          <w:p w:rsidR="002435BE" w:rsidRPr="00216A71" w:rsidRDefault="002435BE" w:rsidP="00D408D1">
            <w:pPr>
              <w:jc w:val="right"/>
              <w:rPr>
                <w:rFonts w:cstheme="minorHAnsi"/>
                <w:szCs w:val="20"/>
              </w:rPr>
            </w:pPr>
            <w:r w:rsidRPr="00216A71">
              <w:rPr>
                <w:rFonts w:cstheme="minorHAnsi"/>
                <w:szCs w:val="20"/>
              </w:rPr>
              <w:t>105.3</w:t>
            </w:r>
          </w:p>
        </w:tc>
      </w:tr>
      <w:tr w:rsidR="002435BE" w:rsidRPr="00216A71" w:rsidTr="007D4B2F">
        <w:trPr>
          <w:trHeight w:val="247"/>
        </w:trPr>
        <w:tc>
          <w:tcPr>
            <w:tcW w:w="2382" w:type="dxa"/>
          </w:tcPr>
          <w:p w:rsidR="002435BE" w:rsidRPr="00216A71" w:rsidRDefault="002435BE" w:rsidP="00D408D1">
            <w:pPr>
              <w:rPr>
                <w:rFonts w:cstheme="minorHAnsi"/>
                <w:szCs w:val="20"/>
              </w:rPr>
            </w:pPr>
            <w:r w:rsidRPr="00216A71">
              <w:rPr>
                <w:rFonts w:cstheme="minorHAnsi"/>
                <w:szCs w:val="20"/>
              </w:rPr>
              <w:t>Other (schools, hospitals etc</w:t>
            </w:r>
            <w:r w:rsidR="00EC4A5D" w:rsidRPr="00216A71">
              <w:rPr>
                <w:rFonts w:cstheme="minorHAnsi"/>
                <w:szCs w:val="20"/>
              </w:rPr>
              <w:t>.</w:t>
            </w:r>
            <w:r w:rsidRPr="00216A71">
              <w:rPr>
                <w:rFonts w:cstheme="minorHAnsi"/>
                <w:szCs w:val="20"/>
              </w:rPr>
              <w:t>)</w:t>
            </w:r>
          </w:p>
        </w:tc>
        <w:tc>
          <w:tcPr>
            <w:tcW w:w="1326" w:type="dxa"/>
          </w:tcPr>
          <w:p w:rsidR="002435BE" w:rsidRPr="00216A71" w:rsidRDefault="002435BE" w:rsidP="00D408D1">
            <w:pPr>
              <w:jc w:val="right"/>
              <w:rPr>
                <w:rFonts w:cstheme="minorHAnsi"/>
                <w:szCs w:val="20"/>
              </w:rPr>
            </w:pPr>
            <w:r w:rsidRPr="00216A71">
              <w:rPr>
                <w:rFonts w:cstheme="minorHAnsi"/>
                <w:szCs w:val="20"/>
              </w:rPr>
              <w:t>463</w:t>
            </w:r>
          </w:p>
        </w:tc>
        <w:tc>
          <w:tcPr>
            <w:tcW w:w="1808" w:type="dxa"/>
          </w:tcPr>
          <w:p w:rsidR="002435BE" w:rsidRPr="00216A71" w:rsidRDefault="002435BE" w:rsidP="00D408D1">
            <w:pPr>
              <w:jc w:val="right"/>
              <w:rPr>
                <w:rFonts w:cstheme="minorHAnsi"/>
                <w:szCs w:val="20"/>
              </w:rPr>
            </w:pPr>
            <w:r w:rsidRPr="00216A71">
              <w:rPr>
                <w:rFonts w:cstheme="minorHAnsi"/>
                <w:szCs w:val="20"/>
              </w:rPr>
              <w:t>94.6</w:t>
            </w:r>
          </w:p>
        </w:tc>
      </w:tr>
      <w:tr w:rsidR="002435BE" w:rsidRPr="00216A71" w:rsidTr="007D4B2F">
        <w:trPr>
          <w:trHeight w:val="247"/>
        </w:trPr>
        <w:tc>
          <w:tcPr>
            <w:tcW w:w="2382" w:type="dxa"/>
          </w:tcPr>
          <w:p w:rsidR="002435BE" w:rsidRPr="00216A71" w:rsidRDefault="002435BE" w:rsidP="00D408D1">
            <w:pPr>
              <w:rPr>
                <w:rFonts w:cstheme="minorHAnsi"/>
                <w:szCs w:val="20"/>
              </w:rPr>
            </w:pPr>
            <w:r w:rsidRPr="00216A71">
              <w:rPr>
                <w:rFonts w:cstheme="minorHAnsi"/>
                <w:szCs w:val="20"/>
              </w:rPr>
              <w:lastRenderedPageBreak/>
              <w:t>World total</w:t>
            </w:r>
          </w:p>
        </w:tc>
        <w:tc>
          <w:tcPr>
            <w:tcW w:w="1326" w:type="dxa"/>
          </w:tcPr>
          <w:p w:rsidR="002435BE" w:rsidRPr="00216A71" w:rsidRDefault="002435BE" w:rsidP="00D408D1">
            <w:pPr>
              <w:jc w:val="right"/>
              <w:rPr>
                <w:rFonts w:cstheme="minorHAnsi"/>
                <w:szCs w:val="20"/>
              </w:rPr>
            </w:pPr>
            <w:r w:rsidRPr="00216A71">
              <w:rPr>
                <w:rFonts w:cstheme="minorHAnsi"/>
                <w:szCs w:val="20"/>
              </w:rPr>
              <w:t>1747</w:t>
            </w:r>
          </w:p>
        </w:tc>
        <w:tc>
          <w:tcPr>
            <w:tcW w:w="1808" w:type="dxa"/>
          </w:tcPr>
          <w:p w:rsidR="002435BE" w:rsidRPr="00216A71" w:rsidRDefault="002435BE" w:rsidP="00D408D1">
            <w:pPr>
              <w:jc w:val="right"/>
              <w:rPr>
                <w:rFonts w:cstheme="minorHAnsi"/>
                <w:szCs w:val="20"/>
              </w:rPr>
            </w:pPr>
            <w:r w:rsidRPr="00216A71">
              <w:rPr>
                <w:rFonts w:cstheme="minorHAnsi"/>
                <w:szCs w:val="20"/>
              </w:rPr>
              <w:t>644.8</w:t>
            </w:r>
          </w:p>
        </w:tc>
      </w:tr>
    </w:tbl>
    <w:p w:rsidR="000C629A" w:rsidRDefault="00640AE3" w:rsidP="00572BE7">
      <w:pPr>
        <w:rPr>
          <w:rFonts w:cstheme="minorHAnsi"/>
        </w:rPr>
      </w:pPr>
      <w:r w:rsidRPr="00216A71">
        <w:rPr>
          <w:rFonts w:cstheme="minorHAnsi"/>
        </w:rPr>
        <w:t xml:space="preserve">Source: OECD 2012 </w:t>
      </w:r>
      <w:r w:rsidRPr="00216A71">
        <w:rPr>
          <w:rStyle w:val="EndnoteReference"/>
          <w:rFonts w:cstheme="minorHAnsi"/>
          <w:szCs w:val="20"/>
        </w:rPr>
        <w:endnoteReference w:id="12"/>
      </w:r>
      <w:r w:rsidRPr="00216A71">
        <w:rPr>
          <w:rFonts w:cstheme="minorHAnsi"/>
        </w:rPr>
        <w:t xml:space="preserve"> [note: energy PPPs not covered]</w:t>
      </w:r>
    </w:p>
    <w:p w:rsidR="005A663D" w:rsidRPr="00216A71" w:rsidRDefault="005A663D">
      <w:pPr>
        <w:pStyle w:val="Heading8"/>
        <w:rPr>
          <w:rFonts w:asciiTheme="minorHAnsi" w:hAnsiTheme="minorHAnsi" w:cstheme="minorHAnsi"/>
        </w:rPr>
      </w:pPr>
      <w:bookmarkStart w:id="6" w:name="_Toc374451088"/>
      <w:r w:rsidRPr="00216A71">
        <w:rPr>
          <w:rFonts w:asciiTheme="minorHAnsi" w:hAnsiTheme="minorHAnsi" w:cstheme="minorHAnsi"/>
        </w:rPr>
        <w:t>Number and values of PPPs in Europe, 1990-2011</w:t>
      </w:r>
    </w:p>
    <w:p w:rsidR="005A663D" w:rsidRPr="00216A71" w:rsidRDefault="001F07C1" w:rsidP="00EC4A5D">
      <w:pPr>
        <w:rPr>
          <w:rFonts w:cstheme="minorHAnsi"/>
        </w:rPr>
      </w:pPr>
      <w:r w:rsidRPr="00216A71">
        <w:rPr>
          <w:rFonts w:cstheme="minorHAnsi"/>
          <w:noProof/>
          <w:lang w:eastAsia="en-GB"/>
        </w:rPr>
        <w:drawing>
          <wp:inline distT="0" distB="0" distL="0" distR="0" wp14:anchorId="35BD6523" wp14:editId="3DDDB2C7">
            <wp:extent cx="2996565" cy="2236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6565" cy="2236470"/>
                    </a:xfrm>
                    <a:prstGeom prst="rect">
                      <a:avLst/>
                    </a:prstGeom>
                    <a:noFill/>
                    <a:ln>
                      <a:noFill/>
                    </a:ln>
                  </pic:spPr>
                </pic:pic>
              </a:graphicData>
            </a:graphic>
          </wp:inline>
        </w:drawing>
      </w:r>
    </w:p>
    <w:p w:rsidR="005D08F6" w:rsidRPr="00216A71" w:rsidRDefault="001F07C1" w:rsidP="001F07C1">
      <w:pPr>
        <w:rPr>
          <w:rFonts w:cstheme="minorHAnsi"/>
        </w:rPr>
      </w:pPr>
      <w:r w:rsidRPr="00216A71">
        <w:rPr>
          <w:rFonts w:cstheme="minorHAnsi"/>
        </w:rPr>
        <w:t xml:space="preserve">Source: EIB 2012 </w:t>
      </w:r>
      <w:r w:rsidRPr="00216A71">
        <w:rPr>
          <w:rStyle w:val="EndnoteReference"/>
          <w:rFonts w:cstheme="minorHAnsi"/>
        </w:rPr>
        <w:endnoteReference w:id="13"/>
      </w:r>
    </w:p>
    <w:p w:rsidR="005D08F6" w:rsidRPr="00216A71" w:rsidRDefault="005D08F6">
      <w:pPr>
        <w:rPr>
          <w:rFonts w:cstheme="minorHAnsi"/>
        </w:rPr>
      </w:pPr>
      <w:r w:rsidRPr="00216A71">
        <w:rPr>
          <w:rFonts w:cstheme="minorHAnsi"/>
        </w:rPr>
        <w:br w:type="page"/>
      </w:r>
    </w:p>
    <w:p w:rsidR="00653BFA" w:rsidRPr="00216A71" w:rsidRDefault="00DE129F" w:rsidP="00653BFA">
      <w:pPr>
        <w:pStyle w:val="Heading8"/>
        <w:rPr>
          <w:rFonts w:asciiTheme="minorHAnsi" w:hAnsiTheme="minorHAnsi" w:cstheme="minorHAnsi"/>
          <w:szCs w:val="20"/>
        </w:rPr>
      </w:pPr>
      <w:r w:rsidRPr="00216A71">
        <w:rPr>
          <w:rFonts w:asciiTheme="minorHAnsi" w:hAnsiTheme="minorHAnsi" w:cstheme="minorHAnsi"/>
          <w:szCs w:val="20"/>
        </w:rPr>
        <w:lastRenderedPageBreak/>
        <w:t>Global PPP market by country 2009-2012 (PWC view)</w:t>
      </w:r>
      <w:bookmarkEnd w:id="6"/>
    </w:p>
    <w:p w:rsidR="00653BFA" w:rsidRPr="00216A71" w:rsidRDefault="00653BFA" w:rsidP="00EC4A5D">
      <w:pPr>
        <w:rPr>
          <w:rFonts w:cstheme="minorHAnsi"/>
          <w:szCs w:val="20"/>
        </w:rPr>
      </w:pPr>
      <w:r w:rsidRPr="00216A71">
        <w:rPr>
          <w:rFonts w:cstheme="minorHAnsi"/>
          <w:noProof/>
          <w:szCs w:val="20"/>
          <w:lang w:eastAsia="en-GB"/>
        </w:rPr>
        <w:drawing>
          <wp:inline distT="0" distB="0" distL="0" distR="0" wp14:anchorId="7D204592" wp14:editId="5A19E49A">
            <wp:extent cx="4454305" cy="270917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975" cy="2724180"/>
                    </a:xfrm>
                    <a:prstGeom prst="rect">
                      <a:avLst/>
                    </a:prstGeom>
                    <a:noFill/>
                    <a:ln>
                      <a:noFill/>
                    </a:ln>
                  </pic:spPr>
                </pic:pic>
              </a:graphicData>
            </a:graphic>
          </wp:inline>
        </w:drawing>
      </w:r>
    </w:p>
    <w:p w:rsidR="00DE129F" w:rsidRPr="00216A71" w:rsidRDefault="00DE129F" w:rsidP="00DE129F">
      <w:pPr>
        <w:pStyle w:val="Heading8"/>
        <w:rPr>
          <w:rFonts w:asciiTheme="minorHAnsi" w:hAnsiTheme="minorHAnsi" w:cstheme="minorHAnsi"/>
          <w:szCs w:val="20"/>
        </w:rPr>
      </w:pPr>
      <w:r w:rsidRPr="00216A71">
        <w:rPr>
          <w:rFonts w:asciiTheme="minorHAnsi" w:hAnsiTheme="minorHAnsi" w:cstheme="minorHAnsi"/>
          <w:szCs w:val="20"/>
        </w:rPr>
        <w:t>Global PPPs by sector 2009-2012 (PWC view)</w:t>
      </w:r>
    </w:p>
    <w:p w:rsidR="00DE129F" w:rsidRPr="00216A71" w:rsidRDefault="00DE129F" w:rsidP="00DE129F">
      <w:pPr>
        <w:rPr>
          <w:rFonts w:cstheme="minorHAnsi"/>
          <w:szCs w:val="20"/>
        </w:rPr>
      </w:pPr>
      <w:r w:rsidRPr="00216A71">
        <w:rPr>
          <w:rFonts w:cstheme="minorHAnsi"/>
          <w:noProof/>
          <w:szCs w:val="20"/>
          <w:lang w:eastAsia="en-GB"/>
        </w:rPr>
        <w:drawing>
          <wp:inline distT="0" distB="0" distL="0" distR="0" wp14:anchorId="2E63DDCF" wp14:editId="48411D53">
            <wp:extent cx="4141621" cy="245348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9656" cy="2470097"/>
                    </a:xfrm>
                    <a:prstGeom prst="rect">
                      <a:avLst/>
                    </a:prstGeom>
                    <a:noFill/>
                    <a:ln>
                      <a:noFill/>
                    </a:ln>
                  </pic:spPr>
                </pic:pic>
              </a:graphicData>
            </a:graphic>
          </wp:inline>
        </w:drawing>
      </w:r>
    </w:p>
    <w:p w:rsidR="00DE129F" w:rsidRPr="00216A71" w:rsidRDefault="00DE129F" w:rsidP="00DE129F">
      <w:pPr>
        <w:autoSpaceDE w:val="0"/>
        <w:autoSpaceDN w:val="0"/>
        <w:adjustRightInd w:val="0"/>
        <w:rPr>
          <w:rFonts w:cstheme="minorHAnsi"/>
          <w:szCs w:val="20"/>
        </w:rPr>
      </w:pPr>
      <w:r w:rsidRPr="00216A71">
        <w:rPr>
          <w:rFonts w:cstheme="minorHAnsi"/>
          <w:bCs/>
          <w:iCs/>
          <w:color w:val="000000"/>
          <w:szCs w:val="20"/>
        </w:rPr>
        <w:t>Source: PWC 2012</w:t>
      </w:r>
      <w:r w:rsidR="001F07C1" w:rsidRPr="00216A71">
        <w:rPr>
          <w:rStyle w:val="EndnoteReference"/>
          <w:rFonts w:cstheme="minorHAnsi"/>
          <w:bCs/>
          <w:iCs/>
          <w:color w:val="000000"/>
          <w:szCs w:val="20"/>
        </w:rPr>
        <w:endnoteReference w:id="14"/>
      </w:r>
    </w:p>
    <w:p w:rsidR="00DE129F" w:rsidRPr="00216A71" w:rsidRDefault="00DE129F" w:rsidP="00DE129F">
      <w:pPr>
        <w:pStyle w:val="Heading2"/>
        <w:rPr>
          <w:rFonts w:asciiTheme="minorHAnsi" w:hAnsiTheme="minorHAnsi" w:cstheme="minorHAnsi"/>
          <w:szCs w:val="20"/>
        </w:rPr>
      </w:pPr>
      <w:bookmarkStart w:id="7" w:name="_Toc392857521"/>
      <w:r w:rsidRPr="00216A71">
        <w:rPr>
          <w:rFonts w:asciiTheme="minorHAnsi" w:hAnsiTheme="minorHAnsi" w:cstheme="minorHAnsi"/>
          <w:szCs w:val="20"/>
        </w:rPr>
        <w:t xml:space="preserve">PPPs </w:t>
      </w:r>
      <w:r w:rsidR="00FE2338" w:rsidRPr="00216A71">
        <w:rPr>
          <w:rFonts w:asciiTheme="minorHAnsi" w:hAnsiTheme="minorHAnsi" w:cstheme="minorHAnsi"/>
          <w:szCs w:val="20"/>
        </w:rPr>
        <w:t xml:space="preserve">in perspective: a </w:t>
      </w:r>
      <w:r w:rsidR="003B6BBC" w:rsidRPr="00216A71">
        <w:rPr>
          <w:rFonts w:asciiTheme="minorHAnsi" w:hAnsiTheme="minorHAnsi" w:cstheme="minorHAnsi"/>
          <w:szCs w:val="20"/>
        </w:rPr>
        <w:t>very small</w:t>
      </w:r>
      <w:r w:rsidR="00FE2338" w:rsidRPr="00216A71">
        <w:rPr>
          <w:rFonts w:asciiTheme="minorHAnsi" w:hAnsiTheme="minorHAnsi" w:cstheme="minorHAnsi"/>
          <w:szCs w:val="20"/>
        </w:rPr>
        <w:t xml:space="preserve"> contribution</w:t>
      </w:r>
      <w:bookmarkEnd w:id="7"/>
      <w:r w:rsidR="00FE2338" w:rsidRPr="00216A71">
        <w:rPr>
          <w:rFonts w:asciiTheme="minorHAnsi" w:hAnsiTheme="minorHAnsi" w:cstheme="minorHAnsi"/>
          <w:szCs w:val="20"/>
        </w:rPr>
        <w:t xml:space="preserve"> </w:t>
      </w:r>
    </w:p>
    <w:p w:rsidR="000C629A" w:rsidRDefault="00A43D87" w:rsidP="00DE129F">
      <w:pPr>
        <w:rPr>
          <w:rFonts w:cstheme="minorHAnsi"/>
          <w:szCs w:val="20"/>
        </w:rPr>
      </w:pPr>
      <w:r w:rsidRPr="00216A71">
        <w:rPr>
          <w:rFonts w:cstheme="minorHAnsi"/>
          <w:szCs w:val="20"/>
        </w:rPr>
        <w:t>Despite the massive promotion effort, PPPs struggle to provide more than a tiny portion of the infrastructure investment in the world. P</w:t>
      </w:r>
      <w:r w:rsidR="00DE129F" w:rsidRPr="00216A71">
        <w:rPr>
          <w:rFonts w:cstheme="minorHAnsi"/>
          <w:szCs w:val="20"/>
        </w:rPr>
        <w:t>ublic finance remains the overwhelmingly predominant model worldwide, providing for well over 90</w:t>
      </w:r>
      <w:r w:rsidR="00A42FDE">
        <w:rPr>
          <w:rFonts w:cstheme="minorHAnsi"/>
          <w:szCs w:val="20"/>
        </w:rPr>
        <w:t xml:space="preserve"> per cent</w:t>
      </w:r>
      <w:r w:rsidR="00DE129F" w:rsidRPr="00216A71">
        <w:rPr>
          <w:rFonts w:cstheme="minorHAnsi"/>
          <w:szCs w:val="20"/>
        </w:rPr>
        <w:t xml:space="preserve"> of infrastructure investment. </w:t>
      </w:r>
    </w:p>
    <w:p w:rsidR="000C629A" w:rsidRDefault="00D45FD0" w:rsidP="00DE129F">
      <w:pPr>
        <w:rPr>
          <w:rFonts w:cstheme="minorHAnsi"/>
          <w:szCs w:val="20"/>
        </w:rPr>
      </w:pPr>
      <w:r w:rsidRPr="00216A71">
        <w:rPr>
          <w:rFonts w:cstheme="minorHAnsi"/>
          <w:szCs w:val="20"/>
        </w:rPr>
        <w:t xml:space="preserve">This shows the limitations and dangers of PPPs. The scale of investment required for infrastructure in all countries, especially developing countries, is far too large for </w:t>
      </w:r>
      <w:r w:rsidR="00CD0077" w:rsidRPr="00216A71">
        <w:rPr>
          <w:rFonts w:cstheme="minorHAnsi"/>
          <w:szCs w:val="20"/>
        </w:rPr>
        <w:t>private companies</w:t>
      </w:r>
      <w:r w:rsidRPr="00216A71">
        <w:rPr>
          <w:rFonts w:cstheme="minorHAnsi"/>
          <w:szCs w:val="20"/>
        </w:rPr>
        <w:t xml:space="preserve"> to provide.</w:t>
      </w:r>
      <w:r w:rsidR="004045AD">
        <w:rPr>
          <w:rFonts w:cstheme="minorHAnsi"/>
          <w:szCs w:val="20"/>
        </w:rPr>
        <w:t xml:space="preserve"> </w:t>
      </w:r>
      <w:r w:rsidR="00C62470" w:rsidRPr="00216A71">
        <w:rPr>
          <w:rFonts w:cstheme="minorHAnsi"/>
          <w:szCs w:val="20"/>
        </w:rPr>
        <w:t>The development of infrastructure</w:t>
      </w:r>
      <w:r w:rsidR="004045AD">
        <w:rPr>
          <w:rFonts w:cstheme="minorHAnsi"/>
          <w:szCs w:val="20"/>
        </w:rPr>
        <w:t xml:space="preserve"> </w:t>
      </w:r>
      <w:r w:rsidRPr="00216A71">
        <w:rPr>
          <w:rFonts w:cstheme="minorHAnsi"/>
          <w:szCs w:val="20"/>
        </w:rPr>
        <w:t>depend</w:t>
      </w:r>
      <w:r w:rsidR="00C62470" w:rsidRPr="00216A71">
        <w:rPr>
          <w:rFonts w:cstheme="minorHAnsi"/>
          <w:szCs w:val="20"/>
        </w:rPr>
        <w:t>s</w:t>
      </w:r>
      <w:r w:rsidRPr="00216A71">
        <w:rPr>
          <w:rFonts w:cstheme="minorHAnsi"/>
          <w:szCs w:val="20"/>
        </w:rPr>
        <w:t xml:space="preserve"> on governments committing themselves to spend </w:t>
      </w:r>
      <w:r w:rsidR="00C62470" w:rsidRPr="00216A71">
        <w:rPr>
          <w:rFonts w:cstheme="minorHAnsi"/>
          <w:szCs w:val="20"/>
        </w:rPr>
        <w:t xml:space="preserve">large amounts of money for many years. </w:t>
      </w:r>
      <w:r w:rsidRPr="00216A71">
        <w:rPr>
          <w:rFonts w:cstheme="minorHAnsi"/>
          <w:szCs w:val="20"/>
        </w:rPr>
        <w:t>PPP</w:t>
      </w:r>
      <w:r w:rsidR="00C62470" w:rsidRPr="00216A71">
        <w:rPr>
          <w:rFonts w:cstheme="minorHAnsi"/>
          <w:szCs w:val="20"/>
        </w:rPr>
        <w:t>s do not add to this</w:t>
      </w:r>
      <w:r w:rsidR="004045AD">
        <w:rPr>
          <w:rFonts w:cstheme="minorHAnsi"/>
          <w:szCs w:val="20"/>
        </w:rPr>
        <w:t xml:space="preserve"> – </w:t>
      </w:r>
      <w:r w:rsidR="00CD0077" w:rsidRPr="00216A71">
        <w:rPr>
          <w:rFonts w:cstheme="minorHAnsi"/>
          <w:szCs w:val="20"/>
        </w:rPr>
        <w:t xml:space="preserve">rather, </w:t>
      </w:r>
      <w:r w:rsidR="00C62470" w:rsidRPr="00216A71">
        <w:rPr>
          <w:rFonts w:cstheme="minorHAnsi"/>
          <w:szCs w:val="20"/>
        </w:rPr>
        <w:t xml:space="preserve">they </w:t>
      </w:r>
      <w:r w:rsidR="00A43D87" w:rsidRPr="00216A71">
        <w:rPr>
          <w:rFonts w:cstheme="minorHAnsi"/>
          <w:szCs w:val="20"/>
        </w:rPr>
        <w:t xml:space="preserve">select a </w:t>
      </w:r>
      <w:r w:rsidRPr="00216A71">
        <w:rPr>
          <w:rFonts w:cstheme="minorHAnsi"/>
          <w:szCs w:val="20"/>
        </w:rPr>
        <w:t>small number of the most</w:t>
      </w:r>
      <w:r w:rsidR="00A43D87" w:rsidRPr="00216A71">
        <w:rPr>
          <w:rFonts w:cstheme="minorHAnsi"/>
          <w:szCs w:val="20"/>
        </w:rPr>
        <w:t xml:space="preserve"> profitable projects</w:t>
      </w:r>
      <w:r w:rsidR="00FA7F1C" w:rsidRPr="00216A71">
        <w:rPr>
          <w:rFonts w:cstheme="minorHAnsi"/>
          <w:szCs w:val="20"/>
        </w:rPr>
        <w:t>,</w:t>
      </w:r>
      <w:r w:rsidR="00C62470" w:rsidRPr="00216A71">
        <w:rPr>
          <w:rFonts w:cstheme="minorHAnsi"/>
          <w:szCs w:val="20"/>
        </w:rPr>
        <w:t xml:space="preserve"> and persuade governments to prioritise spending on these projects, even if this distorts the </w:t>
      </w:r>
      <w:r w:rsidR="00FA7F1C" w:rsidRPr="00216A71">
        <w:rPr>
          <w:rFonts w:cstheme="minorHAnsi"/>
          <w:szCs w:val="20"/>
        </w:rPr>
        <w:t>development of public services. In Africa, for example, they</w:t>
      </w:r>
      <w:r w:rsidR="00A43D87" w:rsidRPr="00216A71">
        <w:rPr>
          <w:rFonts w:cstheme="minorHAnsi"/>
          <w:szCs w:val="20"/>
        </w:rPr>
        <w:t xml:space="preserve"> finance high-tech hospitals in </w:t>
      </w:r>
      <w:r w:rsidR="00FA7F1C" w:rsidRPr="00216A71">
        <w:rPr>
          <w:rFonts w:cstheme="minorHAnsi"/>
          <w:szCs w:val="20"/>
        </w:rPr>
        <w:t xml:space="preserve">a few </w:t>
      </w:r>
      <w:r w:rsidR="00A43D87" w:rsidRPr="00216A71">
        <w:rPr>
          <w:rFonts w:cstheme="minorHAnsi"/>
          <w:szCs w:val="20"/>
        </w:rPr>
        <w:t xml:space="preserve">urban centres where there are enough wealthy people to support private medicine, but not the universal networks of clinics or the salaries of staff needed to provide healthcare for the poor. </w:t>
      </w:r>
      <w:r w:rsidR="00FA7F1C" w:rsidRPr="00216A71">
        <w:rPr>
          <w:rFonts w:cstheme="minorHAnsi"/>
          <w:szCs w:val="20"/>
        </w:rPr>
        <w:t>In Europe, they</w:t>
      </w:r>
      <w:r w:rsidR="004045AD">
        <w:rPr>
          <w:rFonts w:cstheme="minorHAnsi"/>
          <w:szCs w:val="20"/>
        </w:rPr>
        <w:t xml:space="preserve"> </w:t>
      </w:r>
      <w:r w:rsidR="00A43D87" w:rsidRPr="00216A71">
        <w:rPr>
          <w:rFonts w:cstheme="minorHAnsi"/>
          <w:szCs w:val="20"/>
        </w:rPr>
        <w:t xml:space="preserve">finance </w:t>
      </w:r>
      <w:r w:rsidR="00FA7F1C" w:rsidRPr="00216A71">
        <w:rPr>
          <w:rFonts w:cstheme="minorHAnsi"/>
          <w:szCs w:val="20"/>
        </w:rPr>
        <w:t xml:space="preserve">some lucrative </w:t>
      </w:r>
      <w:r w:rsidR="00A43D87" w:rsidRPr="00216A71">
        <w:rPr>
          <w:rFonts w:cstheme="minorHAnsi"/>
          <w:szCs w:val="20"/>
        </w:rPr>
        <w:t xml:space="preserve">toll roads on existing busy routes, but not the extension of </w:t>
      </w:r>
      <w:r w:rsidR="00772CE5" w:rsidRPr="00216A71">
        <w:rPr>
          <w:rFonts w:cstheme="minorHAnsi"/>
          <w:szCs w:val="20"/>
        </w:rPr>
        <w:t xml:space="preserve">toll-free </w:t>
      </w:r>
      <w:r w:rsidR="00A43D87" w:rsidRPr="00216A71">
        <w:rPr>
          <w:rFonts w:cstheme="minorHAnsi"/>
          <w:szCs w:val="20"/>
        </w:rPr>
        <w:t>roads to improve rural or</w:t>
      </w:r>
      <w:r w:rsidR="00A43D87" w:rsidRPr="00FF6D63">
        <w:rPr>
          <w:rFonts w:cstheme="minorHAnsi"/>
          <w:szCs w:val="20"/>
        </w:rPr>
        <w:t xml:space="preserve"> peri</w:t>
      </w:r>
      <w:r w:rsidR="00A43D87" w:rsidRPr="00216A71">
        <w:rPr>
          <w:rFonts w:cstheme="minorHAnsi"/>
          <w:szCs w:val="20"/>
        </w:rPr>
        <w:t>-urban areas.</w:t>
      </w:r>
      <w:r w:rsidR="004045AD">
        <w:rPr>
          <w:rFonts w:cstheme="minorHAnsi"/>
          <w:szCs w:val="20"/>
        </w:rPr>
        <w:t xml:space="preserve"> </w:t>
      </w:r>
    </w:p>
    <w:p w:rsidR="00D45FD0" w:rsidRPr="00216A71" w:rsidRDefault="00D45FD0" w:rsidP="00DE129F">
      <w:pPr>
        <w:rPr>
          <w:rFonts w:cstheme="minorHAnsi"/>
          <w:szCs w:val="20"/>
        </w:rPr>
      </w:pPr>
      <w:r w:rsidRPr="00216A71">
        <w:rPr>
          <w:rFonts w:cstheme="minorHAnsi"/>
          <w:szCs w:val="20"/>
        </w:rPr>
        <w:t>Even in countries which make most use of PPPs, such as UK and Australia, PPPs only account for about 15</w:t>
      </w:r>
      <w:r w:rsidR="00A42FDE">
        <w:rPr>
          <w:rFonts w:cstheme="minorHAnsi"/>
          <w:szCs w:val="20"/>
        </w:rPr>
        <w:t xml:space="preserve"> per cent</w:t>
      </w:r>
      <w:r w:rsidRPr="00216A71">
        <w:rPr>
          <w:rFonts w:cstheme="minorHAnsi"/>
          <w:szCs w:val="20"/>
        </w:rPr>
        <w:t xml:space="preserve"> of all infrastructure investments; for most OECD countries the proportion is less than 5</w:t>
      </w:r>
      <w:r w:rsidR="00A42FDE">
        <w:rPr>
          <w:rFonts w:cstheme="minorHAnsi"/>
          <w:szCs w:val="20"/>
        </w:rPr>
        <w:t xml:space="preserve"> per cent</w:t>
      </w:r>
      <w:r w:rsidRPr="00216A71">
        <w:rPr>
          <w:rFonts w:cstheme="minorHAnsi"/>
          <w:szCs w:val="20"/>
        </w:rPr>
        <w:t>, or close to zero; the median is 4</w:t>
      </w:r>
      <w:r w:rsidR="00A42FDE">
        <w:rPr>
          <w:rFonts w:cstheme="minorHAnsi"/>
          <w:szCs w:val="20"/>
        </w:rPr>
        <w:t xml:space="preserve"> per cent</w:t>
      </w:r>
      <w:r w:rsidRPr="00216A71">
        <w:rPr>
          <w:rFonts w:cstheme="minorHAnsi"/>
          <w:szCs w:val="20"/>
        </w:rPr>
        <w:t>.</w:t>
      </w:r>
      <w:r w:rsidR="004045AD">
        <w:rPr>
          <w:rFonts w:cstheme="minorHAnsi"/>
          <w:szCs w:val="20"/>
        </w:rPr>
        <w:t xml:space="preserve"> </w:t>
      </w:r>
      <w:r w:rsidRPr="00216A71">
        <w:rPr>
          <w:rFonts w:cstheme="minorHAnsi"/>
          <w:szCs w:val="20"/>
        </w:rPr>
        <w:t>Sweden has explicitly decided against making any use of PPPs.</w:t>
      </w:r>
      <w:r w:rsidR="004045AD">
        <w:rPr>
          <w:rFonts w:cstheme="minorHAnsi"/>
          <w:szCs w:val="20"/>
        </w:rPr>
        <w:t xml:space="preserve"> </w:t>
      </w:r>
      <w:r w:rsidRPr="00216A71">
        <w:rPr>
          <w:rFonts w:cstheme="minorHAnsi"/>
          <w:szCs w:val="20"/>
        </w:rPr>
        <w:lastRenderedPageBreak/>
        <w:t>Within Europe, PPPs represent little more than 5</w:t>
      </w:r>
      <w:r w:rsidR="00A42FDE">
        <w:rPr>
          <w:rFonts w:cstheme="minorHAnsi"/>
          <w:szCs w:val="20"/>
        </w:rPr>
        <w:t xml:space="preserve"> per cent</w:t>
      </w:r>
      <w:r w:rsidRPr="00216A71">
        <w:rPr>
          <w:rFonts w:cstheme="minorHAnsi"/>
          <w:szCs w:val="20"/>
        </w:rPr>
        <w:t xml:space="preserve"> of all infrastructure investment – the overwhelming majority comes from public </w:t>
      </w:r>
      <w:r w:rsidR="00FF6D63" w:rsidRPr="00216A71">
        <w:rPr>
          <w:rFonts w:cstheme="minorHAnsi"/>
          <w:szCs w:val="20"/>
        </w:rPr>
        <w:t>finance</w:t>
      </w:r>
      <w:r w:rsidRPr="00216A71">
        <w:rPr>
          <w:rFonts w:cstheme="minorHAnsi"/>
          <w:szCs w:val="20"/>
        </w:rPr>
        <w:t xml:space="preserve"> or investment by companies which are state-owned or operating under a public service obligation. </w:t>
      </w:r>
      <w:r w:rsidRPr="00216A71">
        <w:rPr>
          <w:rStyle w:val="EndnoteReference"/>
          <w:rFonts w:cstheme="minorHAnsi"/>
          <w:szCs w:val="20"/>
        </w:rPr>
        <w:endnoteReference w:id="15"/>
      </w:r>
      <w:r w:rsidR="004045AD">
        <w:rPr>
          <w:rFonts w:cstheme="minorHAnsi"/>
          <w:szCs w:val="20"/>
        </w:rPr>
        <w:t xml:space="preserve"> </w:t>
      </w:r>
    </w:p>
    <w:p w:rsidR="00385FF5" w:rsidRPr="00216A71" w:rsidRDefault="00385FF5" w:rsidP="00385FF5">
      <w:pPr>
        <w:pStyle w:val="Heading7"/>
        <w:rPr>
          <w:rFonts w:asciiTheme="minorHAnsi" w:hAnsiTheme="minorHAnsi" w:cstheme="minorHAnsi"/>
          <w:szCs w:val="20"/>
        </w:rPr>
      </w:pPr>
      <w:bookmarkStart w:id="8" w:name="_Toc374451087"/>
      <w:r w:rsidRPr="00216A71">
        <w:rPr>
          <w:rFonts w:asciiTheme="minorHAnsi" w:hAnsiTheme="minorHAnsi" w:cstheme="minorHAnsi"/>
          <w:szCs w:val="20"/>
        </w:rPr>
        <w:t>PPPs: small proportion of infrastructure investment in OECD countries</w:t>
      </w:r>
      <w:bookmarkEnd w:id="8"/>
    </w:p>
    <w:tbl>
      <w:tblPr>
        <w:tblStyle w:val="TableGrid"/>
        <w:tblW w:w="0" w:type="auto"/>
        <w:tblLayout w:type="fixed"/>
        <w:tblLook w:val="04A0" w:firstRow="1" w:lastRow="0" w:firstColumn="1" w:lastColumn="0" w:noHBand="0" w:noVBand="1"/>
      </w:tblPr>
      <w:tblGrid>
        <w:gridCol w:w="4219"/>
        <w:gridCol w:w="1418"/>
        <w:gridCol w:w="4110"/>
      </w:tblGrid>
      <w:tr w:rsidR="00385FF5" w:rsidRPr="00216A71" w:rsidTr="00277AAA">
        <w:tc>
          <w:tcPr>
            <w:tcW w:w="4219" w:type="dxa"/>
          </w:tcPr>
          <w:p w:rsidR="00385FF5" w:rsidRPr="00216A71" w:rsidRDefault="00385FF5" w:rsidP="0066148C">
            <w:pPr>
              <w:autoSpaceDE w:val="0"/>
              <w:autoSpaceDN w:val="0"/>
              <w:adjustRightInd w:val="0"/>
              <w:rPr>
                <w:rFonts w:cstheme="minorHAnsi"/>
                <w:color w:val="000000"/>
                <w:szCs w:val="20"/>
                <w:lang w:val="es-ES_tradnl"/>
              </w:rPr>
            </w:pPr>
            <w:r w:rsidRPr="00216A71">
              <w:rPr>
                <w:rFonts w:cstheme="minorHAnsi"/>
                <w:color w:val="000000"/>
                <w:szCs w:val="20"/>
                <w:lang w:val="es-ES_tradnl"/>
              </w:rPr>
              <w:t>Countries</w:t>
            </w:r>
          </w:p>
        </w:tc>
        <w:tc>
          <w:tcPr>
            <w:tcW w:w="5528" w:type="dxa"/>
            <w:gridSpan w:val="2"/>
          </w:tcPr>
          <w:p w:rsidR="00385FF5" w:rsidRPr="00216A71" w:rsidRDefault="00385FF5" w:rsidP="0066148C">
            <w:pPr>
              <w:autoSpaceDE w:val="0"/>
              <w:autoSpaceDN w:val="0"/>
              <w:adjustRightInd w:val="0"/>
              <w:jc w:val="right"/>
              <w:rPr>
                <w:rFonts w:cstheme="minorHAnsi"/>
                <w:color w:val="000000"/>
                <w:szCs w:val="20"/>
              </w:rPr>
            </w:pPr>
            <w:r w:rsidRPr="00216A71">
              <w:rPr>
                <w:rFonts w:cstheme="minorHAnsi"/>
                <w:color w:val="000000"/>
                <w:szCs w:val="20"/>
              </w:rPr>
              <w:t>Proportion of infrastructure investment financed by</w:t>
            </w:r>
          </w:p>
        </w:tc>
      </w:tr>
      <w:tr w:rsidR="00385FF5" w:rsidRPr="00216A71" w:rsidTr="00277AAA">
        <w:tc>
          <w:tcPr>
            <w:tcW w:w="4219" w:type="dxa"/>
          </w:tcPr>
          <w:p w:rsidR="00385FF5" w:rsidRPr="00216A71" w:rsidRDefault="00385FF5" w:rsidP="0066148C">
            <w:pPr>
              <w:autoSpaceDE w:val="0"/>
              <w:autoSpaceDN w:val="0"/>
              <w:adjustRightInd w:val="0"/>
              <w:rPr>
                <w:rFonts w:cstheme="minorHAnsi"/>
                <w:color w:val="000000"/>
                <w:szCs w:val="20"/>
              </w:rPr>
            </w:pPr>
          </w:p>
        </w:tc>
        <w:tc>
          <w:tcPr>
            <w:tcW w:w="1418" w:type="dxa"/>
          </w:tcPr>
          <w:p w:rsidR="00385FF5" w:rsidRPr="00216A71" w:rsidRDefault="00385FF5" w:rsidP="0066148C">
            <w:pPr>
              <w:autoSpaceDE w:val="0"/>
              <w:autoSpaceDN w:val="0"/>
              <w:adjustRightInd w:val="0"/>
              <w:jc w:val="right"/>
              <w:rPr>
                <w:rFonts w:cstheme="minorHAnsi"/>
                <w:color w:val="000000"/>
                <w:szCs w:val="20"/>
              </w:rPr>
            </w:pPr>
            <w:r w:rsidRPr="00216A71">
              <w:rPr>
                <w:rFonts w:cstheme="minorHAnsi"/>
                <w:color w:val="000000"/>
                <w:szCs w:val="20"/>
              </w:rPr>
              <w:t>PPPs</w:t>
            </w:r>
          </w:p>
        </w:tc>
        <w:tc>
          <w:tcPr>
            <w:tcW w:w="4110" w:type="dxa"/>
          </w:tcPr>
          <w:p w:rsidR="00385FF5" w:rsidRPr="00216A71" w:rsidRDefault="00385FF5" w:rsidP="0066148C">
            <w:pPr>
              <w:autoSpaceDE w:val="0"/>
              <w:autoSpaceDN w:val="0"/>
              <w:adjustRightInd w:val="0"/>
              <w:jc w:val="right"/>
              <w:rPr>
                <w:rFonts w:cstheme="minorHAnsi"/>
                <w:color w:val="000000"/>
                <w:szCs w:val="20"/>
              </w:rPr>
            </w:pPr>
            <w:r w:rsidRPr="00216A71">
              <w:rPr>
                <w:rFonts w:cstheme="minorHAnsi"/>
                <w:color w:val="000000"/>
                <w:szCs w:val="20"/>
              </w:rPr>
              <w:t>Public finance</w:t>
            </w:r>
          </w:p>
        </w:tc>
      </w:tr>
      <w:tr w:rsidR="00385FF5" w:rsidRPr="00216A71" w:rsidTr="00277AAA">
        <w:tc>
          <w:tcPr>
            <w:tcW w:w="4219" w:type="dxa"/>
          </w:tcPr>
          <w:p w:rsidR="00385FF5" w:rsidRPr="00216A71" w:rsidRDefault="00385FF5" w:rsidP="0066148C">
            <w:pPr>
              <w:autoSpaceDE w:val="0"/>
              <w:autoSpaceDN w:val="0"/>
              <w:adjustRightInd w:val="0"/>
              <w:rPr>
                <w:rFonts w:cstheme="minorHAnsi"/>
                <w:color w:val="000000"/>
                <w:szCs w:val="20"/>
              </w:rPr>
            </w:pPr>
            <w:r w:rsidRPr="00216A71">
              <w:rPr>
                <w:rFonts w:cstheme="minorHAnsi"/>
                <w:color w:val="000000"/>
                <w:szCs w:val="20"/>
              </w:rPr>
              <w:t>Austria Estonia Hungary Sweden Switzerland (5)</w:t>
            </w:r>
          </w:p>
        </w:tc>
        <w:tc>
          <w:tcPr>
            <w:tcW w:w="1418" w:type="dxa"/>
          </w:tcPr>
          <w:p w:rsidR="00385FF5" w:rsidRPr="00216A71" w:rsidRDefault="00385FF5" w:rsidP="0066148C">
            <w:pPr>
              <w:autoSpaceDE w:val="0"/>
              <w:autoSpaceDN w:val="0"/>
              <w:adjustRightInd w:val="0"/>
              <w:jc w:val="right"/>
              <w:rPr>
                <w:rFonts w:cstheme="minorHAnsi"/>
                <w:color w:val="000000"/>
                <w:szCs w:val="20"/>
                <w:lang w:val="es-ES_tradnl"/>
              </w:rPr>
            </w:pPr>
            <w:r w:rsidRPr="00216A71">
              <w:rPr>
                <w:rFonts w:cstheme="minorHAnsi"/>
                <w:color w:val="000000"/>
                <w:szCs w:val="20"/>
                <w:lang w:val="es-ES_tradnl"/>
              </w:rPr>
              <w:t xml:space="preserve">≥0 </w:t>
            </w:r>
          </w:p>
        </w:tc>
        <w:tc>
          <w:tcPr>
            <w:tcW w:w="4110" w:type="dxa"/>
          </w:tcPr>
          <w:p w:rsidR="00385FF5" w:rsidRPr="00216A71" w:rsidRDefault="00385FF5" w:rsidP="0066148C">
            <w:pPr>
              <w:jc w:val="right"/>
              <w:rPr>
                <w:rFonts w:cstheme="minorHAnsi"/>
                <w:szCs w:val="20"/>
              </w:rPr>
            </w:pPr>
            <w:r w:rsidRPr="00216A71">
              <w:rPr>
                <w:rFonts w:cstheme="minorHAnsi"/>
                <w:szCs w:val="20"/>
              </w:rPr>
              <w:t>≤100</w:t>
            </w:r>
          </w:p>
        </w:tc>
      </w:tr>
      <w:tr w:rsidR="00385FF5" w:rsidRPr="00216A71" w:rsidTr="00277AAA">
        <w:tc>
          <w:tcPr>
            <w:tcW w:w="4219" w:type="dxa"/>
          </w:tcPr>
          <w:p w:rsidR="00385FF5" w:rsidRPr="00216A71" w:rsidRDefault="00385FF5" w:rsidP="0066148C">
            <w:pPr>
              <w:autoSpaceDE w:val="0"/>
              <w:autoSpaceDN w:val="0"/>
              <w:adjustRightInd w:val="0"/>
              <w:rPr>
                <w:rFonts w:cstheme="minorHAnsi"/>
                <w:color w:val="000000"/>
                <w:szCs w:val="20"/>
              </w:rPr>
            </w:pPr>
            <w:r w:rsidRPr="00216A71">
              <w:rPr>
                <w:rFonts w:cstheme="minorHAnsi"/>
                <w:color w:val="000000"/>
                <w:szCs w:val="20"/>
              </w:rPr>
              <w:t>Czech Republic Canada Italy New Zealand (4)</w:t>
            </w:r>
          </w:p>
        </w:tc>
        <w:tc>
          <w:tcPr>
            <w:tcW w:w="1418" w:type="dxa"/>
          </w:tcPr>
          <w:p w:rsidR="00385FF5" w:rsidRPr="00216A71" w:rsidRDefault="00385FF5" w:rsidP="0066148C">
            <w:pPr>
              <w:autoSpaceDE w:val="0"/>
              <w:autoSpaceDN w:val="0"/>
              <w:adjustRightInd w:val="0"/>
              <w:jc w:val="right"/>
              <w:rPr>
                <w:rFonts w:cstheme="minorHAnsi"/>
                <w:color w:val="000000"/>
                <w:szCs w:val="20"/>
              </w:rPr>
            </w:pPr>
            <w:r w:rsidRPr="00216A71">
              <w:rPr>
                <w:rFonts w:cstheme="minorHAnsi"/>
                <w:color w:val="000000"/>
                <w:szCs w:val="20"/>
              </w:rPr>
              <w:t>0.5 -2</w:t>
            </w:r>
          </w:p>
        </w:tc>
        <w:tc>
          <w:tcPr>
            <w:tcW w:w="4110" w:type="dxa"/>
          </w:tcPr>
          <w:p w:rsidR="00385FF5" w:rsidRPr="00216A71" w:rsidRDefault="00385FF5" w:rsidP="0066148C">
            <w:pPr>
              <w:jc w:val="right"/>
              <w:rPr>
                <w:rFonts w:cstheme="minorHAnsi"/>
                <w:szCs w:val="20"/>
              </w:rPr>
            </w:pPr>
            <w:r w:rsidRPr="00216A71">
              <w:rPr>
                <w:rFonts w:cstheme="minorHAnsi"/>
                <w:szCs w:val="20"/>
              </w:rPr>
              <w:t>98-99.5</w:t>
            </w:r>
          </w:p>
        </w:tc>
      </w:tr>
      <w:tr w:rsidR="00385FF5" w:rsidRPr="00216A71" w:rsidTr="00277AAA">
        <w:tc>
          <w:tcPr>
            <w:tcW w:w="4219" w:type="dxa"/>
          </w:tcPr>
          <w:p w:rsidR="00385FF5" w:rsidRPr="00216A71" w:rsidRDefault="00385FF5" w:rsidP="0066148C">
            <w:pPr>
              <w:autoSpaceDE w:val="0"/>
              <w:autoSpaceDN w:val="0"/>
              <w:adjustRightInd w:val="0"/>
              <w:rPr>
                <w:rFonts w:cstheme="minorHAnsi"/>
                <w:color w:val="000000"/>
                <w:szCs w:val="20"/>
              </w:rPr>
            </w:pPr>
            <w:r w:rsidRPr="00216A71">
              <w:rPr>
                <w:rFonts w:cstheme="minorHAnsi"/>
                <w:color w:val="000000"/>
                <w:szCs w:val="20"/>
              </w:rPr>
              <w:t>Germany Norway South Africa Spain (4)</w:t>
            </w:r>
          </w:p>
        </w:tc>
        <w:tc>
          <w:tcPr>
            <w:tcW w:w="1418" w:type="dxa"/>
          </w:tcPr>
          <w:p w:rsidR="00385FF5" w:rsidRPr="00216A71" w:rsidRDefault="00385FF5" w:rsidP="0066148C">
            <w:pPr>
              <w:autoSpaceDE w:val="0"/>
              <w:autoSpaceDN w:val="0"/>
              <w:adjustRightInd w:val="0"/>
              <w:jc w:val="right"/>
              <w:rPr>
                <w:rFonts w:cstheme="minorHAnsi"/>
                <w:color w:val="000000"/>
                <w:szCs w:val="20"/>
              </w:rPr>
            </w:pPr>
            <w:r w:rsidRPr="00216A71">
              <w:rPr>
                <w:rFonts w:cstheme="minorHAnsi"/>
                <w:color w:val="000000"/>
                <w:szCs w:val="20"/>
              </w:rPr>
              <w:t xml:space="preserve">4 </w:t>
            </w:r>
          </w:p>
        </w:tc>
        <w:tc>
          <w:tcPr>
            <w:tcW w:w="4110" w:type="dxa"/>
          </w:tcPr>
          <w:p w:rsidR="00385FF5" w:rsidRPr="00216A71" w:rsidRDefault="00385FF5" w:rsidP="0066148C">
            <w:pPr>
              <w:jc w:val="right"/>
              <w:rPr>
                <w:rFonts w:cstheme="minorHAnsi"/>
                <w:szCs w:val="20"/>
              </w:rPr>
            </w:pPr>
            <w:r w:rsidRPr="00216A71">
              <w:rPr>
                <w:rFonts w:cstheme="minorHAnsi"/>
                <w:szCs w:val="20"/>
              </w:rPr>
              <w:t>96</w:t>
            </w:r>
          </w:p>
        </w:tc>
      </w:tr>
      <w:tr w:rsidR="00385FF5" w:rsidRPr="00216A71" w:rsidTr="00277AAA">
        <w:tc>
          <w:tcPr>
            <w:tcW w:w="4219" w:type="dxa"/>
          </w:tcPr>
          <w:p w:rsidR="00385FF5" w:rsidRPr="00216A71" w:rsidRDefault="00385FF5" w:rsidP="0066148C">
            <w:pPr>
              <w:autoSpaceDE w:val="0"/>
              <w:autoSpaceDN w:val="0"/>
              <w:adjustRightInd w:val="0"/>
              <w:rPr>
                <w:rFonts w:cstheme="minorHAnsi"/>
                <w:color w:val="000000"/>
                <w:szCs w:val="20"/>
                <w:lang w:val="es-ES_tradnl"/>
              </w:rPr>
            </w:pPr>
            <w:r w:rsidRPr="00216A71">
              <w:rPr>
                <w:rFonts w:cstheme="minorHAnsi"/>
                <w:color w:val="000000"/>
                <w:szCs w:val="20"/>
                <w:lang w:val="es-ES_tradnl"/>
              </w:rPr>
              <w:t>Korea Luxembourg (2)</w:t>
            </w:r>
          </w:p>
        </w:tc>
        <w:tc>
          <w:tcPr>
            <w:tcW w:w="1418" w:type="dxa"/>
          </w:tcPr>
          <w:p w:rsidR="00385FF5" w:rsidRPr="00216A71" w:rsidRDefault="00385FF5" w:rsidP="0066148C">
            <w:pPr>
              <w:autoSpaceDE w:val="0"/>
              <w:autoSpaceDN w:val="0"/>
              <w:adjustRightInd w:val="0"/>
              <w:jc w:val="right"/>
              <w:rPr>
                <w:rFonts w:cstheme="minorHAnsi"/>
                <w:color w:val="000000"/>
                <w:szCs w:val="20"/>
                <w:lang w:val="es-ES_tradnl"/>
              </w:rPr>
            </w:pPr>
            <w:r w:rsidRPr="00216A71">
              <w:rPr>
                <w:rFonts w:cstheme="minorHAnsi"/>
                <w:color w:val="000000"/>
                <w:szCs w:val="20"/>
                <w:lang w:val="es-ES_tradnl"/>
              </w:rPr>
              <w:t>7.5</w:t>
            </w:r>
          </w:p>
        </w:tc>
        <w:tc>
          <w:tcPr>
            <w:tcW w:w="4110" w:type="dxa"/>
          </w:tcPr>
          <w:p w:rsidR="00385FF5" w:rsidRPr="00216A71" w:rsidRDefault="00385FF5" w:rsidP="0066148C">
            <w:pPr>
              <w:jc w:val="right"/>
              <w:rPr>
                <w:rFonts w:cstheme="minorHAnsi"/>
                <w:szCs w:val="20"/>
              </w:rPr>
            </w:pPr>
            <w:r w:rsidRPr="00216A71">
              <w:rPr>
                <w:rFonts w:cstheme="minorHAnsi"/>
                <w:szCs w:val="20"/>
              </w:rPr>
              <w:t>92.5</w:t>
            </w:r>
          </w:p>
        </w:tc>
      </w:tr>
      <w:tr w:rsidR="00385FF5" w:rsidRPr="00216A71" w:rsidTr="00277AAA">
        <w:tc>
          <w:tcPr>
            <w:tcW w:w="4219" w:type="dxa"/>
          </w:tcPr>
          <w:p w:rsidR="00385FF5" w:rsidRPr="00216A71" w:rsidRDefault="00385FF5" w:rsidP="0066148C">
            <w:pPr>
              <w:autoSpaceDE w:val="0"/>
              <w:autoSpaceDN w:val="0"/>
              <w:adjustRightInd w:val="0"/>
              <w:rPr>
                <w:rFonts w:cstheme="minorHAnsi"/>
                <w:color w:val="000000"/>
                <w:szCs w:val="20"/>
              </w:rPr>
            </w:pPr>
            <w:r w:rsidRPr="00216A71">
              <w:rPr>
                <w:rFonts w:cstheme="minorHAnsi"/>
                <w:color w:val="000000"/>
                <w:szCs w:val="20"/>
                <w:lang w:val="es-ES_tradnl"/>
              </w:rPr>
              <w:t>Australia</w:t>
            </w:r>
            <w:r w:rsidRPr="00216A71">
              <w:rPr>
                <w:rFonts w:cstheme="minorHAnsi"/>
                <w:color w:val="000000"/>
                <w:szCs w:val="20"/>
              </w:rPr>
              <w:t xml:space="preserve"> Finland (2)</w:t>
            </w:r>
          </w:p>
        </w:tc>
        <w:tc>
          <w:tcPr>
            <w:tcW w:w="1418" w:type="dxa"/>
          </w:tcPr>
          <w:p w:rsidR="00385FF5" w:rsidRPr="00216A71" w:rsidRDefault="00385FF5" w:rsidP="0066148C">
            <w:pPr>
              <w:autoSpaceDE w:val="0"/>
              <w:autoSpaceDN w:val="0"/>
              <w:adjustRightInd w:val="0"/>
              <w:jc w:val="right"/>
              <w:rPr>
                <w:rFonts w:cstheme="minorHAnsi"/>
                <w:color w:val="000000"/>
                <w:szCs w:val="20"/>
              </w:rPr>
            </w:pPr>
            <w:r w:rsidRPr="00216A71">
              <w:rPr>
                <w:rFonts w:cstheme="minorHAnsi"/>
                <w:color w:val="000000"/>
                <w:szCs w:val="20"/>
              </w:rPr>
              <w:t xml:space="preserve">12.5 </w:t>
            </w:r>
          </w:p>
        </w:tc>
        <w:tc>
          <w:tcPr>
            <w:tcW w:w="4110" w:type="dxa"/>
          </w:tcPr>
          <w:p w:rsidR="00385FF5" w:rsidRPr="00216A71" w:rsidRDefault="00385FF5" w:rsidP="0066148C">
            <w:pPr>
              <w:jc w:val="right"/>
              <w:rPr>
                <w:rFonts w:cstheme="minorHAnsi"/>
                <w:szCs w:val="20"/>
              </w:rPr>
            </w:pPr>
            <w:r w:rsidRPr="00216A71">
              <w:rPr>
                <w:rFonts w:cstheme="minorHAnsi"/>
                <w:szCs w:val="20"/>
              </w:rPr>
              <w:t>87.5</w:t>
            </w:r>
          </w:p>
        </w:tc>
      </w:tr>
      <w:tr w:rsidR="00385FF5" w:rsidRPr="00216A71" w:rsidTr="00277AAA">
        <w:tc>
          <w:tcPr>
            <w:tcW w:w="4219" w:type="dxa"/>
          </w:tcPr>
          <w:p w:rsidR="00385FF5" w:rsidRPr="00216A71" w:rsidRDefault="00385FF5" w:rsidP="0066148C">
            <w:pPr>
              <w:autoSpaceDE w:val="0"/>
              <w:autoSpaceDN w:val="0"/>
              <w:adjustRightInd w:val="0"/>
              <w:rPr>
                <w:rFonts w:cstheme="minorHAnsi"/>
                <w:color w:val="000000"/>
                <w:szCs w:val="20"/>
              </w:rPr>
            </w:pPr>
            <w:r w:rsidRPr="00216A71">
              <w:rPr>
                <w:rFonts w:cstheme="minorHAnsi"/>
                <w:color w:val="000000"/>
                <w:szCs w:val="20"/>
              </w:rPr>
              <w:t>Mexico UK (2)</w:t>
            </w:r>
          </w:p>
        </w:tc>
        <w:tc>
          <w:tcPr>
            <w:tcW w:w="1418" w:type="dxa"/>
          </w:tcPr>
          <w:p w:rsidR="00385FF5" w:rsidRPr="00216A71" w:rsidRDefault="00385FF5" w:rsidP="0066148C">
            <w:pPr>
              <w:autoSpaceDE w:val="0"/>
              <w:autoSpaceDN w:val="0"/>
              <w:adjustRightInd w:val="0"/>
              <w:jc w:val="right"/>
              <w:rPr>
                <w:rFonts w:cstheme="minorHAnsi"/>
                <w:color w:val="000000"/>
                <w:szCs w:val="20"/>
              </w:rPr>
            </w:pPr>
            <w:r w:rsidRPr="00216A71">
              <w:rPr>
                <w:rFonts w:cstheme="minorHAnsi"/>
                <w:color w:val="000000"/>
                <w:szCs w:val="20"/>
              </w:rPr>
              <w:t xml:space="preserve">15 </w:t>
            </w:r>
          </w:p>
        </w:tc>
        <w:tc>
          <w:tcPr>
            <w:tcW w:w="4110" w:type="dxa"/>
          </w:tcPr>
          <w:p w:rsidR="00385FF5" w:rsidRPr="00216A71" w:rsidRDefault="00385FF5" w:rsidP="0066148C">
            <w:pPr>
              <w:jc w:val="right"/>
              <w:rPr>
                <w:rFonts w:cstheme="minorHAnsi"/>
                <w:szCs w:val="20"/>
              </w:rPr>
            </w:pPr>
            <w:r w:rsidRPr="00216A71">
              <w:rPr>
                <w:rFonts w:cstheme="minorHAnsi"/>
                <w:szCs w:val="20"/>
              </w:rPr>
              <w:t>85</w:t>
            </w:r>
          </w:p>
        </w:tc>
      </w:tr>
    </w:tbl>
    <w:p w:rsidR="00385FF5" w:rsidRPr="00216A71" w:rsidRDefault="00385FF5" w:rsidP="00385FF5">
      <w:pPr>
        <w:rPr>
          <w:rFonts w:cstheme="minorHAnsi"/>
          <w:szCs w:val="20"/>
        </w:rPr>
      </w:pPr>
      <w:r w:rsidRPr="00216A71">
        <w:rPr>
          <w:rFonts w:cstheme="minorHAnsi"/>
          <w:szCs w:val="20"/>
        </w:rPr>
        <w:t xml:space="preserve">Source: OECD 2013 (using mid-range figures) </w:t>
      </w:r>
      <w:r w:rsidRPr="00216A71">
        <w:rPr>
          <w:rStyle w:val="EndnoteReference"/>
          <w:rFonts w:cstheme="minorHAnsi"/>
          <w:szCs w:val="20"/>
        </w:rPr>
        <w:endnoteReference w:id="16"/>
      </w:r>
    </w:p>
    <w:p w:rsidR="005A663D" w:rsidRPr="00216A71" w:rsidRDefault="00385FF5" w:rsidP="00EC4A5D">
      <w:pPr>
        <w:pStyle w:val="Heading8"/>
        <w:rPr>
          <w:rFonts w:asciiTheme="minorHAnsi" w:hAnsiTheme="minorHAnsi" w:cstheme="minorHAnsi"/>
        </w:rPr>
      </w:pPr>
      <w:r w:rsidRPr="00216A71">
        <w:rPr>
          <w:rFonts w:asciiTheme="minorHAnsi" w:hAnsiTheme="minorHAnsi" w:cstheme="minorHAnsi"/>
          <w:szCs w:val="20"/>
        </w:rPr>
        <w:t>Financing of infrastructure by country, Europe, 2009-2011</w:t>
      </w:r>
    </w:p>
    <w:p w:rsidR="00385FF5" w:rsidRPr="00216A71" w:rsidRDefault="005A663D" w:rsidP="00385FF5">
      <w:pPr>
        <w:rPr>
          <w:rFonts w:cstheme="minorHAnsi"/>
          <w:szCs w:val="20"/>
        </w:rPr>
      </w:pPr>
      <w:r w:rsidRPr="00216A71">
        <w:rPr>
          <w:rFonts w:cstheme="minorHAnsi"/>
          <w:noProof/>
          <w:szCs w:val="20"/>
          <w:lang w:eastAsia="en-GB"/>
        </w:rPr>
        <w:drawing>
          <wp:inline distT="0" distB="0" distL="0" distR="0" wp14:anchorId="6BA35F3A" wp14:editId="75891CBE">
            <wp:extent cx="3585173" cy="267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5962" cy="2676364"/>
                    </a:xfrm>
                    <a:prstGeom prst="rect">
                      <a:avLst/>
                    </a:prstGeom>
                    <a:noFill/>
                    <a:ln>
                      <a:noFill/>
                    </a:ln>
                  </pic:spPr>
                </pic:pic>
              </a:graphicData>
            </a:graphic>
          </wp:inline>
        </w:drawing>
      </w:r>
    </w:p>
    <w:p w:rsidR="00385FF5" w:rsidRPr="00216A71" w:rsidRDefault="00385FF5" w:rsidP="00385FF5">
      <w:pPr>
        <w:rPr>
          <w:rFonts w:cstheme="minorHAnsi"/>
          <w:szCs w:val="20"/>
        </w:rPr>
      </w:pPr>
      <w:r w:rsidRPr="00216A71">
        <w:rPr>
          <w:rFonts w:cstheme="minorHAnsi"/>
          <w:szCs w:val="20"/>
        </w:rPr>
        <w:t>Source: EIB 2013</w:t>
      </w:r>
      <w:r w:rsidRPr="00216A71">
        <w:rPr>
          <w:rStyle w:val="EndnoteReference"/>
          <w:rFonts w:cstheme="minorHAnsi"/>
          <w:szCs w:val="20"/>
        </w:rPr>
        <w:endnoteReference w:id="17"/>
      </w:r>
      <w:r w:rsidR="004045AD">
        <w:rPr>
          <w:rFonts w:cstheme="minorHAnsi"/>
          <w:szCs w:val="20"/>
        </w:rPr>
        <w:t xml:space="preserve"> </w:t>
      </w:r>
    </w:p>
    <w:p w:rsidR="00F84288" w:rsidRPr="00216A71" w:rsidRDefault="00F84288" w:rsidP="0080036E">
      <w:pPr>
        <w:pStyle w:val="Heading6"/>
        <w:rPr>
          <w:rFonts w:cstheme="minorHAnsi"/>
          <w:szCs w:val="20"/>
        </w:rPr>
      </w:pPr>
      <w:r w:rsidRPr="00216A71">
        <w:rPr>
          <w:rFonts w:cstheme="minorHAnsi"/>
          <w:szCs w:val="20"/>
        </w:rPr>
        <w:t>Germany: PPPs no help for infrastructure crisis</w:t>
      </w:r>
    </w:p>
    <w:p w:rsidR="000C629A" w:rsidRDefault="00F84288" w:rsidP="00F84288">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Germany is suffering from major under-investment in its infrastructure. Government is investing too little, and borrowing less than nothing, while private companies and households are investing abroad. Investment in fibre-optic cables and renewable energy currently depend</w:t>
      </w:r>
      <w:r w:rsidR="00C62470" w:rsidRPr="00216A71">
        <w:rPr>
          <w:rFonts w:cstheme="minorHAnsi"/>
          <w:szCs w:val="20"/>
        </w:rPr>
        <w:t>s</w:t>
      </w:r>
      <w:r w:rsidRPr="00216A71">
        <w:rPr>
          <w:rFonts w:cstheme="minorHAnsi"/>
          <w:szCs w:val="20"/>
        </w:rPr>
        <w:t xml:space="preserve"> strongly on co-ops and other local init</w:t>
      </w:r>
      <w:r w:rsidR="008F1153" w:rsidRPr="00216A71">
        <w:rPr>
          <w:rFonts w:cstheme="minorHAnsi"/>
          <w:szCs w:val="20"/>
        </w:rPr>
        <w:t>i</w:t>
      </w:r>
      <w:r w:rsidRPr="00216A71">
        <w:rPr>
          <w:rFonts w:cstheme="minorHAnsi"/>
          <w:szCs w:val="20"/>
        </w:rPr>
        <w:t>atives.</w:t>
      </w:r>
      <w:r w:rsidRPr="00216A71">
        <w:rPr>
          <w:rFonts w:cstheme="minorHAnsi"/>
          <w:szCs w:val="20"/>
          <w:vertAlign w:val="superscript"/>
        </w:rPr>
        <w:endnoteReference w:id="18"/>
      </w:r>
      <w:r w:rsidR="00A42FDE">
        <w:rPr>
          <w:rFonts w:cstheme="minorHAnsi"/>
          <w:szCs w:val="20"/>
        </w:rPr>
        <w:t xml:space="preserve"> </w:t>
      </w:r>
      <w:r w:rsidRPr="00216A71">
        <w:rPr>
          <w:rFonts w:cstheme="minorHAnsi"/>
          <w:szCs w:val="20"/>
        </w:rPr>
        <w:t>PPPs have shown the usual problems. A PPP for the new Berlin airport was abandoned; a new concert hall in Hamburg was originally estimated to cost €114</w:t>
      </w:r>
      <w:r w:rsidR="00A42FDE">
        <w:rPr>
          <w:rFonts w:cstheme="minorHAnsi"/>
          <w:szCs w:val="20"/>
        </w:rPr>
        <w:t xml:space="preserve"> </w:t>
      </w:r>
      <w:r w:rsidRPr="00216A71">
        <w:rPr>
          <w:rFonts w:cstheme="minorHAnsi"/>
          <w:szCs w:val="20"/>
        </w:rPr>
        <w:t>million and be finished in 2010, but the private construction company Hochtief now expects it to be completed in 2017 at a cost of €780</w:t>
      </w:r>
      <w:r w:rsidR="00D625FA">
        <w:rPr>
          <w:rFonts w:cstheme="minorHAnsi"/>
          <w:szCs w:val="20"/>
        </w:rPr>
        <w:t xml:space="preserve"> </w:t>
      </w:r>
      <w:r w:rsidRPr="00216A71">
        <w:rPr>
          <w:rFonts w:cstheme="minorHAnsi"/>
          <w:szCs w:val="20"/>
        </w:rPr>
        <w:t>million</w:t>
      </w:r>
      <w:r w:rsidR="00D625FA">
        <w:rPr>
          <w:rFonts w:cstheme="minorHAnsi"/>
          <w:szCs w:val="20"/>
        </w:rPr>
        <w:t>. T</w:t>
      </w:r>
      <w:r w:rsidRPr="00216A71">
        <w:rPr>
          <w:rFonts w:cstheme="minorHAnsi"/>
          <w:szCs w:val="20"/>
        </w:rPr>
        <w:t>he total rents of a 15 year PPP project for 90 schools in Offenbach increased from an initial forecast of €780 million to €1.3 billion. The proposed PPP to redevelop the A7 autobahn was shown by campaigners to be €25 million more expensive than normal public procurement.</w:t>
      </w:r>
      <w:r w:rsidRPr="00216A71">
        <w:rPr>
          <w:rFonts w:cstheme="minorHAnsi"/>
          <w:szCs w:val="20"/>
          <w:vertAlign w:val="superscript"/>
        </w:rPr>
        <w:endnoteReference w:id="19"/>
      </w:r>
    </w:p>
    <w:p w:rsidR="000C629A" w:rsidRDefault="00DE129F" w:rsidP="00DE129F">
      <w:pPr>
        <w:rPr>
          <w:rFonts w:cstheme="minorHAnsi"/>
          <w:szCs w:val="20"/>
        </w:rPr>
      </w:pPr>
      <w:r w:rsidRPr="00216A71">
        <w:rPr>
          <w:rFonts w:cstheme="minorHAnsi"/>
          <w:szCs w:val="20"/>
        </w:rPr>
        <w:t>The same is true in developing countries.</w:t>
      </w:r>
      <w:r w:rsidR="004045AD">
        <w:rPr>
          <w:rFonts w:cstheme="minorHAnsi"/>
          <w:szCs w:val="20"/>
        </w:rPr>
        <w:t xml:space="preserve"> </w:t>
      </w:r>
      <w:r w:rsidRPr="00216A71">
        <w:rPr>
          <w:rFonts w:cstheme="minorHAnsi"/>
          <w:szCs w:val="20"/>
        </w:rPr>
        <w:t xml:space="preserve">Despite substantial efforts by IFIs and donors to promote private investment in </w:t>
      </w:r>
      <w:r w:rsidR="00772CE5" w:rsidRPr="00216A71">
        <w:rPr>
          <w:rFonts w:cstheme="minorHAnsi"/>
          <w:szCs w:val="20"/>
        </w:rPr>
        <w:t xml:space="preserve">healthcare, </w:t>
      </w:r>
      <w:r w:rsidRPr="00216A71">
        <w:rPr>
          <w:rFonts w:cstheme="minorHAnsi"/>
          <w:szCs w:val="20"/>
        </w:rPr>
        <w:t>energy, water and sanitation,</w:t>
      </w:r>
      <w:r w:rsidR="004045AD">
        <w:rPr>
          <w:rFonts w:cstheme="minorHAnsi"/>
          <w:szCs w:val="20"/>
        </w:rPr>
        <w:t xml:space="preserve"> </w:t>
      </w:r>
      <w:r w:rsidRPr="00216A71">
        <w:rPr>
          <w:rFonts w:cstheme="minorHAnsi"/>
          <w:szCs w:val="20"/>
        </w:rPr>
        <w:t xml:space="preserve">the results are very limited. </w:t>
      </w:r>
    </w:p>
    <w:p w:rsidR="000C629A" w:rsidRDefault="008F45CE" w:rsidP="00781FBC">
      <w:pPr>
        <w:pStyle w:val="ListParagraph"/>
        <w:numPr>
          <w:ilvl w:val="0"/>
          <w:numId w:val="52"/>
        </w:numPr>
        <w:rPr>
          <w:rFonts w:cstheme="minorHAnsi"/>
          <w:szCs w:val="20"/>
        </w:rPr>
      </w:pPr>
      <w:r w:rsidRPr="00216A71">
        <w:rPr>
          <w:rFonts w:cstheme="minorHAnsi"/>
          <w:szCs w:val="20"/>
        </w:rPr>
        <w:t>A World Bank research paper in 2006</w:t>
      </w:r>
      <w:r w:rsidRPr="00216A71">
        <w:rPr>
          <w:rFonts w:cstheme="minorHAnsi"/>
          <w:bCs/>
          <w:szCs w:val="20"/>
        </w:rPr>
        <w:t xml:space="preserve">, reviewing actual private investment from </w:t>
      </w:r>
      <w:r w:rsidRPr="00216A71">
        <w:rPr>
          <w:rFonts w:cstheme="minorHAnsi"/>
          <w:szCs w:val="20"/>
        </w:rPr>
        <w:t>1983 to 2004, concluded bluntly that: “PPI [private participation in infrastructure] has disappointed – playing a far less significant role in financing infrastructure in cities than was hoped for, and which might be expected given the attention it has received and continues to receive in strategies to mobilize financing for infrastructure…</w:t>
      </w:r>
      <w:r w:rsidR="00D625FA">
        <w:rPr>
          <w:rFonts w:cstheme="minorHAnsi"/>
          <w:szCs w:val="20"/>
        </w:rPr>
        <w:t xml:space="preserve"> </w:t>
      </w:r>
      <w:r w:rsidRPr="00216A71">
        <w:rPr>
          <w:rFonts w:cstheme="minorHAnsi"/>
          <w:szCs w:val="20"/>
        </w:rPr>
        <w:t xml:space="preserve">PPI is inherently limited in scope for financing urban infrastructure for </w:t>
      </w:r>
      <w:r w:rsidRPr="00216A71">
        <w:rPr>
          <w:rFonts w:cstheme="minorHAnsi"/>
          <w:szCs w:val="20"/>
        </w:rPr>
        <w:lastRenderedPageBreak/>
        <w:t>the wide array of non-commercial infrastructure services cities need. Even for commercial services like water supply, subsidies are prevalent all over the world…</w:t>
      </w:r>
      <w:r w:rsidR="00D625FA">
        <w:rPr>
          <w:rFonts w:cstheme="minorHAnsi"/>
          <w:szCs w:val="20"/>
        </w:rPr>
        <w:t xml:space="preserve"> </w:t>
      </w:r>
      <w:r w:rsidRPr="00216A71">
        <w:rPr>
          <w:rFonts w:cstheme="minorHAnsi"/>
          <w:szCs w:val="20"/>
        </w:rPr>
        <w:t>Local governments need good sources of public finance to fund those services, and some form of government borrowing is needed for major investments in these areas to avoid inter-generational inequities.”</w:t>
      </w:r>
    </w:p>
    <w:p w:rsidR="000C629A" w:rsidRDefault="00DE129F" w:rsidP="00781FBC">
      <w:pPr>
        <w:pStyle w:val="ListParagraph"/>
        <w:numPr>
          <w:ilvl w:val="0"/>
          <w:numId w:val="42"/>
        </w:numPr>
        <w:rPr>
          <w:rFonts w:cstheme="minorHAnsi"/>
          <w:szCs w:val="20"/>
        </w:rPr>
      </w:pPr>
      <w:r w:rsidRPr="00216A71">
        <w:rPr>
          <w:rFonts w:cstheme="minorHAnsi"/>
          <w:szCs w:val="20"/>
        </w:rPr>
        <w:t>A World Bank study of infrastructure in sub-Saharan Africa in 2010 found that in water and sanitation, $2.5</w:t>
      </w:r>
      <w:r w:rsidR="00D625FA">
        <w:rPr>
          <w:rFonts w:cstheme="minorHAnsi"/>
          <w:szCs w:val="20"/>
        </w:rPr>
        <w:t xml:space="preserve"> </w:t>
      </w:r>
      <w:r w:rsidRPr="00216A71">
        <w:rPr>
          <w:rFonts w:cstheme="minorHAnsi"/>
          <w:szCs w:val="20"/>
        </w:rPr>
        <w:t>billion was invested annually by the public sector and aid agencies, while the private sector hardly made any investment at all</w:t>
      </w:r>
      <w:r w:rsidR="004045AD">
        <w:rPr>
          <w:rFonts w:cstheme="minorHAnsi"/>
          <w:szCs w:val="20"/>
        </w:rPr>
        <w:t xml:space="preserve"> – </w:t>
      </w:r>
      <w:r w:rsidRPr="00216A71">
        <w:rPr>
          <w:rFonts w:cstheme="minorHAnsi"/>
          <w:szCs w:val="20"/>
        </w:rPr>
        <w:t>less than $0.01</w:t>
      </w:r>
      <w:r w:rsidR="00D625FA">
        <w:rPr>
          <w:rFonts w:cstheme="minorHAnsi"/>
          <w:szCs w:val="20"/>
        </w:rPr>
        <w:t xml:space="preserve"> </w:t>
      </w:r>
      <w:r w:rsidRPr="00216A71">
        <w:rPr>
          <w:rFonts w:cstheme="minorHAnsi"/>
          <w:szCs w:val="20"/>
        </w:rPr>
        <w:t>billion</w:t>
      </w:r>
      <w:r w:rsidR="00D625FA">
        <w:rPr>
          <w:rFonts w:cstheme="minorHAnsi"/>
          <w:szCs w:val="20"/>
        </w:rPr>
        <w:t>.</w:t>
      </w:r>
      <w:r w:rsidRPr="00216A71">
        <w:rPr>
          <w:rFonts w:cstheme="minorHAnsi"/>
          <w:szCs w:val="20"/>
        </w:rPr>
        <w:t xml:space="preserve"> </w:t>
      </w:r>
      <w:r w:rsidR="00D625FA">
        <w:rPr>
          <w:rFonts w:cstheme="minorHAnsi"/>
          <w:szCs w:val="20"/>
        </w:rPr>
        <w:t>I</w:t>
      </w:r>
      <w:r w:rsidRPr="00216A71">
        <w:rPr>
          <w:rFonts w:cstheme="minorHAnsi"/>
          <w:szCs w:val="20"/>
        </w:rPr>
        <w:t>n electricity, the public sector and aid agencies invested $4.1 billion per annum, while the private sector invested $0.5 billion – only 11</w:t>
      </w:r>
      <w:r w:rsidR="00A42FDE">
        <w:rPr>
          <w:rFonts w:cstheme="minorHAnsi"/>
          <w:szCs w:val="20"/>
        </w:rPr>
        <w:t xml:space="preserve"> per cent</w:t>
      </w:r>
      <w:r w:rsidRPr="00216A71">
        <w:rPr>
          <w:rFonts w:cstheme="minorHAnsi"/>
          <w:szCs w:val="20"/>
        </w:rPr>
        <w:t xml:space="preserve"> of the total. </w:t>
      </w:r>
      <w:r w:rsidR="00E45505" w:rsidRPr="00216A71">
        <w:rPr>
          <w:rStyle w:val="EndnoteReference"/>
          <w:rFonts w:cstheme="minorHAnsi"/>
          <w:szCs w:val="20"/>
        </w:rPr>
        <w:endnoteReference w:id="20"/>
      </w:r>
    </w:p>
    <w:p w:rsidR="000C629A" w:rsidRDefault="00DE129F" w:rsidP="00781FBC">
      <w:pPr>
        <w:pStyle w:val="ListParagraph"/>
        <w:numPr>
          <w:ilvl w:val="0"/>
          <w:numId w:val="42"/>
        </w:numPr>
        <w:rPr>
          <w:rFonts w:cstheme="minorHAnsi"/>
          <w:szCs w:val="20"/>
        </w:rPr>
      </w:pPr>
      <w:r w:rsidRPr="00216A71">
        <w:rPr>
          <w:rFonts w:cstheme="minorHAnsi"/>
          <w:szCs w:val="20"/>
        </w:rPr>
        <w:t>In India, central and state governments are responsible for 99.6</w:t>
      </w:r>
      <w:r w:rsidR="00A42FDE">
        <w:rPr>
          <w:rFonts w:cstheme="minorHAnsi"/>
          <w:szCs w:val="20"/>
        </w:rPr>
        <w:t xml:space="preserve"> per cent</w:t>
      </w:r>
      <w:r w:rsidRPr="00216A71">
        <w:rPr>
          <w:rFonts w:cstheme="minorHAnsi"/>
          <w:szCs w:val="20"/>
        </w:rPr>
        <w:t xml:space="preserve"> of the $22.3</w:t>
      </w:r>
      <w:r w:rsidR="00D625FA">
        <w:rPr>
          <w:rFonts w:cstheme="minorHAnsi"/>
          <w:szCs w:val="20"/>
        </w:rPr>
        <w:t xml:space="preserve"> </w:t>
      </w:r>
      <w:r w:rsidRPr="00216A71">
        <w:rPr>
          <w:rFonts w:cstheme="minorHAnsi"/>
          <w:szCs w:val="20"/>
        </w:rPr>
        <w:t>billion invested in water and sa</w:t>
      </w:r>
      <w:r w:rsidR="00191F44">
        <w:rPr>
          <w:rFonts w:cstheme="minorHAnsi"/>
          <w:szCs w:val="20"/>
        </w:rPr>
        <w:t>nitation between 2007 and 2012.</w:t>
      </w:r>
      <w:r w:rsidRPr="00216A71">
        <w:rPr>
          <w:rStyle w:val="EndnoteReference"/>
          <w:rFonts w:cstheme="minorHAnsi"/>
          <w:szCs w:val="20"/>
        </w:rPr>
        <w:endnoteReference w:id="21"/>
      </w:r>
    </w:p>
    <w:p w:rsidR="000C629A" w:rsidRDefault="00DE129F" w:rsidP="00781FBC">
      <w:pPr>
        <w:pStyle w:val="ListParagraph"/>
        <w:numPr>
          <w:ilvl w:val="0"/>
          <w:numId w:val="42"/>
        </w:numPr>
        <w:rPr>
          <w:rFonts w:cstheme="minorHAnsi"/>
          <w:szCs w:val="20"/>
        </w:rPr>
      </w:pPr>
      <w:r w:rsidRPr="00216A71">
        <w:rPr>
          <w:rFonts w:cstheme="minorHAnsi"/>
          <w:szCs w:val="20"/>
        </w:rPr>
        <w:t>In electricity, a report by the International Energy Agency argues that</w:t>
      </w:r>
      <w:r w:rsidRPr="00216A71">
        <w:rPr>
          <w:rFonts w:cstheme="minorHAnsi"/>
          <w:szCs w:val="20"/>
          <w:vertAlign w:val="superscript"/>
        </w:rPr>
        <w:t xml:space="preserve"> </w:t>
      </w:r>
      <w:r w:rsidRPr="00216A71">
        <w:rPr>
          <w:rFonts w:cstheme="minorHAnsi"/>
          <w:szCs w:val="20"/>
        </w:rPr>
        <w:t>“in most developing countries upfront public investment in developing national and local capacity is the most important ingredient” for attracting any private investment at all – and even then it will only take place “where a commercial return can be reliably earned on the investment</w:t>
      </w:r>
      <w:r w:rsidR="00D625FA">
        <w:rPr>
          <w:rFonts w:cstheme="minorHAnsi"/>
          <w:szCs w:val="20"/>
        </w:rPr>
        <w:t>.</w:t>
      </w:r>
      <w:r w:rsidRPr="00216A71">
        <w:rPr>
          <w:rFonts w:cstheme="minorHAnsi"/>
          <w:szCs w:val="20"/>
        </w:rPr>
        <w:t>”</w:t>
      </w:r>
      <w:r w:rsidRPr="00216A71">
        <w:rPr>
          <w:rFonts w:cstheme="minorHAnsi"/>
          <w:szCs w:val="20"/>
          <w:vertAlign w:val="superscript"/>
        </w:rPr>
        <w:endnoteReference w:id="22"/>
      </w:r>
    </w:p>
    <w:p w:rsidR="00CE2CFF" w:rsidRPr="00216A71" w:rsidRDefault="00DE129F" w:rsidP="00781FBC">
      <w:pPr>
        <w:pStyle w:val="ListParagraph"/>
        <w:numPr>
          <w:ilvl w:val="0"/>
          <w:numId w:val="42"/>
        </w:numPr>
        <w:rPr>
          <w:rFonts w:cstheme="minorHAnsi"/>
          <w:szCs w:val="20"/>
        </w:rPr>
      </w:pPr>
      <w:r w:rsidRPr="00216A71">
        <w:rPr>
          <w:rFonts w:cstheme="minorHAnsi"/>
          <w:szCs w:val="20"/>
        </w:rPr>
        <w:t>In water, the only significant investments made by the private sector are in water and wastewater treatment plants, and desalination plants, using BOT models. But these are frequently based on exaggerated forecasts of need, so that public authorities find themselves liable to pay for unnecessary capacity or excessive volumes of treated water.</w:t>
      </w:r>
      <w:r w:rsidRPr="00216A71">
        <w:rPr>
          <w:rStyle w:val="EndnoteReference"/>
          <w:rFonts w:cstheme="minorHAnsi"/>
          <w:szCs w:val="20"/>
        </w:rPr>
        <w:endnoteReference w:id="23"/>
      </w:r>
      <w:bookmarkStart w:id="9" w:name="_Toc355878517"/>
    </w:p>
    <w:p w:rsidR="009F2BFE" w:rsidRPr="00216A71" w:rsidRDefault="009F2BFE" w:rsidP="0080036E">
      <w:pPr>
        <w:pStyle w:val="Heading6"/>
        <w:rPr>
          <w:rFonts w:cstheme="minorHAnsi"/>
          <w:szCs w:val="20"/>
        </w:rPr>
      </w:pPr>
      <w:r w:rsidRPr="00216A71">
        <w:rPr>
          <w:rFonts w:cstheme="minorHAnsi"/>
          <w:szCs w:val="20"/>
        </w:rPr>
        <w:t>Indonesia</w:t>
      </w:r>
      <w:bookmarkEnd w:id="9"/>
      <w:r w:rsidRPr="00216A71">
        <w:rPr>
          <w:rFonts w:cstheme="minorHAnsi"/>
          <w:szCs w:val="20"/>
        </w:rPr>
        <w:t xml:space="preserve">: declining private infrastructure investment </w:t>
      </w:r>
    </w:p>
    <w:p w:rsidR="000C629A" w:rsidRDefault="009F2BFE" w:rsidP="00F84288">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In Indonesia, PPPs have been promoted and used for the last 20 years in electricity, with a series of corrupt contracts signed in the 1990s, and in water, where the equally corrupt water concessions in Jakarta are close to being terminated. </w:t>
      </w:r>
    </w:p>
    <w:p w:rsidR="00D625FA" w:rsidRDefault="009F2BFE" w:rsidP="005F0608">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Indonesia’s current plans assume that the private sector will provide 51</w:t>
      </w:r>
      <w:r w:rsidR="00A42FDE">
        <w:rPr>
          <w:rFonts w:cstheme="minorHAnsi"/>
          <w:szCs w:val="20"/>
        </w:rPr>
        <w:t xml:space="preserve"> per cent</w:t>
      </w:r>
      <w:r w:rsidRPr="00216A71">
        <w:rPr>
          <w:rFonts w:cstheme="minorHAnsi"/>
          <w:szCs w:val="20"/>
        </w:rPr>
        <w:t xml:space="preserve"> of the finance for infrastructure investment, but this is wildly unrealistic. In the last 15 years</w:t>
      </w:r>
      <w:r w:rsidR="00CD0077" w:rsidRPr="00216A71">
        <w:rPr>
          <w:rFonts w:cstheme="minorHAnsi"/>
          <w:szCs w:val="20"/>
        </w:rPr>
        <w:t>, despite heavy promotion by the World Bank and others,</w:t>
      </w:r>
      <w:r w:rsidRPr="00216A71">
        <w:rPr>
          <w:rFonts w:cstheme="minorHAnsi"/>
          <w:szCs w:val="20"/>
        </w:rPr>
        <w:t xml:space="preserve"> the proportion of infrastructure privately financed, according to the World Bank, has fallen to only 10</w:t>
      </w:r>
      <w:r w:rsidR="00A42FDE">
        <w:rPr>
          <w:rFonts w:cstheme="minorHAnsi"/>
          <w:szCs w:val="20"/>
        </w:rPr>
        <w:t xml:space="preserve"> per cent</w:t>
      </w:r>
      <w:r w:rsidRPr="00216A71">
        <w:rPr>
          <w:rFonts w:cstheme="minorHAnsi"/>
          <w:szCs w:val="20"/>
        </w:rPr>
        <w:t>. The only growth in infrastructure has come from public sector investment –</w:t>
      </w:r>
      <w:r w:rsidR="00D625FA">
        <w:rPr>
          <w:rFonts w:cstheme="minorHAnsi"/>
          <w:szCs w:val="20"/>
        </w:rPr>
        <w:t xml:space="preserve"> </w:t>
      </w:r>
      <w:r w:rsidRPr="00216A71">
        <w:rPr>
          <w:rFonts w:cstheme="minorHAnsi"/>
          <w:szCs w:val="20"/>
        </w:rPr>
        <w:t xml:space="preserve">for example, the continuing investment of public money in extending the electricity network and increasing generating capacity. </w:t>
      </w:r>
    </w:p>
    <w:p w:rsidR="00D625FA" w:rsidRDefault="00D625FA">
      <w:pPr>
        <w:rPr>
          <w:rFonts w:cstheme="minorHAnsi"/>
          <w:szCs w:val="20"/>
        </w:rPr>
      </w:pPr>
      <w:r>
        <w:rPr>
          <w:rFonts w:cstheme="minorHAnsi"/>
          <w:szCs w:val="20"/>
        </w:rPr>
        <w:br w:type="page"/>
      </w:r>
    </w:p>
    <w:p w:rsidR="009F2BFE" w:rsidRPr="00216A71" w:rsidRDefault="009F2BFE" w:rsidP="00F84288">
      <w:pPr>
        <w:pStyle w:val="Heading8"/>
        <w:pBdr>
          <w:top w:val="single" w:sz="4" w:space="1" w:color="auto"/>
          <w:left w:val="single" w:sz="4" w:space="4" w:color="auto"/>
          <w:bottom w:val="single" w:sz="4" w:space="1" w:color="auto"/>
          <w:right w:val="single" w:sz="4" w:space="4" w:color="auto"/>
        </w:pBdr>
        <w:rPr>
          <w:rFonts w:asciiTheme="minorHAnsi" w:hAnsiTheme="minorHAnsi" w:cstheme="minorHAnsi"/>
          <w:szCs w:val="20"/>
        </w:rPr>
      </w:pPr>
      <w:r w:rsidRPr="00216A71">
        <w:rPr>
          <w:rFonts w:asciiTheme="minorHAnsi" w:hAnsiTheme="minorHAnsi" w:cstheme="minorHAnsi"/>
          <w:szCs w:val="20"/>
        </w:rPr>
        <w:lastRenderedPageBreak/>
        <w:t>Indonesia</w:t>
      </w:r>
      <w:r w:rsidR="00C575E1" w:rsidRPr="00216A71">
        <w:rPr>
          <w:rFonts w:asciiTheme="minorHAnsi" w:hAnsiTheme="minorHAnsi" w:cstheme="minorHAnsi"/>
          <w:szCs w:val="20"/>
        </w:rPr>
        <w:t>:</w:t>
      </w:r>
      <w:r w:rsidRPr="00216A71">
        <w:rPr>
          <w:rFonts w:asciiTheme="minorHAnsi" w:hAnsiTheme="minorHAnsi" w:cstheme="minorHAnsi"/>
          <w:szCs w:val="20"/>
        </w:rPr>
        <w:t xml:space="preserve"> infrastructure investment by government, state companies and private sector, 1995-2011</w:t>
      </w:r>
    </w:p>
    <w:p w:rsidR="009F2BFE" w:rsidRPr="00216A71" w:rsidRDefault="009F2BFE" w:rsidP="00F84288">
      <w:pPr>
        <w:pBdr>
          <w:top w:val="single" w:sz="4" w:space="1" w:color="auto"/>
          <w:left w:val="single" w:sz="4" w:space="4" w:color="auto"/>
          <w:bottom w:val="single" w:sz="4" w:space="1" w:color="auto"/>
          <w:right w:val="single" w:sz="4" w:space="4" w:color="auto"/>
        </w:pBdr>
        <w:jc w:val="center"/>
        <w:rPr>
          <w:rFonts w:cstheme="minorHAnsi"/>
          <w:noProof/>
          <w:szCs w:val="20"/>
        </w:rPr>
      </w:pPr>
      <w:r w:rsidRPr="00216A71">
        <w:rPr>
          <w:rFonts w:cstheme="minorHAnsi"/>
          <w:noProof/>
          <w:szCs w:val="20"/>
          <w:lang w:eastAsia="en-GB"/>
        </w:rPr>
        <w:drawing>
          <wp:inline distT="0" distB="0" distL="0" distR="0" wp14:anchorId="013679B7" wp14:editId="21E806F2">
            <wp:extent cx="3950648" cy="2917371"/>
            <wp:effectExtent l="0" t="0" r="0" b="0"/>
            <wp:docPr id="30721" name="Picture 3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830" cy="2916767"/>
                    </a:xfrm>
                    <a:prstGeom prst="rect">
                      <a:avLst/>
                    </a:prstGeom>
                    <a:noFill/>
                    <a:ln>
                      <a:noFill/>
                    </a:ln>
                  </pic:spPr>
                </pic:pic>
              </a:graphicData>
            </a:graphic>
          </wp:inline>
        </w:drawing>
      </w:r>
    </w:p>
    <w:p w:rsidR="000C629A" w:rsidRDefault="009F2BFE" w:rsidP="00F84288">
      <w:pPr>
        <w:pBdr>
          <w:top w:val="single" w:sz="4" w:space="1" w:color="auto"/>
          <w:left w:val="single" w:sz="4" w:space="4" w:color="auto"/>
          <w:bottom w:val="single" w:sz="4" w:space="1" w:color="auto"/>
          <w:right w:val="single" w:sz="4" w:space="4" w:color="auto"/>
        </w:pBdr>
        <w:rPr>
          <w:rFonts w:cstheme="minorHAnsi"/>
          <w:noProof/>
          <w:szCs w:val="20"/>
        </w:rPr>
      </w:pPr>
      <w:r w:rsidRPr="00216A71">
        <w:rPr>
          <w:rFonts w:cstheme="minorHAnsi"/>
          <w:noProof/>
          <w:szCs w:val="20"/>
        </w:rPr>
        <w:t xml:space="preserve">Source: World Bank 2013 </w:t>
      </w:r>
      <w:r w:rsidRPr="00216A71">
        <w:rPr>
          <w:rStyle w:val="EndnoteReference"/>
          <w:rFonts w:cstheme="minorHAnsi"/>
          <w:szCs w:val="20"/>
        </w:rPr>
        <w:endnoteReference w:id="24"/>
      </w:r>
      <w:r w:rsidRPr="00216A71">
        <w:rPr>
          <w:rFonts w:cstheme="minorHAnsi"/>
          <w:noProof/>
          <w:szCs w:val="20"/>
        </w:rPr>
        <w:t xml:space="preserve"> </w:t>
      </w:r>
    </w:p>
    <w:p w:rsidR="000C629A" w:rsidRDefault="00E45505" w:rsidP="00E45505">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The government is now offering </w:t>
      </w:r>
      <w:r w:rsidR="00A65ED2" w:rsidRPr="00216A71">
        <w:rPr>
          <w:rFonts w:cstheme="minorHAnsi"/>
          <w:szCs w:val="20"/>
        </w:rPr>
        <w:t xml:space="preserve">promotion, advice and </w:t>
      </w:r>
      <w:r w:rsidRPr="00216A71">
        <w:rPr>
          <w:rFonts w:cstheme="minorHAnsi"/>
          <w:szCs w:val="20"/>
        </w:rPr>
        <w:t>direct subsidies to profits (‘viability gap financing’), as recommended by the OECD and others</w:t>
      </w:r>
      <w:r w:rsidRPr="00216A71">
        <w:rPr>
          <w:rStyle w:val="EndnoteReference"/>
          <w:rFonts w:cstheme="minorHAnsi"/>
          <w:szCs w:val="20"/>
        </w:rPr>
        <w:endnoteReference w:id="25"/>
      </w:r>
      <w:r w:rsidR="00F66BD2" w:rsidRPr="00216A71">
        <w:rPr>
          <w:rFonts w:cstheme="minorHAnsi"/>
          <w:szCs w:val="20"/>
        </w:rPr>
        <w:t xml:space="preserve"> through a complex set of public sector bodies. B</w:t>
      </w:r>
      <w:r w:rsidRPr="00216A71">
        <w:rPr>
          <w:rFonts w:cstheme="minorHAnsi"/>
          <w:szCs w:val="20"/>
        </w:rPr>
        <w:t xml:space="preserve">ut despite all the promotion and inducements, there are currently no PPPs schemes with any prospect of being signed. The private sector is demanding rates of return even higher than the subsidised profits being offered, and sees these profits as threatened by the ‘risk’ of democratic politics: “presidential elections are scheduled to take place in 2014 and this is likely to lead to further delays in project execution due to the considerable political risks it presents.” </w:t>
      </w:r>
      <w:r w:rsidRPr="00216A71">
        <w:rPr>
          <w:rStyle w:val="EndnoteReference"/>
          <w:rFonts w:cstheme="minorHAnsi"/>
          <w:szCs w:val="20"/>
        </w:rPr>
        <w:endnoteReference w:id="26"/>
      </w:r>
      <w:r w:rsidRPr="00216A71">
        <w:rPr>
          <w:rFonts w:cstheme="minorHAnsi"/>
          <w:szCs w:val="20"/>
        </w:rPr>
        <w:t xml:space="preserve"> </w:t>
      </w:r>
    </w:p>
    <w:p w:rsidR="000C629A" w:rsidRDefault="00F84288" w:rsidP="00F84288">
      <w:pPr>
        <w:pStyle w:val="Heading8"/>
        <w:pBdr>
          <w:top w:val="single" w:sz="4" w:space="1" w:color="auto"/>
          <w:left w:val="single" w:sz="4" w:space="4" w:color="auto"/>
          <w:bottom w:val="single" w:sz="4" w:space="1" w:color="auto"/>
          <w:right w:val="single" w:sz="4" w:space="4" w:color="auto"/>
        </w:pBdr>
        <w:rPr>
          <w:rFonts w:asciiTheme="minorHAnsi" w:hAnsiTheme="minorHAnsi" w:cstheme="minorHAnsi"/>
          <w:szCs w:val="20"/>
        </w:rPr>
      </w:pPr>
      <w:r w:rsidRPr="00216A71">
        <w:rPr>
          <w:rFonts w:asciiTheme="minorHAnsi" w:hAnsiTheme="minorHAnsi" w:cstheme="minorHAnsi"/>
          <w:szCs w:val="20"/>
        </w:rPr>
        <w:t>Public support and subsidy for PPPs in Indonesia</w:t>
      </w:r>
    </w:p>
    <w:p w:rsidR="00F66BD2" w:rsidRPr="00216A71" w:rsidRDefault="00F66BD2" w:rsidP="00F84288">
      <w:pPr>
        <w:pBdr>
          <w:top w:val="single" w:sz="4" w:space="1" w:color="auto"/>
          <w:left w:val="single" w:sz="4" w:space="4" w:color="auto"/>
          <w:bottom w:val="single" w:sz="4" w:space="1" w:color="auto"/>
          <w:right w:val="single" w:sz="4" w:space="4" w:color="auto"/>
        </w:pBdr>
        <w:jc w:val="center"/>
        <w:rPr>
          <w:rFonts w:cstheme="minorHAnsi"/>
          <w:szCs w:val="20"/>
        </w:rPr>
      </w:pPr>
      <w:r w:rsidRPr="00216A71">
        <w:rPr>
          <w:rFonts w:cstheme="minorHAnsi"/>
          <w:noProof/>
          <w:lang w:eastAsia="en-GB"/>
        </w:rPr>
        <w:drawing>
          <wp:inline distT="0" distB="0" distL="0" distR="0" wp14:anchorId="7E11C842" wp14:editId="0B3C8A9C">
            <wp:extent cx="4533900" cy="2667000"/>
            <wp:effectExtent l="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C629A" w:rsidRDefault="00F84288" w:rsidP="00F84288">
      <w:pPr>
        <w:pBdr>
          <w:top w:val="single" w:sz="4" w:space="1" w:color="auto"/>
          <w:left w:val="single" w:sz="4" w:space="4" w:color="auto"/>
          <w:bottom w:val="single" w:sz="4" w:space="1" w:color="auto"/>
          <w:right w:val="single" w:sz="4" w:space="4" w:color="auto"/>
        </w:pBdr>
        <w:rPr>
          <w:rFonts w:cstheme="minorHAnsi"/>
          <w:noProof/>
          <w:szCs w:val="20"/>
        </w:rPr>
      </w:pPr>
      <w:r w:rsidRPr="00216A71">
        <w:rPr>
          <w:rFonts w:cstheme="minorHAnsi"/>
          <w:szCs w:val="20"/>
        </w:rPr>
        <w:t>Source: OECD 2012</w:t>
      </w:r>
      <w:r w:rsidR="00297567" w:rsidRPr="00216A71">
        <w:rPr>
          <w:rFonts w:cstheme="minorHAnsi"/>
          <w:szCs w:val="20"/>
        </w:rPr>
        <w:t xml:space="preserve"> </w:t>
      </w:r>
      <w:r w:rsidRPr="00216A71">
        <w:rPr>
          <w:rStyle w:val="EndnoteReference"/>
          <w:rFonts w:cstheme="minorHAnsi"/>
          <w:szCs w:val="20"/>
        </w:rPr>
        <w:endnoteReference w:id="27"/>
      </w:r>
    </w:p>
    <w:p w:rsidR="002F3151" w:rsidRPr="00216A71" w:rsidRDefault="00C827B0" w:rsidP="002F3151">
      <w:pPr>
        <w:pStyle w:val="Heading2"/>
        <w:rPr>
          <w:rFonts w:asciiTheme="minorHAnsi" w:hAnsiTheme="minorHAnsi" w:cstheme="minorHAnsi"/>
          <w:szCs w:val="20"/>
        </w:rPr>
      </w:pPr>
      <w:bookmarkStart w:id="10" w:name="_Toc392857522"/>
      <w:r w:rsidRPr="00216A71">
        <w:rPr>
          <w:rFonts w:asciiTheme="minorHAnsi" w:hAnsiTheme="minorHAnsi" w:cstheme="minorHAnsi"/>
          <w:szCs w:val="20"/>
        </w:rPr>
        <w:t xml:space="preserve">PPPs – a </w:t>
      </w:r>
      <w:r w:rsidR="002F3151" w:rsidRPr="00216A71">
        <w:rPr>
          <w:rFonts w:asciiTheme="minorHAnsi" w:hAnsiTheme="minorHAnsi" w:cstheme="minorHAnsi"/>
          <w:szCs w:val="20"/>
        </w:rPr>
        <w:t>desperat</w:t>
      </w:r>
      <w:r w:rsidR="00EA5ED2" w:rsidRPr="00216A71">
        <w:rPr>
          <w:rFonts w:asciiTheme="minorHAnsi" w:hAnsiTheme="minorHAnsi" w:cstheme="minorHAnsi"/>
          <w:szCs w:val="20"/>
        </w:rPr>
        <w:t>e campaign?</w:t>
      </w:r>
      <w:bookmarkEnd w:id="10"/>
      <w:r w:rsidR="00EA5ED2" w:rsidRPr="00216A71">
        <w:rPr>
          <w:rFonts w:asciiTheme="minorHAnsi" w:hAnsiTheme="minorHAnsi" w:cstheme="minorHAnsi"/>
          <w:szCs w:val="20"/>
        </w:rPr>
        <w:t xml:space="preserve"> </w:t>
      </w:r>
    </w:p>
    <w:p w:rsidR="000C629A" w:rsidRDefault="00EA5ED2" w:rsidP="002F3151">
      <w:pPr>
        <w:rPr>
          <w:rFonts w:cstheme="minorHAnsi"/>
          <w:szCs w:val="20"/>
        </w:rPr>
      </w:pPr>
      <w:r w:rsidRPr="00216A71">
        <w:rPr>
          <w:rFonts w:cstheme="minorHAnsi"/>
          <w:szCs w:val="20"/>
        </w:rPr>
        <w:t xml:space="preserve">The global pressure for PPPs described in the next section arises from a network of global institutions dominated by corporate interests and ideologies. But it is driven by a number of </w:t>
      </w:r>
      <w:r w:rsidR="00C16B82" w:rsidRPr="00216A71">
        <w:rPr>
          <w:rFonts w:cstheme="minorHAnsi"/>
          <w:szCs w:val="20"/>
        </w:rPr>
        <w:t>problem</w:t>
      </w:r>
      <w:r w:rsidRPr="00216A71">
        <w:rPr>
          <w:rFonts w:cstheme="minorHAnsi"/>
          <w:szCs w:val="20"/>
        </w:rPr>
        <w:t xml:space="preserve">s </w:t>
      </w:r>
      <w:r w:rsidR="00C16B82" w:rsidRPr="00216A71">
        <w:rPr>
          <w:rFonts w:cstheme="minorHAnsi"/>
          <w:szCs w:val="20"/>
        </w:rPr>
        <w:t xml:space="preserve">facing PPPs and the companies who promote them, </w:t>
      </w:r>
      <w:r w:rsidRPr="00216A71">
        <w:rPr>
          <w:rFonts w:cstheme="minorHAnsi"/>
          <w:szCs w:val="20"/>
        </w:rPr>
        <w:t xml:space="preserve">which became apparent during and since the financial crisis. </w:t>
      </w:r>
    </w:p>
    <w:p w:rsidR="003B6BBC" w:rsidRPr="00216A71" w:rsidRDefault="00EA5ED2" w:rsidP="00781FBC">
      <w:pPr>
        <w:pStyle w:val="ListParagraph"/>
        <w:numPr>
          <w:ilvl w:val="0"/>
          <w:numId w:val="49"/>
        </w:numPr>
        <w:rPr>
          <w:rFonts w:cstheme="minorHAnsi"/>
          <w:szCs w:val="20"/>
        </w:rPr>
      </w:pPr>
      <w:r w:rsidRPr="00216A71">
        <w:rPr>
          <w:rFonts w:cstheme="minorHAnsi"/>
          <w:szCs w:val="20"/>
        </w:rPr>
        <w:t>‘</w:t>
      </w:r>
      <w:r w:rsidR="00E37922">
        <w:rPr>
          <w:rFonts w:cstheme="minorHAnsi"/>
          <w:szCs w:val="20"/>
        </w:rPr>
        <w:t>T</w:t>
      </w:r>
      <w:r w:rsidRPr="00216A71">
        <w:rPr>
          <w:rFonts w:cstheme="minorHAnsi"/>
          <w:szCs w:val="20"/>
        </w:rPr>
        <w:t xml:space="preserve">he market’ </w:t>
      </w:r>
      <w:r w:rsidR="00C16B82" w:rsidRPr="00216A71">
        <w:rPr>
          <w:rFonts w:cstheme="minorHAnsi"/>
          <w:szCs w:val="20"/>
        </w:rPr>
        <w:t>is slowing down in the global north, as e.g. the UK ends its PFI scheme</w:t>
      </w:r>
      <w:r w:rsidR="00E37922">
        <w:rPr>
          <w:rFonts w:cstheme="minorHAnsi"/>
          <w:szCs w:val="20"/>
        </w:rPr>
        <w:t>.</w:t>
      </w:r>
    </w:p>
    <w:p w:rsidR="003B6BBC" w:rsidRPr="00216A71" w:rsidRDefault="00E37922" w:rsidP="00781FBC">
      <w:pPr>
        <w:pStyle w:val="ListParagraph"/>
        <w:numPr>
          <w:ilvl w:val="0"/>
          <w:numId w:val="49"/>
        </w:numPr>
        <w:rPr>
          <w:rFonts w:cstheme="minorHAnsi"/>
          <w:szCs w:val="20"/>
        </w:rPr>
      </w:pPr>
      <w:r>
        <w:rPr>
          <w:rFonts w:cstheme="minorHAnsi"/>
          <w:szCs w:val="20"/>
        </w:rPr>
        <w:lastRenderedPageBreak/>
        <w:t>W</w:t>
      </w:r>
      <w:r w:rsidR="00C16B82" w:rsidRPr="00216A71">
        <w:rPr>
          <w:rFonts w:cstheme="minorHAnsi"/>
          <w:szCs w:val="20"/>
        </w:rPr>
        <w:t>hile</w:t>
      </w:r>
      <w:r w:rsidR="00EA5ED2" w:rsidRPr="00216A71">
        <w:rPr>
          <w:rFonts w:cstheme="minorHAnsi"/>
          <w:szCs w:val="20"/>
        </w:rPr>
        <w:t xml:space="preserve"> the brief use of Keynesian policies in 2009 demonstrated that government spending does have</w:t>
      </w:r>
      <w:r w:rsidR="00C16B82" w:rsidRPr="00216A71">
        <w:rPr>
          <w:rFonts w:cstheme="minorHAnsi"/>
          <w:szCs w:val="20"/>
        </w:rPr>
        <w:t xml:space="preserve"> the capacity to revive growth</w:t>
      </w:r>
      <w:r w:rsidR="00EA5ED2" w:rsidRPr="00216A71">
        <w:rPr>
          <w:rFonts w:cstheme="minorHAnsi"/>
          <w:szCs w:val="20"/>
        </w:rPr>
        <w:t>, current austerity policies</w:t>
      </w:r>
      <w:r w:rsidR="00C16B82" w:rsidRPr="00216A71">
        <w:rPr>
          <w:rFonts w:cstheme="minorHAnsi"/>
          <w:szCs w:val="20"/>
        </w:rPr>
        <w:t xml:space="preserve"> mean that</w:t>
      </w:r>
      <w:r w:rsidR="00EA5ED2" w:rsidRPr="00216A71">
        <w:rPr>
          <w:rFonts w:cstheme="minorHAnsi"/>
          <w:szCs w:val="20"/>
        </w:rPr>
        <w:t xml:space="preserve"> the private sector needs to fight to get a higher share of this spent on profitable contracts</w:t>
      </w:r>
      <w:r w:rsidR="001F07C1" w:rsidRPr="00216A71">
        <w:rPr>
          <w:rFonts w:cstheme="minorHAnsi"/>
          <w:szCs w:val="20"/>
        </w:rPr>
        <w:t xml:space="preserve"> for infrastructure</w:t>
      </w:r>
      <w:r w:rsidR="00EA5ED2" w:rsidRPr="00216A71">
        <w:rPr>
          <w:rFonts w:cstheme="minorHAnsi"/>
          <w:szCs w:val="20"/>
        </w:rPr>
        <w:t xml:space="preserve">. </w:t>
      </w:r>
    </w:p>
    <w:p w:rsidR="000C629A" w:rsidRDefault="00E37922" w:rsidP="00781FBC">
      <w:pPr>
        <w:pStyle w:val="ListParagraph"/>
        <w:numPr>
          <w:ilvl w:val="0"/>
          <w:numId w:val="49"/>
        </w:numPr>
        <w:rPr>
          <w:rFonts w:cstheme="minorHAnsi"/>
          <w:szCs w:val="20"/>
        </w:rPr>
      </w:pPr>
      <w:r>
        <w:rPr>
          <w:rFonts w:cstheme="minorHAnsi"/>
          <w:szCs w:val="20"/>
        </w:rPr>
        <w:t>T</w:t>
      </w:r>
      <w:r w:rsidR="00EA5ED2" w:rsidRPr="00216A71">
        <w:rPr>
          <w:rFonts w:cstheme="minorHAnsi"/>
          <w:szCs w:val="20"/>
        </w:rPr>
        <w:t xml:space="preserve">he crisis has </w:t>
      </w:r>
      <w:r w:rsidR="00C16B82" w:rsidRPr="00216A71">
        <w:rPr>
          <w:rFonts w:cstheme="minorHAnsi"/>
          <w:szCs w:val="20"/>
        </w:rPr>
        <w:t>weakened</w:t>
      </w:r>
      <w:r w:rsidR="00EA5ED2" w:rsidRPr="00216A71">
        <w:rPr>
          <w:rFonts w:cstheme="minorHAnsi"/>
          <w:szCs w:val="20"/>
        </w:rPr>
        <w:t xml:space="preserve"> the economic and political credibility of the policies of western governments and the </w:t>
      </w:r>
      <w:r w:rsidR="00C827B0" w:rsidRPr="00216A71">
        <w:rPr>
          <w:rFonts w:cstheme="minorHAnsi"/>
          <w:szCs w:val="20"/>
        </w:rPr>
        <w:t>performance of multinational corporations</w:t>
      </w:r>
      <w:r>
        <w:rPr>
          <w:rFonts w:cstheme="minorHAnsi"/>
          <w:szCs w:val="20"/>
        </w:rPr>
        <w:t>.</w:t>
      </w:r>
    </w:p>
    <w:p w:rsidR="000C629A" w:rsidRDefault="00C827B0" w:rsidP="00EA5ED2">
      <w:pPr>
        <w:rPr>
          <w:rFonts w:cstheme="minorHAnsi"/>
          <w:szCs w:val="20"/>
        </w:rPr>
      </w:pPr>
      <w:r w:rsidRPr="00216A71">
        <w:rPr>
          <w:rFonts w:cstheme="minorHAnsi"/>
          <w:szCs w:val="20"/>
        </w:rPr>
        <w:t xml:space="preserve">These fears were lucidly expressed in 2009 at a conference of international institutions, where a presentation from </w:t>
      </w:r>
      <w:r w:rsidR="00EA5ED2" w:rsidRPr="00216A71">
        <w:rPr>
          <w:rFonts w:cstheme="minorHAnsi"/>
          <w:szCs w:val="20"/>
        </w:rPr>
        <w:t>UNECE argued that PPPs were becoming dysfunctional and discredited because of the crisis:</w:t>
      </w:r>
      <w:r w:rsidR="00EA5ED2" w:rsidRPr="00216A71">
        <w:rPr>
          <w:rStyle w:val="EndnoteReference"/>
          <w:rFonts w:cstheme="minorHAnsi"/>
          <w:szCs w:val="20"/>
        </w:rPr>
        <w:t xml:space="preserve"> </w:t>
      </w:r>
      <w:r w:rsidR="00EA5ED2" w:rsidRPr="00216A71">
        <w:rPr>
          <w:rStyle w:val="EndnoteReference"/>
          <w:rFonts w:cstheme="minorHAnsi"/>
          <w:szCs w:val="20"/>
        </w:rPr>
        <w:endnoteReference w:id="28"/>
      </w:r>
      <w:r w:rsidR="00EA5ED2" w:rsidRPr="00216A71">
        <w:rPr>
          <w:rFonts w:cstheme="minorHAnsi"/>
          <w:szCs w:val="20"/>
        </w:rPr>
        <w:t xml:space="preserve"> </w:t>
      </w:r>
      <w:r w:rsidR="00EA5ED2" w:rsidRPr="00216A71">
        <w:rPr>
          <w:rStyle w:val="EndnoteReference"/>
          <w:rFonts w:cstheme="minorHAnsi"/>
          <w:szCs w:val="20"/>
        </w:rPr>
        <w:endnoteReference w:id="29"/>
      </w:r>
      <w:r w:rsidR="00EA5ED2" w:rsidRPr="00216A71">
        <w:rPr>
          <w:rFonts w:cstheme="minorHAnsi"/>
          <w:szCs w:val="20"/>
        </w:rPr>
        <w:t xml:space="preserve"> </w:t>
      </w:r>
    </w:p>
    <w:p w:rsidR="000C629A" w:rsidRDefault="00EA5ED2" w:rsidP="00EA5ED2">
      <w:pPr>
        <w:ind w:left="720"/>
        <w:rPr>
          <w:rFonts w:cstheme="minorHAnsi"/>
          <w:szCs w:val="20"/>
        </w:rPr>
      </w:pPr>
      <w:r w:rsidRPr="00216A71">
        <w:rPr>
          <w:rFonts w:cstheme="minorHAnsi"/>
          <w:szCs w:val="20"/>
        </w:rPr>
        <w:t>“Discontent, even outright hostility, among the general public against the capitalist system has gained ground during the crisis....</w:t>
      </w:r>
      <w:r w:rsidR="00E37922">
        <w:rPr>
          <w:rFonts w:cstheme="minorHAnsi"/>
          <w:szCs w:val="20"/>
        </w:rPr>
        <w:t xml:space="preserve"> </w:t>
      </w:r>
      <w:r w:rsidRPr="00216A71">
        <w:rPr>
          <w:rFonts w:cstheme="minorHAnsi"/>
          <w:szCs w:val="20"/>
        </w:rPr>
        <w:t xml:space="preserve">The </w:t>
      </w:r>
      <w:r w:rsidR="00191F44">
        <w:rPr>
          <w:rFonts w:cstheme="minorHAnsi"/>
          <w:szCs w:val="20"/>
        </w:rPr>
        <w:t>‘</w:t>
      </w:r>
      <w:r w:rsidRPr="00216A71">
        <w:rPr>
          <w:rFonts w:cstheme="minorHAnsi"/>
          <w:szCs w:val="20"/>
        </w:rPr>
        <w:t>system’ is mistrusted, and confidence in capitalism and its future is low... The crisis appears to have had its roots in the era of deregulation and is replaced by the growing role of the state in managing financial capitalism and exercising accountability previously absent in the system</w:t>
      </w:r>
      <w:r w:rsidR="00191F44">
        <w:rPr>
          <w:rFonts w:cstheme="minorHAnsi"/>
          <w:szCs w:val="20"/>
        </w:rPr>
        <w:t>…</w:t>
      </w:r>
      <w:r w:rsidRPr="00216A71">
        <w:rPr>
          <w:rFonts w:cstheme="minorHAnsi"/>
          <w:szCs w:val="20"/>
        </w:rPr>
        <w:t xml:space="preserve"> PPPs are equated with the now discredited privatisation and financial lib</w:t>
      </w:r>
      <w:r w:rsidR="00191F44">
        <w:rPr>
          <w:rFonts w:cstheme="minorHAnsi"/>
          <w:szCs w:val="20"/>
        </w:rPr>
        <w:t>eralisation.”</w:t>
      </w:r>
    </w:p>
    <w:p w:rsidR="000C629A" w:rsidRDefault="00C827B0" w:rsidP="00EA5ED2">
      <w:pPr>
        <w:rPr>
          <w:rFonts w:cstheme="minorHAnsi"/>
          <w:szCs w:val="20"/>
        </w:rPr>
      </w:pPr>
      <w:r w:rsidRPr="00216A71">
        <w:rPr>
          <w:rFonts w:cstheme="minorHAnsi"/>
          <w:szCs w:val="20"/>
        </w:rPr>
        <w:t>It went on to argue</w:t>
      </w:r>
      <w:r w:rsidR="00EA5ED2" w:rsidRPr="00216A71">
        <w:rPr>
          <w:rFonts w:cstheme="minorHAnsi"/>
          <w:szCs w:val="20"/>
        </w:rPr>
        <w:t xml:space="preserve"> that the Keynesian reflationary programmes being adopted in 2009</w:t>
      </w:r>
      <w:r w:rsidRPr="00216A71">
        <w:rPr>
          <w:rFonts w:cstheme="minorHAnsi"/>
          <w:szCs w:val="20"/>
        </w:rPr>
        <w:t xml:space="preserve"> </w:t>
      </w:r>
      <w:r w:rsidR="00EA5ED2" w:rsidRPr="00216A71">
        <w:rPr>
          <w:rFonts w:cstheme="minorHAnsi"/>
          <w:szCs w:val="20"/>
        </w:rPr>
        <w:t>also brought opportunities for potential PPPs because of the economic, social and environmental needs for public spending:</w:t>
      </w:r>
    </w:p>
    <w:p w:rsidR="000C629A" w:rsidRDefault="00EA5ED2" w:rsidP="00EA5ED2">
      <w:pPr>
        <w:ind w:left="720"/>
        <w:rPr>
          <w:rFonts w:cstheme="minorHAnsi"/>
          <w:szCs w:val="20"/>
        </w:rPr>
      </w:pPr>
      <w:r w:rsidRPr="00216A71">
        <w:rPr>
          <w:rFonts w:cstheme="minorHAnsi"/>
          <w:szCs w:val="20"/>
        </w:rPr>
        <w:t>“The potential demand for social infrastructure such as public lighting, hospitals, and schools, is amplified in volatile times when financial and economic cris</w:t>
      </w:r>
      <w:r w:rsidR="00E37922">
        <w:rPr>
          <w:rFonts w:cstheme="minorHAnsi"/>
          <w:szCs w:val="20"/>
        </w:rPr>
        <w:t>e</w:t>
      </w:r>
      <w:r w:rsidRPr="00216A71">
        <w:rPr>
          <w:rFonts w:cstheme="minorHAnsi"/>
          <w:szCs w:val="20"/>
        </w:rPr>
        <w:t>s negatively affect low-income people’s life. The social infrastructure can not only serve as a safety net but also generate economic flow-on effects with increased human resource investment</w:t>
      </w:r>
      <w:r w:rsidR="00191F44">
        <w:rPr>
          <w:rFonts w:cstheme="minorHAnsi"/>
          <w:szCs w:val="20"/>
        </w:rPr>
        <w:t>.</w:t>
      </w:r>
      <w:r w:rsidRPr="00216A71">
        <w:rPr>
          <w:rFonts w:cstheme="minorHAnsi"/>
          <w:szCs w:val="20"/>
        </w:rPr>
        <w:t>…</w:t>
      </w:r>
      <w:r w:rsidR="00E37922">
        <w:rPr>
          <w:rFonts w:cstheme="minorHAnsi"/>
          <w:szCs w:val="20"/>
        </w:rPr>
        <w:t xml:space="preserve"> </w:t>
      </w:r>
      <w:r w:rsidRPr="00216A71">
        <w:rPr>
          <w:rFonts w:cstheme="minorHAnsi"/>
          <w:szCs w:val="20"/>
        </w:rPr>
        <w:t>There are ongoing needs to restore and replace much of the existing physical infrastructures, to accommodate population growth and to deal with the threats of global warming in response to the call for sustainable development</w:t>
      </w:r>
      <w:r w:rsidR="00E37922">
        <w:rPr>
          <w:rFonts w:cstheme="minorHAnsi"/>
          <w:szCs w:val="20"/>
        </w:rPr>
        <w:t>.</w:t>
      </w:r>
      <w:r w:rsidRPr="00216A71">
        <w:rPr>
          <w:rFonts w:cstheme="minorHAnsi"/>
          <w:szCs w:val="20"/>
        </w:rPr>
        <w:t>”</w:t>
      </w:r>
      <w:r w:rsidRPr="00216A71">
        <w:rPr>
          <w:rStyle w:val="EndnoteReference"/>
          <w:rFonts w:cstheme="minorHAnsi"/>
          <w:szCs w:val="20"/>
        </w:rPr>
        <w:endnoteReference w:id="30"/>
      </w:r>
    </w:p>
    <w:p w:rsidR="000C629A" w:rsidRDefault="00C827B0" w:rsidP="00772CE5">
      <w:pPr>
        <w:rPr>
          <w:rFonts w:cstheme="minorHAnsi"/>
          <w:szCs w:val="20"/>
        </w:rPr>
      </w:pPr>
      <w:r w:rsidRPr="00216A71">
        <w:rPr>
          <w:rFonts w:cstheme="minorHAnsi"/>
          <w:szCs w:val="20"/>
        </w:rPr>
        <w:t>It concluded that there was a need for</w:t>
      </w:r>
      <w:r w:rsidR="004045AD">
        <w:rPr>
          <w:rFonts w:cstheme="minorHAnsi"/>
          <w:szCs w:val="20"/>
        </w:rPr>
        <w:t xml:space="preserve"> </w:t>
      </w:r>
      <w:r w:rsidRPr="00216A71">
        <w:rPr>
          <w:rFonts w:cstheme="minorHAnsi"/>
          <w:szCs w:val="20"/>
        </w:rPr>
        <w:t>“tools to bring back the banks and new institutions able to articulate a pro-PPP policy in the crisis (and those in the future)...</w:t>
      </w:r>
      <w:r w:rsidR="00E37922">
        <w:rPr>
          <w:rFonts w:cstheme="minorHAnsi"/>
          <w:szCs w:val="20"/>
        </w:rPr>
        <w:t xml:space="preserve"> </w:t>
      </w:r>
      <w:r w:rsidRPr="00216A71">
        <w:rPr>
          <w:rFonts w:cstheme="minorHAnsi"/>
          <w:szCs w:val="20"/>
        </w:rPr>
        <w:t>a global advocate to spread support and the message around the globe: an alliance of PPP units.”</w:t>
      </w:r>
      <w:r w:rsidRPr="00216A71">
        <w:rPr>
          <w:rStyle w:val="EndnoteReference"/>
          <w:rFonts w:cstheme="minorHAnsi"/>
          <w:szCs w:val="20"/>
        </w:rPr>
        <w:endnoteReference w:id="31"/>
      </w:r>
    </w:p>
    <w:p w:rsidR="008F1153" w:rsidRPr="00216A71" w:rsidRDefault="00C827B0" w:rsidP="002F3151">
      <w:pPr>
        <w:rPr>
          <w:rFonts w:cstheme="minorHAnsi"/>
          <w:szCs w:val="20"/>
        </w:rPr>
      </w:pPr>
      <w:r w:rsidRPr="00216A71">
        <w:rPr>
          <w:rFonts w:cstheme="minorHAnsi"/>
          <w:szCs w:val="20"/>
        </w:rPr>
        <w:t>The next section describes the global advocacy network</w:t>
      </w:r>
      <w:r w:rsidR="003B6BBC" w:rsidRPr="00216A71">
        <w:rPr>
          <w:rFonts w:cstheme="minorHAnsi"/>
          <w:szCs w:val="20"/>
        </w:rPr>
        <w:t>, and the large scale public guarantees,</w:t>
      </w:r>
      <w:r w:rsidRPr="00216A71">
        <w:rPr>
          <w:rFonts w:cstheme="minorHAnsi"/>
          <w:szCs w:val="20"/>
        </w:rPr>
        <w:t xml:space="preserve"> that </w:t>
      </w:r>
      <w:r w:rsidR="003B6BBC" w:rsidRPr="00216A71">
        <w:rPr>
          <w:rFonts w:cstheme="minorHAnsi"/>
          <w:szCs w:val="20"/>
        </w:rPr>
        <w:t>have</w:t>
      </w:r>
      <w:r w:rsidRPr="00216A71">
        <w:rPr>
          <w:rFonts w:cstheme="minorHAnsi"/>
          <w:szCs w:val="20"/>
        </w:rPr>
        <w:t xml:space="preserve"> been developed</w:t>
      </w:r>
      <w:r w:rsidR="003B6BBC" w:rsidRPr="00216A71">
        <w:rPr>
          <w:rFonts w:cstheme="minorHAnsi"/>
          <w:szCs w:val="20"/>
        </w:rPr>
        <w:t xml:space="preserve"> to try and maintain the scale of PPPs.</w:t>
      </w:r>
    </w:p>
    <w:p w:rsidR="00013924" w:rsidRPr="00216A71" w:rsidRDefault="00013924" w:rsidP="00CE1FBB">
      <w:pPr>
        <w:pStyle w:val="Heading1"/>
      </w:pPr>
      <w:bookmarkStart w:id="11" w:name="_Toc392857523"/>
      <w:r w:rsidRPr="00216A71">
        <w:t>The public promotion of PPPs</w:t>
      </w:r>
      <w:bookmarkEnd w:id="11"/>
    </w:p>
    <w:p w:rsidR="00E0587F" w:rsidRPr="00E0587F" w:rsidRDefault="00E0587F" w:rsidP="00E0587F">
      <w:pPr>
        <w:pStyle w:val="ListParagraph"/>
        <w:keepNext/>
        <w:numPr>
          <w:ilvl w:val="0"/>
          <w:numId w:val="16"/>
        </w:numPr>
        <w:spacing w:before="240" w:after="60"/>
        <w:contextualSpacing w:val="0"/>
        <w:outlineLvl w:val="1"/>
        <w:rPr>
          <w:rFonts w:cstheme="minorHAnsi"/>
          <w:b/>
          <w:bCs/>
          <w:iCs/>
          <w:vanish/>
          <w:szCs w:val="20"/>
        </w:rPr>
      </w:pPr>
    </w:p>
    <w:p w:rsidR="00BC66D1" w:rsidRPr="00216A71" w:rsidRDefault="00013924" w:rsidP="00E0587F">
      <w:pPr>
        <w:pStyle w:val="Heading2"/>
      </w:pPr>
      <w:bookmarkStart w:id="12" w:name="_Toc392857524"/>
      <w:r w:rsidRPr="00216A71">
        <w:t>Propaganda and subsidies</w:t>
      </w:r>
      <w:r w:rsidR="00835BC3" w:rsidRPr="00216A71">
        <w:t>: the global marketing network</w:t>
      </w:r>
      <w:bookmarkEnd w:id="12"/>
    </w:p>
    <w:p w:rsidR="000C629A" w:rsidRDefault="00532688" w:rsidP="00532688">
      <w:pPr>
        <w:rPr>
          <w:rFonts w:cstheme="minorHAnsi"/>
          <w:szCs w:val="20"/>
        </w:rPr>
      </w:pPr>
      <w:r w:rsidRPr="00216A71">
        <w:rPr>
          <w:rFonts w:cstheme="minorHAnsi"/>
          <w:szCs w:val="20"/>
        </w:rPr>
        <w:t>The financial crisis has made it very difficult for private companies to raise finance except at very high interest rates. Although most countries have reduced official interest rates to very low levels in order to stimulate the economy, banks are insisting that private companies pay much higher interest rates than governments because of perceived risk and general economic uncertainty.</w:t>
      </w:r>
      <w:r w:rsidR="004045AD">
        <w:rPr>
          <w:rFonts w:cstheme="minorHAnsi"/>
          <w:szCs w:val="20"/>
        </w:rPr>
        <w:t xml:space="preserve"> </w:t>
      </w:r>
      <w:r w:rsidRPr="00216A71">
        <w:rPr>
          <w:rFonts w:cstheme="minorHAnsi"/>
          <w:szCs w:val="20"/>
        </w:rPr>
        <w:t>Banks are also less willing to offer long-term loans. As a result, the difference between corporate and government interest rates has grown larger. By mid-2009 companies had to pay interest rates about 4</w:t>
      </w:r>
      <w:r w:rsidR="00A42FDE">
        <w:rPr>
          <w:rFonts w:cstheme="minorHAnsi"/>
          <w:szCs w:val="20"/>
        </w:rPr>
        <w:t xml:space="preserve"> per cent</w:t>
      </w:r>
      <w:r w:rsidRPr="00216A71">
        <w:rPr>
          <w:rFonts w:cstheme="minorHAnsi"/>
          <w:szCs w:val="20"/>
        </w:rPr>
        <w:t xml:space="preserve"> higher than governments.</w:t>
      </w:r>
      <w:r w:rsidR="004045AD">
        <w:rPr>
          <w:rFonts w:cstheme="minorHAnsi"/>
          <w:szCs w:val="20"/>
        </w:rPr>
        <w:t xml:space="preserve"> </w:t>
      </w:r>
      <w:r w:rsidRPr="00216A71">
        <w:rPr>
          <w:rStyle w:val="EndnoteReference"/>
          <w:rFonts w:cstheme="minorHAnsi"/>
          <w:szCs w:val="20"/>
        </w:rPr>
        <w:endnoteReference w:id="32"/>
      </w:r>
    </w:p>
    <w:p w:rsidR="00835BC3" w:rsidRPr="00216A71" w:rsidRDefault="00532688" w:rsidP="00835BC3">
      <w:pPr>
        <w:rPr>
          <w:rFonts w:cstheme="minorHAnsi"/>
          <w:bCs/>
          <w:szCs w:val="20"/>
        </w:rPr>
      </w:pPr>
      <w:r w:rsidRPr="00216A71">
        <w:rPr>
          <w:rFonts w:cstheme="minorHAnsi"/>
          <w:szCs w:val="20"/>
        </w:rPr>
        <w:t>Left to market forces, PPPs would have become prohibitively expensive, even for their greatest supporters</w:t>
      </w:r>
      <w:r w:rsidR="00013924" w:rsidRPr="00216A71">
        <w:rPr>
          <w:rFonts w:cstheme="minorHAnsi"/>
          <w:szCs w:val="20"/>
        </w:rPr>
        <w:t>.</w:t>
      </w:r>
      <w:r w:rsidR="004045AD">
        <w:rPr>
          <w:rFonts w:cstheme="minorHAnsi"/>
          <w:szCs w:val="20"/>
        </w:rPr>
        <w:t xml:space="preserve"> </w:t>
      </w:r>
      <w:r w:rsidR="00013924" w:rsidRPr="00216A71">
        <w:rPr>
          <w:rFonts w:cstheme="minorHAnsi"/>
          <w:szCs w:val="20"/>
        </w:rPr>
        <w:t>But the adoption of austerity policies means that governments are constrained from borrowing or spending more</w:t>
      </w:r>
      <w:r w:rsidR="00835BC3" w:rsidRPr="00216A71">
        <w:rPr>
          <w:rFonts w:cstheme="minorHAnsi"/>
          <w:szCs w:val="20"/>
        </w:rPr>
        <w:t xml:space="preserve">: so, in order to build infrastructure, PPPs remain an attractive way of concealing the long-term public liabilities. The result is a very expensive contradiction: instead of scrapping PPPs and using cheaper public finance, </w:t>
      </w:r>
      <w:r w:rsidR="00835BC3" w:rsidRPr="00216A71">
        <w:rPr>
          <w:rFonts w:cstheme="minorHAnsi"/>
          <w:bCs/>
          <w:szCs w:val="20"/>
        </w:rPr>
        <w:t>governments and international public sector bodies are supporting PPPs through substantial state aid, in the form of privileged access to government guarantees or public finance.</w:t>
      </w:r>
    </w:p>
    <w:p w:rsidR="000C629A" w:rsidRDefault="00835BC3" w:rsidP="00532688">
      <w:pPr>
        <w:rPr>
          <w:rFonts w:cstheme="minorHAnsi"/>
          <w:szCs w:val="20"/>
        </w:rPr>
      </w:pPr>
      <w:r w:rsidRPr="00216A71">
        <w:rPr>
          <w:rFonts w:cstheme="minorHAnsi"/>
          <w:szCs w:val="20"/>
        </w:rPr>
        <w:t>So</w:t>
      </w:r>
      <w:r w:rsidR="00532688" w:rsidRPr="00216A71">
        <w:rPr>
          <w:rFonts w:cstheme="minorHAnsi"/>
          <w:szCs w:val="20"/>
        </w:rPr>
        <w:t xml:space="preserve"> a remarkable network of international institutions, governments and corporate bodies </w:t>
      </w:r>
      <w:r w:rsidR="00772CE5" w:rsidRPr="00216A71">
        <w:rPr>
          <w:rFonts w:cstheme="minorHAnsi"/>
          <w:szCs w:val="20"/>
        </w:rPr>
        <w:t>has</w:t>
      </w:r>
      <w:r w:rsidR="003662A2" w:rsidRPr="00216A71">
        <w:rPr>
          <w:rFonts w:cstheme="minorHAnsi"/>
          <w:szCs w:val="20"/>
        </w:rPr>
        <w:t xml:space="preserve"> </w:t>
      </w:r>
      <w:r w:rsidR="00532688" w:rsidRPr="00216A71">
        <w:rPr>
          <w:rFonts w:cstheme="minorHAnsi"/>
          <w:szCs w:val="20"/>
        </w:rPr>
        <w:t>been actively promoting PPPs. This promotion takes two forms: a marketing and propaganda campaign on a global scale; and the use of public money to subsidise the private borrowing of PPPs.</w:t>
      </w:r>
      <w:r w:rsidR="004045AD">
        <w:rPr>
          <w:rFonts w:cstheme="minorHAnsi"/>
          <w:szCs w:val="20"/>
        </w:rPr>
        <w:t xml:space="preserve"> </w:t>
      </w:r>
      <w:r w:rsidR="00532688" w:rsidRPr="00216A71">
        <w:rPr>
          <w:rFonts w:cstheme="minorHAnsi"/>
          <w:szCs w:val="20"/>
        </w:rPr>
        <w:t xml:space="preserve">This </w:t>
      </w:r>
      <w:r w:rsidR="00772CE5" w:rsidRPr="00216A71">
        <w:rPr>
          <w:rFonts w:cstheme="minorHAnsi"/>
          <w:szCs w:val="20"/>
        </w:rPr>
        <w:t xml:space="preserve">network </w:t>
      </w:r>
      <w:r w:rsidR="00532688" w:rsidRPr="00216A71">
        <w:rPr>
          <w:rFonts w:cstheme="minorHAnsi"/>
          <w:szCs w:val="20"/>
        </w:rPr>
        <w:t>functions at global, regional, sectoral and national levels</w:t>
      </w:r>
      <w:r w:rsidR="005D08F6" w:rsidRPr="00216A71">
        <w:rPr>
          <w:rFonts w:cstheme="minorHAnsi"/>
          <w:szCs w:val="20"/>
        </w:rPr>
        <w:t>:</w:t>
      </w:r>
    </w:p>
    <w:p w:rsidR="00013924" w:rsidRPr="00216A71" w:rsidRDefault="00013924" w:rsidP="00781FBC">
      <w:pPr>
        <w:pStyle w:val="ListParagraph"/>
        <w:numPr>
          <w:ilvl w:val="0"/>
          <w:numId w:val="39"/>
        </w:numPr>
        <w:rPr>
          <w:rFonts w:cstheme="minorHAnsi"/>
          <w:szCs w:val="20"/>
        </w:rPr>
      </w:pPr>
      <w:r w:rsidRPr="00216A71">
        <w:rPr>
          <w:rFonts w:cstheme="minorHAnsi"/>
          <w:szCs w:val="20"/>
        </w:rPr>
        <w:t>The international financial institutions (IFIs) play a leading role: the World Bank, and its private sector funding arm, the IFC; the other regional development banks, including the European banks EIB and EBRD; and the IMF. The IFIs not only promote PPPs, they use their (public) funds to sustain and subsidise them.</w:t>
      </w:r>
    </w:p>
    <w:p w:rsidR="00013924" w:rsidRPr="00216A71" w:rsidRDefault="00013924" w:rsidP="00781FBC">
      <w:pPr>
        <w:pStyle w:val="ListParagraph"/>
        <w:numPr>
          <w:ilvl w:val="0"/>
          <w:numId w:val="39"/>
        </w:numPr>
        <w:rPr>
          <w:rFonts w:cstheme="minorHAnsi"/>
          <w:szCs w:val="20"/>
        </w:rPr>
      </w:pPr>
      <w:r w:rsidRPr="00216A71">
        <w:rPr>
          <w:rFonts w:cstheme="minorHAnsi"/>
          <w:szCs w:val="20"/>
        </w:rPr>
        <w:lastRenderedPageBreak/>
        <w:t>As well as the IFIs, PPPs are heavily promoted through other intergovernmental bodies such as the G20 and G8, and through international corporate events like the World Economic Forum (WEF)</w:t>
      </w:r>
      <w:r w:rsidR="00772CE5" w:rsidRPr="00216A71">
        <w:rPr>
          <w:rFonts w:cstheme="minorHAnsi"/>
          <w:szCs w:val="20"/>
        </w:rPr>
        <w:t>.</w:t>
      </w:r>
    </w:p>
    <w:p w:rsidR="00013924" w:rsidRPr="00216A71" w:rsidRDefault="00013924" w:rsidP="00781FBC">
      <w:pPr>
        <w:pStyle w:val="ListParagraph"/>
        <w:numPr>
          <w:ilvl w:val="0"/>
          <w:numId w:val="39"/>
        </w:numPr>
        <w:rPr>
          <w:rFonts w:cstheme="minorHAnsi"/>
          <w:szCs w:val="20"/>
        </w:rPr>
      </w:pPr>
      <w:r w:rsidRPr="00216A71">
        <w:rPr>
          <w:rFonts w:cstheme="minorHAnsi"/>
          <w:szCs w:val="20"/>
        </w:rPr>
        <w:t>The development arms of the EU,</w:t>
      </w:r>
      <w:r w:rsidR="00772CE5" w:rsidRPr="00216A71">
        <w:rPr>
          <w:rFonts w:cstheme="minorHAnsi"/>
          <w:szCs w:val="20"/>
        </w:rPr>
        <w:t xml:space="preserve"> its member states,</w:t>
      </w:r>
      <w:r w:rsidRPr="00216A71">
        <w:rPr>
          <w:rFonts w:cstheme="minorHAnsi"/>
          <w:szCs w:val="20"/>
        </w:rPr>
        <w:t xml:space="preserve"> the USA and other donor countries also promote and finance PPPs in developing countries, including through aid conditionalities</w:t>
      </w:r>
      <w:r w:rsidR="00772CE5" w:rsidRPr="00216A71">
        <w:rPr>
          <w:rFonts w:cstheme="minorHAnsi"/>
          <w:szCs w:val="20"/>
        </w:rPr>
        <w:t xml:space="preserve"> as well as trade agreements</w:t>
      </w:r>
      <w:r w:rsidRPr="00216A71">
        <w:rPr>
          <w:rFonts w:cstheme="minorHAnsi"/>
          <w:szCs w:val="20"/>
        </w:rPr>
        <w:t xml:space="preserve">. Governments create special units to promote PPPs, and provide subsidised loans and guarantees for PPPs; the European Union actively encourages and subsidises PPPs in member states. </w:t>
      </w:r>
    </w:p>
    <w:p w:rsidR="00013924" w:rsidRPr="00216A71" w:rsidRDefault="00013924" w:rsidP="00781FBC">
      <w:pPr>
        <w:pStyle w:val="ListParagraph"/>
        <w:numPr>
          <w:ilvl w:val="0"/>
          <w:numId w:val="39"/>
        </w:numPr>
        <w:rPr>
          <w:rFonts w:cstheme="minorHAnsi"/>
          <w:szCs w:val="20"/>
        </w:rPr>
      </w:pPr>
      <w:r w:rsidRPr="00216A71">
        <w:rPr>
          <w:rFonts w:cstheme="minorHAnsi"/>
          <w:szCs w:val="20"/>
        </w:rPr>
        <w:t>These public bodies sponsor a stream of publications and advice from international consultancy, accountancy an</w:t>
      </w:r>
      <w:r w:rsidR="00EC4A5D" w:rsidRPr="00216A71">
        <w:rPr>
          <w:rFonts w:cstheme="minorHAnsi"/>
          <w:szCs w:val="20"/>
        </w:rPr>
        <w:t>d legal firms, such as McKinsey</w:t>
      </w:r>
      <w:r w:rsidRPr="00216A71">
        <w:rPr>
          <w:rFonts w:cstheme="minorHAnsi"/>
          <w:szCs w:val="20"/>
        </w:rPr>
        <w:t xml:space="preserve"> and PWC. These consultancies themselves make further profits from legal and consultancy work arising from the complex contractual processes involved in PPPs.</w:t>
      </w:r>
    </w:p>
    <w:p w:rsidR="008F454F" w:rsidRPr="00FF6D63" w:rsidRDefault="00013924" w:rsidP="00013924">
      <w:pPr>
        <w:pStyle w:val="Heading7"/>
        <w:rPr>
          <w:rFonts w:asciiTheme="minorHAnsi" w:hAnsiTheme="minorHAnsi" w:cstheme="minorHAnsi"/>
          <w:szCs w:val="20"/>
          <w:lang w:val="en-029"/>
        </w:rPr>
      </w:pPr>
      <w:r w:rsidRPr="00216A71">
        <w:rPr>
          <w:rFonts w:asciiTheme="minorHAnsi" w:hAnsiTheme="minorHAnsi" w:cstheme="minorHAnsi"/>
          <w:szCs w:val="20"/>
          <w:lang w:val="es-ES_tradnl"/>
        </w:rPr>
        <w:t>The promoters of PPPs</w:t>
      </w:r>
    </w:p>
    <w:tbl>
      <w:tblPr>
        <w:tblStyle w:val="TableGrid"/>
        <w:tblW w:w="9889" w:type="dxa"/>
        <w:tblLayout w:type="fixed"/>
        <w:tblLook w:val="04A0" w:firstRow="1" w:lastRow="0" w:firstColumn="1" w:lastColumn="0" w:noHBand="0" w:noVBand="1"/>
      </w:tblPr>
      <w:tblGrid>
        <w:gridCol w:w="4928"/>
        <w:gridCol w:w="850"/>
        <w:gridCol w:w="4111"/>
      </w:tblGrid>
      <w:tr w:rsidR="00013924" w:rsidRPr="00216A71" w:rsidTr="00062F11">
        <w:tc>
          <w:tcPr>
            <w:tcW w:w="4928" w:type="dxa"/>
            <w:shd w:val="clear" w:color="auto" w:fill="CCC0D9" w:themeFill="accent4" w:themeFillTint="66"/>
          </w:tcPr>
          <w:p w:rsidR="00013924" w:rsidRPr="00216A71" w:rsidRDefault="00013924" w:rsidP="00062F11">
            <w:pPr>
              <w:rPr>
                <w:rFonts w:cstheme="minorHAnsi"/>
                <w:lang w:val="es-ES_tradnl"/>
              </w:rPr>
            </w:pPr>
            <w:r w:rsidRPr="00FF6D63">
              <w:rPr>
                <w:rFonts w:cstheme="minorHAnsi"/>
                <w:lang w:val="en-029"/>
              </w:rPr>
              <w:t>Institution</w:t>
            </w:r>
          </w:p>
        </w:tc>
        <w:tc>
          <w:tcPr>
            <w:tcW w:w="850" w:type="dxa"/>
            <w:shd w:val="clear" w:color="auto" w:fill="00B0F0"/>
          </w:tcPr>
          <w:p w:rsidR="00013924" w:rsidRPr="00216A71" w:rsidRDefault="00013924" w:rsidP="00667C99">
            <w:pPr>
              <w:rPr>
                <w:rFonts w:cstheme="minorHAnsi"/>
                <w:lang w:val="es-ES_tradnl"/>
              </w:rPr>
            </w:pPr>
          </w:p>
        </w:tc>
        <w:tc>
          <w:tcPr>
            <w:tcW w:w="4111" w:type="dxa"/>
            <w:shd w:val="clear" w:color="auto" w:fill="00B0F0"/>
          </w:tcPr>
          <w:p w:rsidR="00013924" w:rsidRPr="00216A71" w:rsidRDefault="00013924" w:rsidP="00667C99">
            <w:pPr>
              <w:rPr>
                <w:rFonts w:cstheme="minorHAnsi"/>
              </w:rPr>
            </w:pPr>
            <w:r w:rsidRPr="00216A71">
              <w:rPr>
                <w:rFonts w:cstheme="minorHAnsi"/>
              </w:rPr>
              <w:t>Link to PPPs webpages</w:t>
            </w:r>
          </w:p>
        </w:tc>
      </w:tr>
      <w:tr w:rsidR="00013924" w:rsidRPr="00216A71" w:rsidTr="00062F11">
        <w:tc>
          <w:tcPr>
            <w:tcW w:w="4928" w:type="dxa"/>
            <w:shd w:val="clear" w:color="auto" w:fill="CCC0D9" w:themeFill="accent4" w:themeFillTint="66"/>
          </w:tcPr>
          <w:p w:rsidR="00013924" w:rsidRPr="00216A71" w:rsidRDefault="00013924" w:rsidP="00667C99">
            <w:pPr>
              <w:rPr>
                <w:rFonts w:cstheme="minorHAnsi"/>
              </w:rPr>
            </w:pPr>
            <w:r w:rsidRPr="00216A71">
              <w:rPr>
                <w:rFonts w:cstheme="minorHAnsi"/>
              </w:rPr>
              <w:t>World Bank</w:t>
            </w:r>
          </w:p>
        </w:tc>
        <w:tc>
          <w:tcPr>
            <w:tcW w:w="850" w:type="dxa"/>
          </w:tcPr>
          <w:p w:rsidR="00013924" w:rsidRPr="00216A71" w:rsidRDefault="00013924" w:rsidP="00667C99">
            <w:pPr>
              <w:rPr>
                <w:rFonts w:cstheme="minorHAnsi"/>
              </w:rPr>
            </w:pPr>
            <w:r w:rsidRPr="00216A71">
              <w:rPr>
                <w:rFonts w:cstheme="minorHAnsi"/>
              </w:rPr>
              <w:t>WB</w:t>
            </w:r>
          </w:p>
        </w:tc>
        <w:tc>
          <w:tcPr>
            <w:tcW w:w="4111" w:type="dxa"/>
          </w:tcPr>
          <w:p w:rsidR="00013924" w:rsidRPr="00216A71" w:rsidRDefault="00A723E5" w:rsidP="00667C99">
            <w:pPr>
              <w:rPr>
                <w:rFonts w:cstheme="minorHAnsi"/>
              </w:rPr>
            </w:pPr>
            <w:hyperlink r:id="rId20" w:history="1">
              <w:r w:rsidR="00013924" w:rsidRPr="00216A71">
                <w:rPr>
                  <w:rStyle w:val="Hyperlink"/>
                  <w:rFonts w:cstheme="minorHAnsi"/>
                  <w:szCs w:val="20"/>
                </w:rPr>
                <w:t>PPPs</w:t>
              </w:r>
            </w:hyperlink>
          </w:p>
        </w:tc>
      </w:tr>
      <w:tr w:rsidR="00013924" w:rsidRPr="00216A71" w:rsidTr="00062F11">
        <w:tc>
          <w:tcPr>
            <w:tcW w:w="4928" w:type="dxa"/>
            <w:shd w:val="clear" w:color="auto" w:fill="CCC0D9" w:themeFill="accent4" w:themeFillTint="66"/>
          </w:tcPr>
          <w:p w:rsidR="00013924" w:rsidRPr="00216A71" w:rsidRDefault="00013924" w:rsidP="00667C99">
            <w:pPr>
              <w:rPr>
                <w:rFonts w:cstheme="minorHAnsi"/>
              </w:rPr>
            </w:pPr>
            <w:r w:rsidRPr="00216A71">
              <w:rPr>
                <w:rFonts w:cstheme="minorHAnsi"/>
              </w:rPr>
              <w:t>Public-Private Infrastructure Advisory Facility (WB Group)</w:t>
            </w:r>
          </w:p>
        </w:tc>
        <w:tc>
          <w:tcPr>
            <w:tcW w:w="850" w:type="dxa"/>
          </w:tcPr>
          <w:p w:rsidR="00013924" w:rsidRPr="00216A71" w:rsidRDefault="00013924" w:rsidP="00667C99">
            <w:pPr>
              <w:rPr>
                <w:rFonts w:cstheme="minorHAnsi"/>
              </w:rPr>
            </w:pPr>
            <w:r w:rsidRPr="00216A71">
              <w:rPr>
                <w:rFonts w:cstheme="minorHAnsi"/>
              </w:rPr>
              <w:t xml:space="preserve">PPIAF </w:t>
            </w:r>
          </w:p>
        </w:tc>
        <w:tc>
          <w:tcPr>
            <w:tcW w:w="4111" w:type="dxa"/>
          </w:tcPr>
          <w:p w:rsidR="00013924" w:rsidRPr="00216A71" w:rsidRDefault="00A723E5" w:rsidP="00667C99">
            <w:pPr>
              <w:rPr>
                <w:rFonts w:cstheme="minorHAnsi"/>
              </w:rPr>
            </w:pPr>
            <w:hyperlink r:id="rId21" w:history="1">
              <w:r w:rsidR="00013924" w:rsidRPr="00216A71">
                <w:rPr>
                  <w:rStyle w:val="Hyperlink"/>
                  <w:rFonts w:cstheme="minorHAnsi"/>
                  <w:szCs w:val="20"/>
                </w:rPr>
                <w:t>PPPs</w:t>
              </w:r>
              <w:r w:rsidR="004045AD">
                <w:rPr>
                  <w:rStyle w:val="Hyperlink"/>
                  <w:rFonts w:cstheme="minorHAnsi"/>
                  <w:szCs w:val="20"/>
                </w:rPr>
                <w:t xml:space="preserve"> – </w:t>
              </w:r>
              <w:r w:rsidR="00013924" w:rsidRPr="00216A71">
                <w:rPr>
                  <w:rStyle w:val="Hyperlink"/>
                  <w:rFonts w:cstheme="minorHAnsi"/>
                  <w:szCs w:val="20"/>
                </w:rPr>
                <w:t>resources</w:t>
              </w:r>
            </w:hyperlink>
          </w:p>
        </w:tc>
      </w:tr>
      <w:tr w:rsidR="00013924" w:rsidRPr="00216A71" w:rsidTr="00062F11">
        <w:tc>
          <w:tcPr>
            <w:tcW w:w="4928" w:type="dxa"/>
            <w:shd w:val="clear" w:color="auto" w:fill="CCC0D9" w:themeFill="accent4" w:themeFillTint="66"/>
          </w:tcPr>
          <w:p w:rsidR="00013924" w:rsidRPr="00216A71" w:rsidRDefault="00013924" w:rsidP="00667C99">
            <w:pPr>
              <w:rPr>
                <w:rFonts w:cstheme="minorHAnsi"/>
              </w:rPr>
            </w:pPr>
            <w:r w:rsidRPr="00216A71">
              <w:rPr>
                <w:rFonts w:cstheme="minorHAnsi"/>
              </w:rPr>
              <w:t>International Finance Corporation(WB Group)</w:t>
            </w:r>
          </w:p>
        </w:tc>
        <w:tc>
          <w:tcPr>
            <w:tcW w:w="850" w:type="dxa"/>
          </w:tcPr>
          <w:p w:rsidR="00013924" w:rsidRPr="00216A71" w:rsidRDefault="00013924" w:rsidP="00667C99">
            <w:pPr>
              <w:rPr>
                <w:rFonts w:cstheme="minorHAnsi"/>
              </w:rPr>
            </w:pPr>
            <w:r w:rsidRPr="00216A71">
              <w:rPr>
                <w:rFonts w:cstheme="minorHAnsi"/>
              </w:rPr>
              <w:t>IFC</w:t>
            </w:r>
          </w:p>
        </w:tc>
        <w:tc>
          <w:tcPr>
            <w:tcW w:w="4111" w:type="dxa"/>
          </w:tcPr>
          <w:p w:rsidR="00013924" w:rsidRPr="00216A71" w:rsidRDefault="00A723E5" w:rsidP="00667C99">
            <w:pPr>
              <w:rPr>
                <w:rFonts w:cstheme="minorHAnsi"/>
              </w:rPr>
            </w:pPr>
            <w:hyperlink r:id="rId22" w:history="1">
              <w:r w:rsidR="00013924" w:rsidRPr="00216A71">
                <w:rPr>
                  <w:rStyle w:val="Hyperlink"/>
                  <w:rFonts w:cstheme="minorHAnsi"/>
                  <w:szCs w:val="20"/>
                </w:rPr>
                <w:t>PPPs</w:t>
              </w:r>
            </w:hyperlink>
            <w:r w:rsidR="00013924" w:rsidRPr="00216A71">
              <w:rPr>
                <w:rFonts w:cstheme="minorHAnsi"/>
              </w:rPr>
              <w:t xml:space="preserve"> ; </w:t>
            </w:r>
            <w:hyperlink r:id="rId23" w:history="1">
              <w:r w:rsidR="00013924" w:rsidRPr="00216A71">
                <w:rPr>
                  <w:rStyle w:val="Hyperlink"/>
                  <w:rFonts w:cstheme="minorHAnsi"/>
                  <w:szCs w:val="20"/>
                </w:rPr>
                <w:t>PPPs: IFC publications</w:t>
              </w:r>
            </w:hyperlink>
            <w:r w:rsidR="00013924" w:rsidRPr="00216A71">
              <w:rPr>
                <w:rFonts w:cstheme="minorHAnsi"/>
              </w:rPr>
              <w:t xml:space="preserve"> ; </w:t>
            </w:r>
            <w:hyperlink r:id="rId24" w:history="1">
              <w:r w:rsidR="00013924" w:rsidRPr="00216A71">
                <w:rPr>
                  <w:rStyle w:val="Hyperlink"/>
                  <w:rFonts w:cstheme="minorHAnsi"/>
                  <w:szCs w:val="20"/>
                </w:rPr>
                <w:t>Ann Rep 2012</w:t>
              </w:r>
            </w:hyperlink>
            <w:r w:rsidR="00013924" w:rsidRPr="00216A71">
              <w:rPr>
                <w:rFonts w:cstheme="minorHAnsi"/>
              </w:rPr>
              <w:t xml:space="preserve"> </w:t>
            </w:r>
          </w:p>
        </w:tc>
      </w:tr>
      <w:tr w:rsidR="00013924" w:rsidRPr="00216A71" w:rsidTr="00062F11">
        <w:tc>
          <w:tcPr>
            <w:tcW w:w="4928" w:type="dxa"/>
            <w:shd w:val="clear" w:color="auto" w:fill="CCC0D9" w:themeFill="accent4" w:themeFillTint="66"/>
          </w:tcPr>
          <w:p w:rsidR="00013924" w:rsidRPr="00FF6D63" w:rsidRDefault="00013924" w:rsidP="00667C99">
            <w:pPr>
              <w:rPr>
                <w:rFonts w:cstheme="minorHAnsi"/>
              </w:rPr>
            </w:pPr>
            <w:r w:rsidRPr="00216A71">
              <w:rPr>
                <w:rFonts w:cstheme="minorHAnsi"/>
              </w:rPr>
              <w:t>African Development Bank</w:t>
            </w:r>
          </w:p>
        </w:tc>
        <w:tc>
          <w:tcPr>
            <w:tcW w:w="850" w:type="dxa"/>
          </w:tcPr>
          <w:p w:rsidR="00013924" w:rsidRPr="00216A71" w:rsidRDefault="00013924" w:rsidP="00667C99">
            <w:pPr>
              <w:rPr>
                <w:rFonts w:cstheme="minorHAnsi"/>
              </w:rPr>
            </w:pPr>
            <w:r w:rsidRPr="00FF6D63">
              <w:rPr>
                <w:rFonts w:cstheme="minorHAnsi"/>
              </w:rPr>
              <w:t>AfDB</w:t>
            </w:r>
          </w:p>
        </w:tc>
        <w:tc>
          <w:tcPr>
            <w:tcW w:w="4111" w:type="dxa"/>
          </w:tcPr>
          <w:p w:rsidR="00013924" w:rsidRPr="00216A71" w:rsidRDefault="00A723E5" w:rsidP="00667C99">
            <w:pPr>
              <w:rPr>
                <w:rFonts w:cstheme="minorHAnsi"/>
              </w:rPr>
            </w:pPr>
            <w:hyperlink r:id="rId25" w:history="1">
              <w:r w:rsidR="00013924" w:rsidRPr="00216A71">
                <w:rPr>
                  <w:rStyle w:val="Hyperlink"/>
                  <w:rFonts w:cstheme="minorHAnsi"/>
                  <w:szCs w:val="20"/>
                </w:rPr>
                <w:t>PPPs</w:t>
              </w:r>
            </w:hyperlink>
            <w:r w:rsidR="00013924" w:rsidRPr="00216A71">
              <w:rPr>
                <w:rFonts w:cstheme="minorHAnsi"/>
              </w:rPr>
              <w:t xml:space="preserve"> </w:t>
            </w:r>
          </w:p>
        </w:tc>
      </w:tr>
      <w:tr w:rsidR="00013924" w:rsidRPr="00216A71" w:rsidTr="00062F11">
        <w:tc>
          <w:tcPr>
            <w:tcW w:w="4928" w:type="dxa"/>
            <w:shd w:val="clear" w:color="auto" w:fill="CCC0D9" w:themeFill="accent4" w:themeFillTint="66"/>
          </w:tcPr>
          <w:p w:rsidR="00013924" w:rsidRPr="00216A71" w:rsidRDefault="00013924" w:rsidP="00667C99">
            <w:pPr>
              <w:rPr>
                <w:rFonts w:cstheme="minorHAnsi"/>
              </w:rPr>
            </w:pPr>
            <w:r w:rsidRPr="00216A71">
              <w:rPr>
                <w:rFonts w:cstheme="minorHAnsi"/>
              </w:rPr>
              <w:t>Asian Development Bank</w:t>
            </w:r>
          </w:p>
        </w:tc>
        <w:tc>
          <w:tcPr>
            <w:tcW w:w="850" w:type="dxa"/>
          </w:tcPr>
          <w:p w:rsidR="00013924" w:rsidRPr="00216A71" w:rsidRDefault="00013924" w:rsidP="00667C99">
            <w:pPr>
              <w:rPr>
                <w:rFonts w:cstheme="minorHAnsi"/>
              </w:rPr>
            </w:pPr>
            <w:r w:rsidRPr="00216A71">
              <w:rPr>
                <w:rFonts w:cstheme="minorHAnsi"/>
              </w:rPr>
              <w:t>ADB</w:t>
            </w:r>
          </w:p>
        </w:tc>
        <w:tc>
          <w:tcPr>
            <w:tcW w:w="4111" w:type="dxa"/>
          </w:tcPr>
          <w:p w:rsidR="00013924" w:rsidRPr="00216A71" w:rsidRDefault="00A723E5" w:rsidP="009D7F62">
            <w:pPr>
              <w:rPr>
                <w:rFonts w:cstheme="minorHAnsi"/>
              </w:rPr>
            </w:pPr>
            <w:hyperlink r:id="rId26" w:history="1">
              <w:r w:rsidR="00EF04EF" w:rsidRPr="00216A71">
                <w:rPr>
                  <w:rStyle w:val="Hyperlink"/>
                  <w:rFonts w:cstheme="minorHAnsi"/>
                </w:rPr>
                <w:t xml:space="preserve">PPP Operational </w:t>
              </w:r>
              <w:r w:rsidR="009D7F62" w:rsidRPr="00216A71">
                <w:rPr>
                  <w:rStyle w:val="Hyperlink"/>
                  <w:rFonts w:cstheme="minorHAnsi"/>
                </w:rPr>
                <w:t xml:space="preserve">Plan 2012-20202 </w:t>
              </w:r>
            </w:hyperlink>
          </w:p>
        </w:tc>
      </w:tr>
      <w:tr w:rsidR="00680EC6" w:rsidRPr="00216A71" w:rsidTr="00062F11">
        <w:tc>
          <w:tcPr>
            <w:tcW w:w="4928" w:type="dxa"/>
            <w:shd w:val="clear" w:color="auto" w:fill="CCC0D9" w:themeFill="accent4" w:themeFillTint="66"/>
          </w:tcPr>
          <w:p w:rsidR="00680EC6" w:rsidRPr="00216A71" w:rsidRDefault="00680EC6" w:rsidP="00667C99">
            <w:pPr>
              <w:rPr>
                <w:rFonts w:cstheme="minorHAnsi"/>
              </w:rPr>
            </w:pPr>
            <w:r w:rsidRPr="00216A71">
              <w:rPr>
                <w:rFonts w:cstheme="minorHAnsi"/>
              </w:rPr>
              <w:t>Inter Americas Development Bank</w:t>
            </w:r>
          </w:p>
        </w:tc>
        <w:tc>
          <w:tcPr>
            <w:tcW w:w="850" w:type="dxa"/>
          </w:tcPr>
          <w:p w:rsidR="00680EC6" w:rsidRPr="00216A71" w:rsidRDefault="00680EC6" w:rsidP="00667C99">
            <w:pPr>
              <w:rPr>
                <w:rFonts w:cstheme="minorHAnsi"/>
              </w:rPr>
            </w:pPr>
            <w:r w:rsidRPr="00216A71">
              <w:rPr>
                <w:rFonts w:cstheme="minorHAnsi"/>
              </w:rPr>
              <w:t>IADB</w:t>
            </w:r>
          </w:p>
        </w:tc>
        <w:tc>
          <w:tcPr>
            <w:tcW w:w="4111" w:type="dxa"/>
          </w:tcPr>
          <w:p w:rsidR="00680EC6" w:rsidRPr="00216A71" w:rsidRDefault="00A723E5" w:rsidP="00667C99">
            <w:pPr>
              <w:rPr>
                <w:rFonts w:cstheme="minorHAnsi"/>
              </w:rPr>
            </w:pPr>
            <w:hyperlink r:id="rId27" w:history="1">
              <w:r w:rsidR="00680EC6" w:rsidRPr="00216A71">
                <w:rPr>
                  <w:rStyle w:val="Hyperlink"/>
                  <w:rFonts w:cstheme="minorHAnsi"/>
                  <w:szCs w:val="20"/>
                </w:rPr>
                <w:t>PPPs</w:t>
              </w:r>
            </w:hyperlink>
            <w:r w:rsidR="00680EC6" w:rsidRPr="00216A71">
              <w:rPr>
                <w:rFonts w:cstheme="minorHAnsi"/>
              </w:rPr>
              <w:t xml:space="preserve"> </w:t>
            </w:r>
          </w:p>
        </w:tc>
      </w:tr>
      <w:tr w:rsidR="00680EC6" w:rsidRPr="00216A71" w:rsidTr="00062F11">
        <w:tc>
          <w:tcPr>
            <w:tcW w:w="4928" w:type="dxa"/>
            <w:shd w:val="clear" w:color="auto" w:fill="CCC0D9" w:themeFill="accent4" w:themeFillTint="66"/>
          </w:tcPr>
          <w:p w:rsidR="00680EC6" w:rsidRPr="00216A71" w:rsidRDefault="00680EC6" w:rsidP="00667C99">
            <w:pPr>
              <w:rPr>
                <w:rFonts w:cstheme="minorHAnsi"/>
              </w:rPr>
            </w:pPr>
            <w:r w:rsidRPr="00216A71">
              <w:rPr>
                <w:rFonts w:cstheme="minorHAnsi"/>
              </w:rPr>
              <w:t>European Union</w:t>
            </w:r>
          </w:p>
        </w:tc>
        <w:tc>
          <w:tcPr>
            <w:tcW w:w="850" w:type="dxa"/>
          </w:tcPr>
          <w:p w:rsidR="00680EC6" w:rsidRPr="00216A71" w:rsidRDefault="00680EC6" w:rsidP="00667C99">
            <w:pPr>
              <w:rPr>
                <w:rFonts w:cstheme="minorHAnsi"/>
              </w:rPr>
            </w:pPr>
            <w:r w:rsidRPr="00216A71">
              <w:rPr>
                <w:rFonts w:cstheme="minorHAnsi"/>
              </w:rPr>
              <w:t>EU</w:t>
            </w:r>
          </w:p>
        </w:tc>
        <w:tc>
          <w:tcPr>
            <w:tcW w:w="4111" w:type="dxa"/>
          </w:tcPr>
          <w:p w:rsidR="00680EC6" w:rsidRPr="00216A71" w:rsidRDefault="00A723E5" w:rsidP="00667C99">
            <w:pPr>
              <w:rPr>
                <w:rFonts w:cstheme="minorHAnsi"/>
              </w:rPr>
            </w:pPr>
            <w:hyperlink r:id="rId28" w:history="1">
              <w:r w:rsidR="00B4239D" w:rsidRPr="00216A71">
                <w:rPr>
                  <w:rStyle w:val="Hyperlink"/>
                  <w:rFonts w:cstheme="minorHAnsi"/>
                  <w:szCs w:val="20"/>
                </w:rPr>
                <w:t>EU project bonds</w:t>
              </w:r>
            </w:hyperlink>
            <w:r w:rsidR="00B4239D" w:rsidRPr="00216A71">
              <w:rPr>
                <w:rFonts w:cstheme="minorHAnsi"/>
              </w:rPr>
              <w:t xml:space="preserve"> </w:t>
            </w:r>
          </w:p>
        </w:tc>
      </w:tr>
      <w:tr w:rsidR="00013924" w:rsidRPr="00216A71" w:rsidTr="00062F11">
        <w:tc>
          <w:tcPr>
            <w:tcW w:w="4928" w:type="dxa"/>
            <w:shd w:val="clear" w:color="auto" w:fill="CCC0D9" w:themeFill="accent4" w:themeFillTint="66"/>
          </w:tcPr>
          <w:p w:rsidR="00013924" w:rsidRPr="00216A71" w:rsidRDefault="00013924" w:rsidP="00667C99">
            <w:pPr>
              <w:rPr>
                <w:rFonts w:cstheme="minorHAnsi"/>
              </w:rPr>
            </w:pPr>
            <w:r w:rsidRPr="00216A71">
              <w:rPr>
                <w:rFonts w:cstheme="minorHAnsi"/>
              </w:rPr>
              <w:t>European Bank for Reconstruction and Development</w:t>
            </w:r>
          </w:p>
        </w:tc>
        <w:tc>
          <w:tcPr>
            <w:tcW w:w="850" w:type="dxa"/>
          </w:tcPr>
          <w:p w:rsidR="00013924" w:rsidRPr="00216A71" w:rsidRDefault="00013924" w:rsidP="00667C99">
            <w:pPr>
              <w:rPr>
                <w:rFonts w:cstheme="minorHAnsi"/>
              </w:rPr>
            </w:pPr>
            <w:r w:rsidRPr="00216A71">
              <w:rPr>
                <w:rFonts w:cstheme="minorHAnsi"/>
              </w:rPr>
              <w:t>EBRD</w:t>
            </w:r>
          </w:p>
        </w:tc>
        <w:tc>
          <w:tcPr>
            <w:tcW w:w="4111" w:type="dxa"/>
          </w:tcPr>
          <w:p w:rsidR="00013924" w:rsidRPr="00216A71" w:rsidRDefault="00A723E5" w:rsidP="00667C99">
            <w:pPr>
              <w:rPr>
                <w:rFonts w:cstheme="minorHAnsi"/>
              </w:rPr>
            </w:pPr>
            <w:hyperlink r:id="rId29" w:history="1">
              <w:r w:rsidR="00013924" w:rsidRPr="00216A71">
                <w:rPr>
                  <w:rStyle w:val="Hyperlink"/>
                  <w:rFonts w:cstheme="minorHAnsi"/>
                  <w:szCs w:val="20"/>
                </w:rPr>
                <w:t>PPPs</w:t>
              </w:r>
            </w:hyperlink>
            <w:r w:rsidR="00013924" w:rsidRPr="00216A71">
              <w:rPr>
                <w:rFonts w:cstheme="minorHAnsi"/>
              </w:rPr>
              <w:t xml:space="preserve"> </w:t>
            </w:r>
          </w:p>
        </w:tc>
      </w:tr>
      <w:tr w:rsidR="00013924" w:rsidRPr="00FD5530" w:rsidTr="00062F11">
        <w:tc>
          <w:tcPr>
            <w:tcW w:w="4928" w:type="dxa"/>
            <w:shd w:val="clear" w:color="auto" w:fill="CCC0D9" w:themeFill="accent4" w:themeFillTint="66"/>
          </w:tcPr>
          <w:p w:rsidR="00013924" w:rsidRPr="00216A71" w:rsidRDefault="00013924" w:rsidP="00667C99">
            <w:pPr>
              <w:rPr>
                <w:rFonts w:cstheme="minorHAnsi"/>
              </w:rPr>
            </w:pPr>
            <w:r w:rsidRPr="00216A71">
              <w:rPr>
                <w:rFonts w:cstheme="minorHAnsi"/>
              </w:rPr>
              <w:t>European Investment Bank</w:t>
            </w:r>
          </w:p>
        </w:tc>
        <w:tc>
          <w:tcPr>
            <w:tcW w:w="850" w:type="dxa"/>
          </w:tcPr>
          <w:p w:rsidR="00013924" w:rsidRPr="00216A71" w:rsidRDefault="00013924" w:rsidP="00667C99">
            <w:pPr>
              <w:rPr>
                <w:rFonts w:cstheme="minorHAnsi"/>
              </w:rPr>
            </w:pPr>
            <w:r w:rsidRPr="00216A71">
              <w:rPr>
                <w:rFonts w:cstheme="minorHAnsi"/>
              </w:rPr>
              <w:t>EIB</w:t>
            </w:r>
          </w:p>
        </w:tc>
        <w:tc>
          <w:tcPr>
            <w:tcW w:w="4111" w:type="dxa"/>
          </w:tcPr>
          <w:p w:rsidR="00013924" w:rsidRPr="00216A71" w:rsidRDefault="00A723E5" w:rsidP="00667C99">
            <w:pPr>
              <w:rPr>
                <w:rFonts w:cstheme="minorHAnsi"/>
                <w:lang w:val="fr-FR"/>
              </w:rPr>
            </w:pPr>
            <w:hyperlink r:id="rId30" w:history="1">
              <w:r w:rsidR="00013924" w:rsidRPr="00216A71">
                <w:rPr>
                  <w:rStyle w:val="Hyperlink"/>
                  <w:rFonts w:cstheme="minorHAnsi"/>
                  <w:szCs w:val="20"/>
                  <w:lang w:val="fr-FR"/>
                </w:rPr>
                <w:t>EPEC (European PPP Expertise Centre)</w:t>
              </w:r>
            </w:hyperlink>
          </w:p>
        </w:tc>
      </w:tr>
      <w:tr w:rsidR="00680EC6" w:rsidRPr="00216A71" w:rsidDel="00680EC6" w:rsidTr="00062F11">
        <w:tc>
          <w:tcPr>
            <w:tcW w:w="4928" w:type="dxa"/>
            <w:shd w:val="clear" w:color="auto" w:fill="CCC0D9" w:themeFill="accent4" w:themeFillTint="66"/>
          </w:tcPr>
          <w:p w:rsidR="00680EC6" w:rsidRPr="00216A71" w:rsidDel="00680EC6" w:rsidRDefault="00680EC6" w:rsidP="00667C99">
            <w:pPr>
              <w:rPr>
                <w:rFonts w:cstheme="minorHAnsi"/>
              </w:rPr>
            </w:pPr>
            <w:r w:rsidRPr="00216A71">
              <w:rPr>
                <w:rFonts w:cstheme="minorHAnsi"/>
              </w:rPr>
              <w:t>United Nations Economic Commission for Europe</w:t>
            </w:r>
          </w:p>
        </w:tc>
        <w:tc>
          <w:tcPr>
            <w:tcW w:w="850" w:type="dxa"/>
          </w:tcPr>
          <w:p w:rsidR="00680EC6" w:rsidRPr="00216A71" w:rsidDel="00680EC6" w:rsidRDefault="00680EC6" w:rsidP="00667C99">
            <w:pPr>
              <w:rPr>
                <w:rFonts w:cstheme="minorHAnsi"/>
              </w:rPr>
            </w:pPr>
            <w:r w:rsidRPr="00216A71">
              <w:rPr>
                <w:rFonts w:cstheme="minorHAnsi"/>
              </w:rPr>
              <w:t>UNECE</w:t>
            </w:r>
          </w:p>
        </w:tc>
        <w:tc>
          <w:tcPr>
            <w:tcW w:w="4111" w:type="dxa"/>
          </w:tcPr>
          <w:p w:rsidR="00680EC6" w:rsidRPr="00216A71" w:rsidDel="00680EC6" w:rsidRDefault="00A723E5" w:rsidP="00667C99">
            <w:pPr>
              <w:rPr>
                <w:rFonts w:cstheme="minorHAnsi"/>
              </w:rPr>
            </w:pPr>
            <w:hyperlink r:id="rId31" w:history="1">
              <w:r w:rsidR="00680EC6" w:rsidRPr="00216A71">
                <w:rPr>
                  <w:rStyle w:val="Hyperlink"/>
                  <w:rFonts w:cstheme="minorHAnsi"/>
                </w:rPr>
                <w:t>PPPs</w:t>
              </w:r>
            </w:hyperlink>
            <w:r w:rsidR="00680EC6" w:rsidRPr="00216A71">
              <w:rPr>
                <w:rFonts w:cstheme="minorHAnsi"/>
              </w:rPr>
              <w:t xml:space="preserve"> </w:t>
            </w:r>
          </w:p>
        </w:tc>
      </w:tr>
      <w:tr w:rsidR="00680EC6" w:rsidRPr="00216A71" w:rsidDel="00680EC6" w:rsidTr="00667C99">
        <w:tc>
          <w:tcPr>
            <w:tcW w:w="4928" w:type="dxa"/>
            <w:shd w:val="clear" w:color="auto" w:fill="CCC0D9" w:themeFill="accent4" w:themeFillTint="66"/>
            <w:vAlign w:val="center"/>
          </w:tcPr>
          <w:p w:rsidR="00680EC6" w:rsidRPr="00216A71" w:rsidDel="00680EC6" w:rsidRDefault="00680EC6" w:rsidP="00667C99">
            <w:pPr>
              <w:rPr>
                <w:rFonts w:cstheme="minorHAnsi"/>
              </w:rPr>
            </w:pPr>
            <w:r w:rsidRPr="00216A71">
              <w:rPr>
                <w:rFonts w:cstheme="minorHAnsi"/>
              </w:rPr>
              <w:t>United Nations Development Programme</w:t>
            </w:r>
          </w:p>
        </w:tc>
        <w:tc>
          <w:tcPr>
            <w:tcW w:w="850" w:type="dxa"/>
            <w:vAlign w:val="center"/>
          </w:tcPr>
          <w:p w:rsidR="00680EC6" w:rsidRPr="00216A71" w:rsidDel="00680EC6" w:rsidRDefault="00667C99" w:rsidP="00667C99">
            <w:pPr>
              <w:rPr>
                <w:rFonts w:cstheme="minorHAnsi"/>
              </w:rPr>
            </w:pPr>
            <w:r w:rsidRPr="00216A71">
              <w:rPr>
                <w:rFonts w:cstheme="minorHAnsi"/>
              </w:rPr>
              <w:t>UNDP</w:t>
            </w:r>
          </w:p>
        </w:tc>
        <w:tc>
          <w:tcPr>
            <w:tcW w:w="4111" w:type="dxa"/>
            <w:vAlign w:val="center"/>
          </w:tcPr>
          <w:p w:rsidR="00680EC6" w:rsidRPr="00216A71" w:rsidDel="00680EC6" w:rsidRDefault="00A723E5" w:rsidP="00667C99">
            <w:pPr>
              <w:rPr>
                <w:rFonts w:cstheme="minorHAnsi"/>
              </w:rPr>
            </w:pPr>
            <w:hyperlink r:id="rId32" w:history="1">
              <w:r w:rsidR="00680EC6" w:rsidRPr="00216A71">
                <w:rPr>
                  <w:rStyle w:val="Hyperlink"/>
                  <w:rFonts w:cstheme="minorHAnsi"/>
                </w:rPr>
                <w:t>PPPs for service delivery</w:t>
              </w:r>
            </w:hyperlink>
            <w:r w:rsidR="00680EC6" w:rsidRPr="00216A71">
              <w:rPr>
                <w:rFonts w:cstheme="minorHAnsi"/>
              </w:rPr>
              <w:t xml:space="preserve"> </w:t>
            </w:r>
          </w:p>
        </w:tc>
      </w:tr>
      <w:tr w:rsidR="00013924" w:rsidRPr="00216A71" w:rsidTr="00062F11">
        <w:tc>
          <w:tcPr>
            <w:tcW w:w="4928" w:type="dxa"/>
            <w:shd w:val="clear" w:color="auto" w:fill="CCC0D9" w:themeFill="accent4" w:themeFillTint="66"/>
          </w:tcPr>
          <w:p w:rsidR="00013924" w:rsidRPr="00216A71" w:rsidRDefault="00013924" w:rsidP="00667C99">
            <w:pPr>
              <w:rPr>
                <w:rFonts w:cstheme="minorHAnsi"/>
              </w:rPr>
            </w:pPr>
            <w:r w:rsidRPr="00216A71">
              <w:rPr>
                <w:rFonts w:cstheme="minorHAnsi"/>
              </w:rPr>
              <w:t>World Economic Forum</w:t>
            </w:r>
          </w:p>
        </w:tc>
        <w:tc>
          <w:tcPr>
            <w:tcW w:w="850" w:type="dxa"/>
          </w:tcPr>
          <w:p w:rsidR="00013924" w:rsidRPr="00216A71" w:rsidRDefault="00013924" w:rsidP="00667C99">
            <w:pPr>
              <w:rPr>
                <w:rFonts w:cstheme="minorHAnsi"/>
              </w:rPr>
            </w:pPr>
            <w:r w:rsidRPr="00216A71">
              <w:rPr>
                <w:rFonts w:cstheme="minorHAnsi"/>
              </w:rPr>
              <w:t>WEF</w:t>
            </w:r>
          </w:p>
        </w:tc>
        <w:tc>
          <w:tcPr>
            <w:tcW w:w="4111" w:type="dxa"/>
          </w:tcPr>
          <w:p w:rsidR="00013924" w:rsidRPr="00216A71" w:rsidRDefault="00A723E5" w:rsidP="00667C99">
            <w:pPr>
              <w:rPr>
                <w:rFonts w:cstheme="minorHAnsi"/>
              </w:rPr>
            </w:pPr>
            <w:hyperlink r:id="rId33" w:history="1">
              <w:r w:rsidR="00835BC3" w:rsidRPr="00216A71">
                <w:rPr>
                  <w:rStyle w:val="Hyperlink"/>
                  <w:rFonts w:cstheme="minorHAnsi"/>
                  <w:szCs w:val="20"/>
                </w:rPr>
                <w:t>Strategic PPPs</w:t>
              </w:r>
            </w:hyperlink>
            <w:r w:rsidR="00835BC3" w:rsidRPr="00216A71">
              <w:rPr>
                <w:rFonts w:cstheme="minorHAnsi"/>
              </w:rPr>
              <w:t xml:space="preserve"> </w:t>
            </w:r>
          </w:p>
        </w:tc>
      </w:tr>
      <w:tr w:rsidR="00013924" w:rsidRPr="00216A71" w:rsidTr="00062F11">
        <w:tc>
          <w:tcPr>
            <w:tcW w:w="4928" w:type="dxa"/>
            <w:shd w:val="clear" w:color="auto" w:fill="CCC0D9" w:themeFill="accent4" w:themeFillTint="66"/>
          </w:tcPr>
          <w:p w:rsidR="00013924" w:rsidRPr="00216A71" w:rsidRDefault="00013924" w:rsidP="00667C99">
            <w:pPr>
              <w:rPr>
                <w:rFonts w:cstheme="minorHAnsi"/>
              </w:rPr>
            </w:pPr>
            <w:r w:rsidRPr="00216A71">
              <w:rPr>
                <w:rFonts w:cstheme="minorHAnsi"/>
              </w:rPr>
              <w:t>G20</w:t>
            </w:r>
          </w:p>
        </w:tc>
        <w:tc>
          <w:tcPr>
            <w:tcW w:w="850" w:type="dxa"/>
          </w:tcPr>
          <w:p w:rsidR="00013924" w:rsidRPr="00216A71" w:rsidRDefault="00013924" w:rsidP="00667C99">
            <w:pPr>
              <w:rPr>
                <w:rFonts w:cstheme="minorHAnsi"/>
              </w:rPr>
            </w:pPr>
            <w:r w:rsidRPr="00216A71">
              <w:rPr>
                <w:rFonts w:cstheme="minorHAnsi"/>
              </w:rPr>
              <w:t>G20</w:t>
            </w:r>
          </w:p>
        </w:tc>
        <w:tc>
          <w:tcPr>
            <w:tcW w:w="4111" w:type="dxa"/>
          </w:tcPr>
          <w:p w:rsidR="00013924" w:rsidRPr="00216A71" w:rsidRDefault="00A723E5" w:rsidP="00667C99">
            <w:pPr>
              <w:rPr>
                <w:rFonts w:cstheme="minorHAnsi"/>
              </w:rPr>
            </w:pPr>
            <w:hyperlink r:id="rId34" w:history="1">
              <w:r w:rsidR="007D333E" w:rsidRPr="00216A71">
                <w:rPr>
                  <w:rStyle w:val="Hyperlink"/>
                  <w:rFonts w:cstheme="minorHAnsi"/>
                  <w:szCs w:val="20"/>
                </w:rPr>
                <w:t>Investment and infrastructure</w:t>
              </w:r>
            </w:hyperlink>
            <w:r w:rsidR="007D333E" w:rsidRPr="00216A71">
              <w:rPr>
                <w:rFonts w:cstheme="minorHAnsi"/>
              </w:rPr>
              <w:t xml:space="preserve"> </w:t>
            </w:r>
          </w:p>
        </w:tc>
      </w:tr>
      <w:tr w:rsidR="00013924" w:rsidRPr="00216A71" w:rsidTr="00062F11">
        <w:tc>
          <w:tcPr>
            <w:tcW w:w="4928" w:type="dxa"/>
            <w:shd w:val="clear" w:color="auto" w:fill="CCC0D9" w:themeFill="accent4" w:themeFillTint="66"/>
          </w:tcPr>
          <w:p w:rsidR="00013924" w:rsidRPr="00216A71" w:rsidRDefault="00013924" w:rsidP="00062F11">
            <w:pPr>
              <w:rPr>
                <w:rFonts w:cstheme="minorHAnsi"/>
              </w:rPr>
            </w:pPr>
            <w:r w:rsidRPr="00216A71">
              <w:rPr>
                <w:rFonts w:cstheme="minorHAnsi"/>
              </w:rPr>
              <w:t>OECD</w:t>
            </w:r>
          </w:p>
        </w:tc>
        <w:tc>
          <w:tcPr>
            <w:tcW w:w="850" w:type="dxa"/>
          </w:tcPr>
          <w:p w:rsidR="00013924" w:rsidRPr="00216A71" w:rsidRDefault="00013924" w:rsidP="00062F11">
            <w:pPr>
              <w:rPr>
                <w:rFonts w:cstheme="minorHAnsi"/>
              </w:rPr>
            </w:pPr>
            <w:r w:rsidRPr="00216A71">
              <w:rPr>
                <w:rFonts w:cstheme="minorHAnsi"/>
              </w:rPr>
              <w:t>OECD</w:t>
            </w:r>
          </w:p>
        </w:tc>
        <w:tc>
          <w:tcPr>
            <w:tcW w:w="4111" w:type="dxa"/>
          </w:tcPr>
          <w:p w:rsidR="00013924" w:rsidRPr="00216A71" w:rsidRDefault="00A723E5" w:rsidP="00667C99">
            <w:pPr>
              <w:rPr>
                <w:rFonts w:cstheme="minorHAnsi"/>
                <w:lang w:val="fr-FR"/>
              </w:rPr>
            </w:pPr>
            <w:hyperlink r:id="rId35" w:history="1">
              <w:r w:rsidR="007D333E" w:rsidRPr="00216A71">
                <w:rPr>
                  <w:rStyle w:val="Hyperlink"/>
                  <w:rFonts w:cstheme="minorHAnsi"/>
                  <w:szCs w:val="20"/>
                  <w:lang w:val="fr-FR"/>
                </w:rPr>
                <w:t>Network</w:t>
              </w:r>
            </w:hyperlink>
            <w:r w:rsidR="009970FD" w:rsidRPr="00216A71">
              <w:rPr>
                <w:rFonts w:cstheme="minorHAnsi"/>
                <w:lang w:val="fr-FR"/>
              </w:rPr>
              <w:t xml:space="preserve">; </w:t>
            </w:r>
            <w:hyperlink r:id="rId36" w:history="1">
              <w:r w:rsidR="009970FD" w:rsidRPr="00216A71">
                <w:rPr>
                  <w:rStyle w:val="Hyperlink"/>
                  <w:rFonts w:cstheme="minorHAnsi"/>
                  <w:szCs w:val="20"/>
                  <w:lang w:val="fr-FR"/>
                </w:rPr>
                <w:t>Principles</w:t>
              </w:r>
            </w:hyperlink>
          </w:p>
        </w:tc>
      </w:tr>
      <w:tr w:rsidR="00013924" w:rsidRPr="00FD5530" w:rsidTr="00062F11">
        <w:tc>
          <w:tcPr>
            <w:tcW w:w="4928" w:type="dxa"/>
            <w:shd w:val="clear" w:color="auto" w:fill="CCC0D9" w:themeFill="accent4" w:themeFillTint="66"/>
          </w:tcPr>
          <w:p w:rsidR="00013924" w:rsidRPr="00216A71" w:rsidRDefault="00013924" w:rsidP="00667C99">
            <w:pPr>
              <w:rPr>
                <w:rFonts w:cstheme="minorHAnsi"/>
              </w:rPr>
            </w:pPr>
            <w:r w:rsidRPr="00216A71">
              <w:rPr>
                <w:rFonts w:cstheme="minorHAnsi"/>
              </w:rPr>
              <w:t>Consultants</w:t>
            </w:r>
          </w:p>
        </w:tc>
        <w:tc>
          <w:tcPr>
            <w:tcW w:w="850" w:type="dxa"/>
          </w:tcPr>
          <w:p w:rsidR="00013924" w:rsidRPr="00216A71" w:rsidRDefault="00013924" w:rsidP="00667C99">
            <w:pPr>
              <w:rPr>
                <w:rFonts w:cstheme="minorHAnsi"/>
              </w:rPr>
            </w:pPr>
          </w:p>
        </w:tc>
        <w:tc>
          <w:tcPr>
            <w:tcW w:w="4111" w:type="dxa"/>
          </w:tcPr>
          <w:p w:rsidR="00013924" w:rsidRPr="00216A71" w:rsidRDefault="00EC4A5D" w:rsidP="00667C99">
            <w:pPr>
              <w:rPr>
                <w:rFonts w:cstheme="minorHAnsi"/>
                <w:lang w:val="es-ES_tradnl"/>
              </w:rPr>
            </w:pPr>
            <w:r w:rsidRPr="00216A71">
              <w:rPr>
                <w:rFonts w:cstheme="minorHAnsi"/>
                <w:lang w:val="es-ES_tradnl"/>
              </w:rPr>
              <w:t>McKinsey, PWC, Deloitte</w:t>
            </w:r>
            <w:r w:rsidR="00013924" w:rsidRPr="00216A71">
              <w:rPr>
                <w:rFonts w:cstheme="minorHAnsi"/>
                <w:lang w:val="es-ES_tradnl"/>
              </w:rPr>
              <w:t>, KPMG, E&amp;Y etc</w:t>
            </w:r>
          </w:p>
        </w:tc>
      </w:tr>
    </w:tbl>
    <w:p w:rsidR="0029090A" w:rsidRPr="00216A71" w:rsidRDefault="0029090A" w:rsidP="0029090A">
      <w:pPr>
        <w:pStyle w:val="Heading2"/>
        <w:rPr>
          <w:rFonts w:asciiTheme="minorHAnsi" w:hAnsiTheme="minorHAnsi" w:cstheme="minorHAnsi"/>
          <w:szCs w:val="20"/>
        </w:rPr>
      </w:pPr>
      <w:bookmarkStart w:id="13" w:name="_Toc392857525"/>
      <w:r w:rsidRPr="00216A71">
        <w:rPr>
          <w:rFonts w:asciiTheme="minorHAnsi" w:hAnsiTheme="minorHAnsi" w:cstheme="minorHAnsi"/>
          <w:szCs w:val="20"/>
        </w:rPr>
        <w:t>IFIs</w:t>
      </w:r>
      <w:bookmarkEnd w:id="13"/>
      <w:r w:rsidR="00EC45B4" w:rsidRPr="00216A71">
        <w:rPr>
          <w:rFonts w:asciiTheme="minorHAnsi" w:hAnsiTheme="minorHAnsi" w:cstheme="minorHAnsi"/>
          <w:szCs w:val="20"/>
        </w:rPr>
        <w:t xml:space="preserve"> </w:t>
      </w:r>
    </w:p>
    <w:p w:rsidR="00EE4D0C" w:rsidRPr="00216A71" w:rsidRDefault="0029090A" w:rsidP="0029090A">
      <w:pPr>
        <w:rPr>
          <w:rFonts w:cstheme="minorHAnsi"/>
          <w:szCs w:val="20"/>
        </w:rPr>
      </w:pPr>
      <w:r w:rsidRPr="00216A71">
        <w:rPr>
          <w:rFonts w:cstheme="minorHAnsi"/>
          <w:szCs w:val="20"/>
        </w:rPr>
        <w:t xml:space="preserve">The role of </w:t>
      </w:r>
      <w:r w:rsidR="001A1435">
        <w:rPr>
          <w:rFonts w:cstheme="minorHAnsi"/>
          <w:szCs w:val="20"/>
        </w:rPr>
        <w:t>international financial institutions (</w:t>
      </w:r>
      <w:r w:rsidRPr="00216A71">
        <w:rPr>
          <w:rFonts w:cstheme="minorHAnsi"/>
          <w:szCs w:val="20"/>
        </w:rPr>
        <w:t>IFIs</w:t>
      </w:r>
      <w:r w:rsidR="001A1435">
        <w:rPr>
          <w:rFonts w:cstheme="minorHAnsi"/>
          <w:szCs w:val="20"/>
        </w:rPr>
        <w:t>)</w:t>
      </w:r>
      <w:r w:rsidRPr="00216A71">
        <w:rPr>
          <w:rFonts w:cstheme="minorHAnsi"/>
          <w:szCs w:val="20"/>
        </w:rPr>
        <w:t xml:space="preserve"> is crucial for PPPs financially.</w:t>
      </w:r>
      <w:r w:rsidR="004045AD">
        <w:rPr>
          <w:rFonts w:cstheme="minorHAnsi"/>
          <w:szCs w:val="20"/>
        </w:rPr>
        <w:t xml:space="preserve"> </w:t>
      </w:r>
      <w:r w:rsidR="00943D63" w:rsidRPr="00216A71">
        <w:rPr>
          <w:rFonts w:cstheme="minorHAnsi"/>
          <w:szCs w:val="20"/>
        </w:rPr>
        <w:t>They lend money at the low rates which public sector bodies can obtain, for projects which commercial banks would not finance. A high proportion of all PPPs rely on such loans. Many of these loans now go directly to private companies, which represents a much higher proportion of IFI loans.</w:t>
      </w:r>
    </w:p>
    <w:p w:rsidR="00EE4D0C" w:rsidRPr="00216A71" w:rsidRDefault="00EE4D0C" w:rsidP="00EE4D0C">
      <w:pPr>
        <w:pStyle w:val="Heading7"/>
        <w:rPr>
          <w:rFonts w:asciiTheme="minorHAnsi" w:hAnsiTheme="minorHAnsi" w:cstheme="minorHAnsi"/>
          <w:szCs w:val="20"/>
        </w:rPr>
      </w:pPr>
      <w:r w:rsidRPr="00216A71">
        <w:rPr>
          <w:rFonts w:asciiTheme="minorHAnsi" w:hAnsiTheme="minorHAnsi" w:cstheme="minorHAnsi"/>
          <w:szCs w:val="20"/>
        </w:rPr>
        <w:t>Development bank lending to private sector</w:t>
      </w:r>
    </w:p>
    <w:p w:rsidR="00EE4D0C" w:rsidRPr="00216A71" w:rsidRDefault="00EE4D0C" w:rsidP="00EE4D0C">
      <w:pPr>
        <w:rPr>
          <w:rFonts w:cstheme="minorHAnsi"/>
          <w:szCs w:val="20"/>
        </w:rPr>
      </w:pPr>
      <w:r w:rsidRPr="00216A71">
        <w:rPr>
          <w:rFonts w:cstheme="minorHAnsi"/>
          <w:noProof/>
          <w:szCs w:val="20"/>
          <w:lang w:eastAsia="en-GB"/>
        </w:rPr>
        <w:lastRenderedPageBreak/>
        <w:drawing>
          <wp:inline distT="0" distB="0" distL="0" distR="0" wp14:anchorId="09361538" wp14:editId="7AD8AC61">
            <wp:extent cx="5917535" cy="294090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7956" cy="2941117"/>
                    </a:xfrm>
                    <a:prstGeom prst="rect">
                      <a:avLst/>
                    </a:prstGeom>
                    <a:noFill/>
                    <a:ln>
                      <a:noFill/>
                    </a:ln>
                  </pic:spPr>
                </pic:pic>
              </a:graphicData>
            </a:graphic>
          </wp:inline>
        </w:drawing>
      </w:r>
    </w:p>
    <w:p w:rsidR="000C629A" w:rsidRDefault="00EE4D0C" w:rsidP="00B46BF2">
      <w:pPr>
        <w:autoSpaceDE w:val="0"/>
        <w:autoSpaceDN w:val="0"/>
        <w:adjustRightInd w:val="0"/>
        <w:rPr>
          <w:rFonts w:cstheme="minorHAnsi"/>
          <w:szCs w:val="20"/>
        </w:rPr>
      </w:pPr>
      <w:r w:rsidRPr="00216A71">
        <w:rPr>
          <w:rFonts w:eastAsiaTheme="minorEastAsia" w:cstheme="minorHAnsi"/>
          <w:szCs w:val="20"/>
        </w:rPr>
        <w:t>Source: Perry</w:t>
      </w:r>
      <w:r w:rsidR="00667C99" w:rsidRPr="00216A71">
        <w:rPr>
          <w:rFonts w:eastAsiaTheme="minorEastAsia" w:cstheme="minorHAnsi"/>
          <w:szCs w:val="20"/>
        </w:rPr>
        <w:t xml:space="preserve"> 2011</w:t>
      </w:r>
      <w:r w:rsidR="00667C99" w:rsidRPr="00216A71">
        <w:rPr>
          <w:rStyle w:val="EndnoteReference"/>
          <w:rFonts w:eastAsiaTheme="minorEastAsia" w:cstheme="minorHAnsi"/>
          <w:szCs w:val="20"/>
        </w:rPr>
        <w:endnoteReference w:id="33"/>
      </w:r>
      <w:r w:rsidRPr="00216A71">
        <w:rPr>
          <w:rFonts w:eastAsiaTheme="minorEastAsia" w:cstheme="minorHAnsi"/>
          <w:szCs w:val="20"/>
        </w:rPr>
        <w:t>.</w:t>
      </w:r>
      <w:r w:rsidR="004045AD">
        <w:rPr>
          <w:rFonts w:eastAsiaTheme="minorEastAsia" w:cstheme="minorHAnsi"/>
          <w:szCs w:val="20"/>
        </w:rPr>
        <w:t xml:space="preserve"> </w:t>
      </w:r>
    </w:p>
    <w:p w:rsidR="00E16011" w:rsidRPr="00216A71" w:rsidRDefault="0029090A" w:rsidP="0029090A">
      <w:pPr>
        <w:pStyle w:val="Heading3"/>
        <w:rPr>
          <w:rFonts w:asciiTheme="minorHAnsi" w:hAnsiTheme="minorHAnsi" w:cstheme="minorHAnsi"/>
          <w:szCs w:val="20"/>
        </w:rPr>
      </w:pPr>
      <w:r w:rsidRPr="00216A71">
        <w:rPr>
          <w:rFonts w:asciiTheme="minorHAnsi" w:hAnsiTheme="minorHAnsi" w:cstheme="minorHAnsi"/>
          <w:szCs w:val="20"/>
        </w:rPr>
        <w:t>World Bank</w:t>
      </w:r>
    </w:p>
    <w:p w:rsidR="000C629A" w:rsidRDefault="004E07F6" w:rsidP="00E16011">
      <w:pPr>
        <w:rPr>
          <w:rFonts w:cstheme="minorHAnsi"/>
          <w:szCs w:val="20"/>
        </w:rPr>
      </w:pPr>
      <w:r w:rsidRPr="00216A71">
        <w:rPr>
          <w:rFonts w:cstheme="minorHAnsi"/>
          <w:szCs w:val="20"/>
        </w:rPr>
        <w:t>The World Bank plays the same role as it did in relation to privatisation</w:t>
      </w:r>
      <w:r w:rsidR="001A1D84" w:rsidRPr="00216A71">
        <w:rPr>
          <w:rFonts w:cstheme="minorHAnsi"/>
          <w:szCs w:val="20"/>
        </w:rPr>
        <w:t>. The most direct is by applying conditionalities to its projects, so that money is made available for infrastructure only if governments use PPPs. There are currently 26 active projects worth over $4.1 billion which include some form of PPP.</w:t>
      </w:r>
    </w:p>
    <w:p w:rsidR="000C629A" w:rsidRDefault="00943D63" w:rsidP="00EC45B4">
      <w:pPr>
        <w:rPr>
          <w:rFonts w:cstheme="minorHAnsi"/>
          <w:szCs w:val="20"/>
        </w:rPr>
      </w:pPr>
      <w:r w:rsidRPr="00216A71">
        <w:rPr>
          <w:rFonts w:cstheme="minorHAnsi"/>
          <w:szCs w:val="20"/>
        </w:rPr>
        <w:t>It also publishes a stream of reports, and organis</w:t>
      </w:r>
      <w:r w:rsidR="00772CE5" w:rsidRPr="00216A71">
        <w:rPr>
          <w:rFonts w:cstheme="minorHAnsi"/>
          <w:szCs w:val="20"/>
        </w:rPr>
        <w:t>es</w:t>
      </w:r>
      <w:r w:rsidRPr="00216A71">
        <w:rPr>
          <w:rFonts w:cstheme="minorHAnsi"/>
          <w:szCs w:val="20"/>
        </w:rPr>
        <w:t xml:space="preserve"> conferences promoting PPPs. </w:t>
      </w:r>
      <w:r w:rsidR="00123E59" w:rsidRPr="00216A71">
        <w:rPr>
          <w:rFonts w:cstheme="minorHAnsi"/>
          <w:szCs w:val="20"/>
        </w:rPr>
        <w:t xml:space="preserve">It </w:t>
      </w:r>
      <w:r w:rsidR="00EC45B4" w:rsidRPr="00216A71">
        <w:rPr>
          <w:rFonts w:cstheme="minorHAnsi"/>
          <w:szCs w:val="20"/>
        </w:rPr>
        <w:t>l</w:t>
      </w:r>
      <w:r w:rsidR="00123E59" w:rsidRPr="00216A71">
        <w:rPr>
          <w:rFonts w:cstheme="minorHAnsi"/>
          <w:szCs w:val="20"/>
        </w:rPr>
        <w:t xml:space="preserve">ed the production of </w:t>
      </w:r>
      <w:r w:rsidR="00EC45B4" w:rsidRPr="00216A71">
        <w:rPr>
          <w:rFonts w:cstheme="minorHAnsi"/>
          <w:szCs w:val="20"/>
        </w:rPr>
        <w:t>the</w:t>
      </w:r>
      <w:r w:rsidR="00123E59" w:rsidRPr="00216A71">
        <w:rPr>
          <w:rFonts w:cstheme="minorHAnsi"/>
          <w:szCs w:val="20"/>
        </w:rPr>
        <w:t xml:space="preserve"> </w:t>
      </w:r>
      <w:hyperlink r:id="rId38" w:history="1">
        <w:r w:rsidR="00123E59" w:rsidRPr="00216A71">
          <w:rPr>
            <w:rStyle w:val="Hyperlink"/>
            <w:rFonts w:cstheme="minorHAnsi"/>
            <w:szCs w:val="20"/>
          </w:rPr>
          <w:t>report on financing investment for the 2013 G20 summit</w:t>
        </w:r>
      </w:hyperlink>
      <w:r w:rsidR="00123E59" w:rsidRPr="00216A71">
        <w:rPr>
          <w:rFonts w:cstheme="minorHAnsi"/>
          <w:szCs w:val="20"/>
        </w:rPr>
        <w:t xml:space="preserve"> </w:t>
      </w:r>
      <w:r w:rsidR="00EC45B4" w:rsidRPr="00216A71">
        <w:rPr>
          <w:rFonts w:cstheme="minorHAnsi"/>
          <w:szCs w:val="20"/>
        </w:rPr>
        <w:t>(with inputs from the IMF, OECD, UNCTAD)</w:t>
      </w:r>
      <w:r w:rsidR="00123E59" w:rsidRPr="00216A71">
        <w:rPr>
          <w:rFonts w:cstheme="minorHAnsi"/>
          <w:szCs w:val="20"/>
        </w:rPr>
        <w:t xml:space="preserve"> which emphasised the importance of PPPs and the need to support them with public guarantees and subsidies</w:t>
      </w:r>
      <w:r w:rsidR="00EC45B4" w:rsidRPr="00216A71">
        <w:rPr>
          <w:rFonts w:cstheme="minorHAnsi"/>
          <w:szCs w:val="20"/>
        </w:rPr>
        <w:t xml:space="preserve">: </w:t>
      </w:r>
    </w:p>
    <w:p w:rsidR="000C629A" w:rsidRDefault="00EC45B4" w:rsidP="00EC45B4">
      <w:pPr>
        <w:ind w:left="720"/>
        <w:rPr>
          <w:rFonts w:cstheme="minorHAnsi"/>
          <w:szCs w:val="20"/>
        </w:rPr>
      </w:pPr>
      <w:r w:rsidRPr="00216A71">
        <w:rPr>
          <w:rFonts w:cstheme="minorHAnsi"/>
          <w:szCs w:val="20"/>
        </w:rPr>
        <w:t>“To interest private investors in infrastructure</w:t>
      </w:r>
      <w:r w:rsidR="004045AD">
        <w:rPr>
          <w:rFonts w:cstheme="minorHAnsi"/>
          <w:szCs w:val="20"/>
        </w:rPr>
        <w:t xml:space="preserve"> </w:t>
      </w:r>
      <w:r w:rsidRPr="00216A71">
        <w:rPr>
          <w:rFonts w:cstheme="minorHAnsi"/>
          <w:szCs w:val="20"/>
        </w:rPr>
        <w:t>projects may require closing the financial viability gap between costs and expected revenues, using public resources complemented by legislative and institutional provisions supporting private financing of infrastructure.”</w:t>
      </w:r>
    </w:p>
    <w:p w:rsidR="005D08F6" w:rsidRPr="00216A71" w:rsidRDefault="00123E59" w:rsidP="00943D63">
      <w:pPr>
        <w:rPr>
          <w:rFonts w:cstheme="minorHAnsi"/>
          <w:szCs w:val="20"/>
        </w:rPr>
      </w:pPr>
      <w:r w:rsidRPr="00216A71">
        <w:rPr>
          <w:rFonts w:cstheme="minorHAnsi"/>
          <w:szCs w:val="20"/>
        </w:rPr>
        <w:t xml:space="preserve">The World Bank again produced </w:t>
      </w:r>
      <w:r w:rsidR="00B46BF2" w:rsidRPr="00216A71">
        <w:rPr>
          <w:rFonts w:cstheme="minorHAnsi"/>
          <w:szCs w:val="20"/>
        </w:rPr>
        <w:t xml:space="preserve">the central economic </w:t>
      </w:r>
      <w:hyperlink r:id="rId39" w:history="1">
        <w:r w:rsidR="00B46BF2" w:rsidRPr="00216A71">
          <w:rPr>
            <w:rStyle w:val="Hyperlink"/>
            <w:rFonts w:cstheme="minorHAnsi"/>
            <w:szCs w:val="20"/>
          </w:rPr>
          <w:t>policy report for the UN post-2015 agenda</w:t>
        </w:r>
      </w:hyperlink>
      <w:r w:rsidR="00B46BF2" w:rsidRPr="00216A71">
        <w:rPr>
          <w:rFonts w:cstheme="minorHAnsi"/>
          <w:szCs w:val="20"/>
        </w:rPr>
        <w:t xml:space="preserve"> , which has an entire section devoted to private finance, </w:t>
      </w:r>
      <w:r w:rsidR="00EC45B4" w:rsidRPr="00216A71">
        <w:rPr>
          <w:rFonts w:cstheme="minorHAnsi"/>
          <w:szCs w:val="20"/>
        </w:rPr>
        <w:t>calling for</w:t>
      </w:r>
      <w:r w:rsidR="00B46BF2" w:rsidRPr="00216A71">
        <w:rPr>
          <w:rFonts w:cstheme="minorHAnsi"/>
          <w:szCs w:val="20"/>
        </w:rPr>
        <w:t xml:space="preserve"> “</w:t>
      </w:r>
      <w:r w:rsidR="00EC45B4" w:rsidRPr="00216A71">
        <w:rPr>
          <w:rFonts w:cstheme="minorHAnsi"/>
          <w:szCs w:val="20"/>
        </w:rPr>
        <w:t>m</w:t>
      </w:r>
      <w:r w:rsidR="00B46BF2" w:rsidRPr="00216A71">
        <w:rPr>
          <w:rFonts w:cstheme="minorHAnsi"/>
          <w:szCs w:val="20"/>
        </w:rPr>
        <w:t>ainstreaming the use of guarantees and risk insurance</w:t>
      </w:r>
      <w:r w:rsidR="001A1435">
        <w:rPr>
          <w:rFonts w:cstheme="minorHAnsi"/>
          <w:szCs w:val="20"/>
        </w:rPr>
        <w:t>.</w:t>
      </w:r>
      <w:r w:rsidR="00B46BF2" w:rsidRPr="00216A71">
        <w:rPr>
          <w:rFonts w:cstheme="minorHAnsi"/>
          <w:szCs w:val="20"/>
        </w:rPr>
        <w:t>”</w:t>
      </w:r>
      <w:r w:rsidR="00B46BF2" w:rsidRPr="00216A71">
        <w:rPr>
          <w:rStyle w:val="EndnoteReference"/>
          <w:rFonts w:cstheme="minorHAnsi"/>
          <w:szCs w:val="20"/>
        </w:rPr>
        <w:endnoteReference w:id="34"/>
      </w:r>
      <w:r w:rsidR="004045AD">
        <w:rPr>
          <w:rFonts w:cstheme="minorHAnsi"/>
          <w:szCs w:val="20"/>
        </w:rPr>
        <w:t xml:space="preserve"> </w:t>
      </w:r>
      <w:r w:rsidR="00943D63" w:rsidRPr="00216A71">
        <w:rPr>
          <w:rFonts w:cstheme="minorHAnsi"/>
          <w:szCs w:val="20"/>
        </w:rPr>
        <w:t xml:space="preserve">It also maintains a </w:t>
      </w:r>
      <w:hyperlink r:id="rId40" w:history="1">
        <w:r w:rsidR="00943D63" w:rsidRPr="00216A71">
          <w:rPr>
            <w:rStyle w:val="Hyperlink"/>
            <w:rFonts w:cstheme="minorHAnsi"/>
            <w:szCs w:val="20"/>
          </w:rPr>
          <w:t>database on PPPs and privatisation in infrastructure</w:t>
        </w:r>
      </w:hyperlink>
      <w:r w:rsidR="00943D63" w:rsidRPr="00216A71">
        <w:rPr>
          <w:rFonts w:cstheme="minorHAnsi"/>
          <w:szCs w:val="20"/>
        </w:rPr>
        <w:t>, which is widely referenced, although it exaggerates the r</w:t>
      </w:r>
      <w:r w:rsidR="008F1153" w:rsidRPr="00216A71">
        <w:rPr>
          <w:rFonts w:cstheme="minorHAnsi"/>
          <w:szCs w:val="20"/>
        </w:rPr>
        <w:t>ole of the private sector by re</w:t>
      </w:r>
      <w:r w:rsidR="00943D63" w:rsidRPr="00216A71">
        <w:rPr>
          <w:rFonts w:cstheme="minorHAnsi"/>
          <w:szCs w:val="20"/>
        </w:rPr>
        <w:t>cording ‘promises’ as actual investments.</w:t>
      </w:r>
    </w:p>
    <w:p w:rsidR="005D08F6" w:rsidRPr="00216A71" w:rsidRDefault="005D08F6">
      <w:pPr>
        <w:rPr>
          <w:rFonts w:cstheme="minorHAnsi"/>
          <w:szCs w:val="20"/>
        </w:rPr>
      </w:pPr>
      <w:r w:rsidRPr="00216A71">
        <w:rPr>
          <w:rFonts w:cstheme="minorHAnsi"/>
          <w:szCs w:val="20"/>
        </w:rPr>
        <w:br w:type="page"/>
      </w:r>
    </w:p>
    <w:p w:rsidR="00943D63" w:rsidRPr="00216A71" w:rsidRDefault="00943D63">
      <w:pPr>
        <w:pStyle w:val="Heading7"/>
        <w:rPr>
          <w:rFonts w:asciiTheme="minorHAnsi" w:hAnsiTheme="minorHAnsi" w:cstheme="minorHAnsi"/>
        </w:rPr>
      </w:pPr>
      <w:r w:rsidRPr="00216A71">
        <w:rPr>
          <w:rFonts w:asciiTheme="minorHAnsi" w:hAnsiTheme="minorHAnsi" w:cstheme="minorHAnsi"/>
        </w:rPr>
        <w:lastRenderedPageBreak/>
        <w:t xml:space="preserve">World Bank </w:t>
      </w:r>
      <w:r w:rsidR="007D6101" w:rsidRPr="00216A71">
        <w:rPr>
          <w:rFonts w:asciiTheme="minorHAnsi" w:hAnsiTheme="minorHAnsi" w:cstheme="minorHAnsi"/>
        </w:rPr>
        <w:t xml:space="preserve">active </w:t>
      </w:r>
      <w:r w:rsidRPr="00216A71">
        <w:rPr>
          <w:rFonts w:asciiTheme="minorHAnsi" w:hAnsiTheme="minorHAnsi" w:cstheme="minorHAnsi"/>
        </w:rPr>
        <w:t xml:space="preserve">projects </w:t>
      </w:r>
      <w:r w:rsidR="007D6101" w:rsidRPr="00216A71">
        <w:rPr>
          <w:rFonts w:asciiTheme="minorHAnsi" w:hAnsiTheme="minorHAnsi" w:cstheme="minorHAnsi"/>
        </w:rPr>
        <w:t>with</w:t>
      </w:r>
      <w:r w:rsidRPr="00216A71">
        <w:rPr>
          <w:rFonts w:asciiTheme="minorHAnsi" w:hAnsiTheme="minorHAnsi" w:cstheme="minorHAnsi"/>
        </w:rPr>
        <w:t xml:space="preserve"> PPPs</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276"/>
        <w:gridCol w:w="992"/>
        <w:gridCol w:w="4813"/>
        <w:gridCol w:w="999"/>
        <w:gridCol w:w="850"/>
      </w:tblGrid>
      <w:tr w:rsidR="000D1F79" w:rsidRPr="00216A71" w:rsidTr="00667C99">
        <w:trPr>
          <w:trHeight w:val="255"/>
        </w:trPr>
        <w:tc>
          <w:tcPr>
            <w:tcW w:w="724" w:type="dxa"/>
            <w:vAlign w:val="center"/>
          </w:tcPr>
          <w:p w:rsidR="00DE65B5" w:rsidRPr="00216A71" w:rsidRDefault="00DE65B5" w:rsidP="000D1F79">
            <w:pPr>
              <w:rPr>
                <w:rFonts w:cstheme="minorHAnsi"/>
                <w:b/>
                <w:bCs/>
                <w:color w:val="0000FF"/>
                <w:sz w:val="18"/>
                <w:szCs w:val="18"/>
              </w:rPr>
            </w:pPr>
            <w:r w:rsidRPr="00216A71">
              <w:rPr>
                <w:rFonts w:cstheme="minorHAnsi"/>
                <w:b/>
                <w:bCs/>
                <w:color w:val="0000FF"/>
                <w:sz w:val="18"/>
                <w:szCs w:val="18"/>
              </w:rPr>
              <w:t>App</w:t>
            </w:r>
            <w:r w:rsidR="00EE3EDC" w:rsidRPr="00216A71">
              <w:rPr>
                <w:rFonts w:cstheme="minorHAnsi"/>
                <w:b/>
                <w:bCs/>
                <w:color w:val="0000FF"/>
                <w:sz w:val="18"/>
                <w:szCs w:val="18"/>
              </w:rPr>
              <w:t>-</w:t>
            </w:r>
            <w:r w:rsidRPr="00216A71">
              <w:rPr>
                <w:rFonts w:cstheme="minorHAnsi"/>
                <w:b/>
                <w:bCs/>
                <w:color w:val="0000FF"/>
                <w:sz w:val="18"/>
                <w:szCs w:val="18"/>
              </w:rPr>
              <w:t>roved</w:t>
            </w:r>
          </w:p>
        </w:tc>
        <w:tc>
          <w:tcPr>
            <w:tcW w:w="1276" w:type="dxa"/>
            <w:shd w:val="clear" w:color="auto" w:fill="auto"/>
            <w:noWrap/>
            <w:vAlign w:val="center"/>
            <w:hideMark/>
          </w:tcPr>
          <w:p w:rsidR="00DE65B5" w:rsidRPr="00216A71" w:rsidRDefault="00DE65B5" w:rsidP="000D1F79">
            <w:pPr>
              <w:rPr>
                <w:rFonts w:cstheme="minorHAnsi"/>
                <w:b/>
                <w:bCs/>
                <w:color w:val="0000FF"/>
                <w:sz w:val="18"/>
                <w:szCs w:val="18"/>
              </w:rPr>
            </w:pPr>
            <w:r w:rsidRPr="00216A71">
              <w:rPr>
                <w:rFonts w:cstheme="minorHAnsi"/>
                <w:b/>
                <w:bCs/>
                <w:color w:val="0000FF"/>
                <w:sz w:val="18"/>
                <w:szCs w:val="18"/>
              </w:rPr>
              <w:t>Country</w:t>
            </w:r>
          </w:p>
        </w:tc>
        <w:tc>
          <w:tcPr>
            <w:tcW w:w="992" w:type="dxa"/>
            <w:vAlign w:val="center"/>
          </w:tcPr>
          <w:p w:rsidR="00DE65B5" w:rsidRPr="00216A71" w:rsidRDefault="00DE65B5" w:rsidP="000D1F79">
            <w:pPr>
              <w:rPr>
                <w:rFonts w:cstheme="minorHAnsi"/>
                <w:b/>
                <w:bCs/>
                <w:color w:val="0000FF"/>
                <w:sz w:val="18"/>
                <w:szCs w:val="18"/>
              </w:rPr>
            </w:pPr>
            <w:r w:rsidRPr="00216A71">
              <w:rPr>
                <w:rFonts w:cstheme="minorHAnsi"/>
                <w:b/>
                <w:bCs/>
                <w:color w:val="0000FF"/>
                <w:sz w:val="18"/>
                <w:szCs w:val="18"/>
              </w:rPr>
              <w:t>Sector</w:t>
            </w:r>
          </w:p>
        </w:tc>
        <w:tc>
          <w:tcPr>
            <w:tcW w:w="4813" w:type="dxa"/>
            <w:vAlign w:val="center"/>
          </w:tcPr>
          <w:p w:rsidR="00DE65B5" w:rsidRPr="00216A71" w:rsidRDefault="00DE65B5" w:rsidP="00DE65B5">
            <w:pPr>
              <w:rPr>
                <w:rFonts w:cstheme="minorHAnsi"/>
                <w:b/>
                <w:bCs/>
                <w:color w:val="0000FF"/>
                <w:sz w:val="18"/>
                <w:szCs w:val="18"/>
              </w:rPr>
            </w:pPr>
            <w:r w:rsidRPr="00216A71">
              <w:rPr>
                <w:rFonts w:cstheme="minorHAnsi"/>
                <w:b/>
                <w:bCs/>
                <w:color w:val="0000FF"/>
                <w:sz w:val="18"/>
                <w:szCs w:val="18"/>
              </w:rPr>
              <w:t>Project Title</w:t>
            </w:r>
          </w:p>
        </w:tc>
        <w:tc>
          <w:tcPr>
            <w:tcW w:w="999" w:type="dxa"/>
            <w:shd w:val="clear" w:color="auto" w:fill="auto"/>
            <w:noWrap/>
            <w:vAlign w:val="center"/>
            <w:hideMark/>
          </w:tcPr>
          <w:p w:rsidR="00DE65B5" w:rsidRPr="00216A71" w:rsidRDefault="00DE65B5" w:rsidP="000D1F79">
            <w:pPr>
              <w:rPr>
                <w:rFonts w:cstheme="minorHAnsi"/>
                <w:b/>
                <w:bCs/>
                <w:color w:val="0000FF"/>
                <w:sz w:val="18"/>
                <w:szCs w:val="18"/>
              </w:rPr>
            </w:pPr>
            <w:r w:rsidRPr="00216A71">
              <w:rPr>
                <w:rFonts w:cstheme="minorHAnsi"/>
                <w:b/>
                <w:bCs/>
                <w:color w:val="0000FF"/>
                <w:sz w:val="18"/>
                <w:szCs w:val="18"/>
              </w:rPr>
              <w:t>Project ID</w:t>
            </w:r>
          </w:p>
        </w:tc>
        <w:tc>
          <w:tcPr>
            <w:tcW w:w="850" w:type="dxa"/>
            <w:shd w:val="clear" w:color="auto" w:fill="auto"/>
            <w:noWrap/>
            <w:vAlign w:val="center"/>
            <w:hideMark/>
          </w:tcPr>
          <w:p w:rsidR="00DE65B5" w:rsidRPr="00216A71" w:rsidRDefault="00DE65B5" w:rsidP="00667C99">
            <w:pPr>
              <w:jc w:val="right"/>
              <w:rPr>
                <w:rFonts w:cstheme="minorHAnsi"/>
                <w:b/>
                <w:bCs/>
                <w:color w:val="0000FF"/>
                <w:sz w:val="18"/>
                <w:szCs w:val="18"/>
              </w:rPr>
            </w:pPr>
            <w:r w:rsidRPr="00216A71">
              <w:rPr>
                <w:rFonts w:cstheme="minorHAnsi"/>
                <w:b/>
                <w:bCs/>
                <w:color w:val="0000FF"/>
                <w:sz w:val="18"/>
                <w:szCs w:val="18"/>
              </w:rPr>
              <w:t>Amount</w:t>
            </w:r>
            <w:r w:rsidR="000D1F79" w:rsidRPr="00216A71">
              <w:rPr>
                <w:rFonts w:cstheme="minorHAnsi"/>
                <w:b/>
                <w:bCs/>
                <w:color w:val="0000FF"/>
                <w:sz w:val="18"/>
                <w:szCs w:val="18"/>
              </w:rPr>
              <w:t xml:space="preserve"> </w:t>
            </w:r>
            <w:r w:rsidRPr="00216A71">
              <w:rPr>
                <w:rFonts w:cstheme="minorHAnsi"/>
                <w:b/>
                <w:bCs/>
                <w:color w:val="0000FF"/>
                <w:sz w:val="18"/>
                <w:szCs w:val="18"/>
              </w:rPr>
              <w:t>($m.)</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2013</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India</w:t>
            </w:r>
          </w:p>
        </w:tc>
        <w:tc>
          <w:tcPr>
            <w:tcW w:w="992" w:type="dxa"/>
            <w:vAlign w:val="center"/>
          </w:tcPr>
          <w:p w:rsidR="00DE65B5" w:rsidRPr="00216A71" w:rsidRDefault="00EE3EDC" w:rsidP="00DE65B5">
            <w:pPr>
              <w:rPr>
                <w:rFonts w:cstheme="minorHAnsi"/>
                <w:sz w:val="18"/>
                <w:szCs w:val="18"/>
              </w:rPr>
            </w:pPr>
            <w:r w:rsidRPr="00216A71">
              <w:rPr>
                <w:rFonts w:cstheme="minorHAnsi"/>
                <w:sz w:val="18"/>
                <w:szCs w:val="18"/>
              </w:rPr>
              <w:t>Roads</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Second Gujarat State Highway Project (GSHP II)</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P114827</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175</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2013</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Africa</w:t>
            </w:r>
          </w:p>
        </w:tc>
        <w:tc>
          <w:tcPr>
            <w:tcW w:w="992" w:type="dxa"/>
            <w:vAlign w:val="center"/>
          </w:tcPr>
          <w:p w:rsidR="00DE65B5" w:rsidRPr="00216A71" w:rsidRDefault="00EE3EDC" w:rsidP="00DE65B5">
            <w:pPr>
              <w:rPr>
                <w:rFonts w:cstheme="minorHAnsi"/>
                <w:sz w:val="18"/>
                <w:szCs w:val="18"/>
                <w:lang w:val="fr-FR"/>
              </w:rPr>
            </w:pPr>
            <w:r w:rsidRPr="00216A71">
              <w:rPr>
                <w:rFonts w:cstheme="minorHAnsi"/>
                <w:sz w:val="18"/>
                <w:szCs w:val="18"/>
              </w:rPr>
              <w:t>Roads</w:t>
            </w:r>
          </w:p>
        </w:tc>
        <w:tc>
          <w:tcPr>
            <w:tcW w:w="4813" w:type="dxa"/>
            <w:vAlign w:val="center"/>
          </w:tcPr>
          <w:p w:rsidR="00DE65B5" w:rsidRPr="00216A71" w:rsidRDefault="00DE65B5" w:rsidP="00667C99">
            <w:pPr>
              <w:rPr>
                <w:rFonts w:cstheme="minorHAnsi"/>
                <w:sz w:val="18"/>
                <w:szCs w:val="18"/>
                <w:lang w:val="fr-FR"/>
              </w:rPr>
            </w:pPr>
            <w:r w:rsidRPr="00216A71">
              <w:rPr>
                <w:rFonts w:cstheme="minorHAnsi"/>
                <w:sz w:val="18"/>
                <w:szCs w:val="18"/>
                <w:lang w:val="fr-FR"/>
              </w:rPr>
              <w:t>RCIP4</w:t>
            </w:r>
            <w:r w:rsidR="004045AD">
              <w:rPr>
                <w:rFonts w:cstheme="minorHAnsi"/>
                <w:sz w:val="18"/>
                <w:szCs w:val="18"/>
                <w:lang w:val="fr-FR"/>
              </w:rPr>
              <w:t xml:space="preserve"> – </w:t>
            </w:r>
            <w:r w:rsidRPr="00216A71">
              <w:rPr>
                <w:rFonts w:cstheme="minorHAnsi"/>
                <w:sz w:val="18"/>
                <w:szCs w:val="18"/>
                <w:lang w:val="fr-FR"/>
              </w:rPr>
              <w:t xml:space="preserve">Regional Communications Infrastructure Program </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P118213</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22</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2013</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 xml:space="preserve">DR Congo, </w:t>
            </w:r>
          </w:p>
        </w:tc>
        <w:tc>
          <w:tcPr>
            <w:tcW w:w="992" w:type="dxa"/>
            <w:vAlign w:val="center"/>
          </w:tcPr>
          <w:p w:rsidR="00DE65B5" w:rsidRPr="00216A71" w:rsidRDefault="00EE3EDC" w:rsidP="00DE65B5">
            <w:pPr>
              <w:rPr>
                <w:rFonts w:cstheme="minorHAnsi"/>
                <w:sz w:val="18"/>
                <w:szCs w:val="18"/>
              </w:rPr>
            </w:pPr>
            <w:r w:rsidRPr="00216A71">
              <w:rPr>
                <w:rFonts w:cstheme="minorHAnsi"/>
                <w:sz w:val="18"/>
                <w:szCs w:val="18"/>
              </w:rPr>
              <w:t>Roads</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Dem Rep Congo</w:t>
            </w:r>
            <w:r w:rsidR="004045AD">
              <w:rPr>
                <w:rFonts w:cstheme="minorHAnsi"/>
                <w:sz w:val="18"/>
                <w:szCs w:val="18"/>
              </w:rPr>
              <w:t xml:space="preserve"> – </w:t>
            </w:r>
            <w:r w:rsidRPr="00216A71">
              <w:rPr>
                <w:rFonts w:cstheme="minorHAnsi"/>
                <w:sz w:val="18"/>
                <w:szCs w:val="18"/>
              </w:rPr>
              <w:t>Western Growth Poles</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P124720</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110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2013</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India</w:t>
            </w:r>
          </w:p>
        </w:tc>
        <w:tc>
          <w:tcPr>
            <w:tcW w:w="992" w:type="dxa"/>
            <w:vAlign w:val="center"/>
          </w:tcPr>
          <w:p w:rsidR="00DE65B5" w:rsidRPr="00216A71" w:rsidRDefault="00EE3EDC" w:rsidP="00DE65B5">
            <w:pPr>
              <w:rPr>
                <w:rFonts w:cstheme="minorHAnsi"/>
                <w:sz w:val="18"/>
                <w:szCs w:val="18"/>
              </w:rPr>
            </w:pPr>
            <w:r w:rsidRPr="00216A71">
              <w:rPr>
                <w:rFonts w:cstheme="minorHAnsi"/>
                <w:sz w:val="18"/>
                <w:szCs w:val="18"/>
              </w:rPr>
              <w:t>Transport</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India Second Kerala State Transport 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P130339</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216</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2013</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Tanzania</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Energy</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 xml:space="preserve">Energy Sector Capacity Building Project </w:t>
            </w:r>
            <w:r w:rsidRPr="00216A71" w:rsidDel="00772CE5">
              <w:rPr>
                <w:rFonts w:cstheme="minorHAnsi"/>
                <w:sz w:val="18"/>
                <w:szCs w:val="18"/>
              </w:rPr>
              <w:t>(ESCBP)</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P126875</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21</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2012</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Kenya</w:t>
            </w:r>
          </w:p>
        </w:tc>
        <w:tc>
          <w:tcPr>
            <w:tcW w:w="992" w:type="dxa"/>
            <w:vAlign w:val="center"/>
          </w:tcPr>
          <w:p w:rsidR="00DE65B5" w:rsidRPr="00216A71" w:rsidRDefault="00EE3EDC" w:rsidP="00EE3EDC">
            <w:pPr>
              <w:rPr>
                <w:rFonts w:cstheme="minorHAnsi"/>
                <w:sz w:val="18"/>
                <w:szCs w:val="18"/>
                <w:lang w:val="fr-FR"/>
              </w:rPr>
            </w:pPr>
            <w:r w:rsidRPr="00216A71">
              <w:rPr>
                <w:rFonts w:cstheme="minorHAnsi"/>
                <w:sz w:val="18"/>
                <w:szCs w:val="18"/>
                <w:lang w:val="fr-FR"/>
              </w:rPr>
              <w:t>All</w:t>
            </w:r>
          </w:p>
        </w:tc>
        <w:tc>
          <w:tcPr>
            <w:tcW w:w="4813" w:type="dxa"/>
            <w:vAlign w:val="center"/>
          </w:tcPr>
          <w:p w:rsidR="00DE65B5" w:rsidRPr="00216A71" w:rsidRDefault="00DE65B5" w:rsidP="000D1F79">
            <w:pPr>
              <w:rPr>
                <w:rFonts w:cstheme="minorHAnsi"/>
                <w:sz w:val="18"/>
                <w:szCs w:val="18"/>
                <w:lang w:val="fr-FR"/>
              </w:rPr>
            </w:pPr>
            <w:r w:rsidRPr="00216A71">
              <w:rPr>
                <w:rFonts w:cstheme="minorHAnsi"/>
                <w:sz w:val="18"/>
                <w:szCs w:val="18"/>
                <w:lang w:val="fr-FR"/>
              </w:rPr>
              <w:t xml:space="preserve">Kenya Infrastructure Finance/PPP </w:t>
            </w:r>
            <w:r w:rsidRPr="00216A71" w:rsidDel="00772CE5">
              <w:rPr>
                <w:rFonts w:cstheme="minorHAnsi"/>
                <w:sz w:val="18"/>
                <w:szCs w:val="18"/>
                <w:lang w:val="fr-FR"/>
              </w:rPr>
              <w:t>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P121019</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40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2012</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Indonesia</w:t>
            </w:r>
          </w:p>
        </w:tc>
        <w:tc>
          <w:tcPr>
            <w:tcW w:w="992" w:type="dxa"/>
            <w:vAlign w:val="center"/>
          </w:tcPr>
          <w:p w:rsidR="00DE65B5" w:rsidRPr="00216A71" w:rsidRDefault="00EE3EDC" w:rsidP="00EE3EDC">
            <w:pPr>
              <w:rPr>
                <w:rFonts w:cstheme="minorHAnsi"/>
                <w:sz w:val="18"/>
                <w:szCs w:val="18"/>
              </w:rPr>
            </w:pPr>
            <w:r w:rsidRPr="00216A71">
              <w:rPr>
                <w:rFonts w:cstheme="minorHAnsi"/>
                <w:sz w:val="18"/>
                <w:szCs w:val="18"/>
              </w:rPr>
              <w:t>All</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 xml:space="preserve">Indonesia Infrastructure Guarantee Fund </w:t>
            </w:r>
            <w:r w:rsidRPr="00216A71" w:rsidDel="00830E75">
              <w:rPr>
                <w:rFonts w:cstheme="minorHAnsi"/>
                <w:sz w:val="18"/>
                <w:szCs w:val="18"/>
              </w:rPr>
              <w:t>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P118916</w:t>
            </w:r>
          </w:p>
        </w:tc>
        <w:tc>
          <w:tcPr>
            <w:tcW w:w="850" w:type="dxa"/>
            <w:shd w:val="clear" w:color="auto" w:fill="auto"/>
            <w:noWrap/>
            <w:vAlign w:val="center"/>
            <w:hideMark/>
          </w:tcPr>
          <w:p w:rsidR="00DE65B5" w:rsidRPr="00216A71" w:rsidRDefault="000D1F79" w:rsidP="00667C99">
            <w:pPr>
              <w:jc w:val="right"/>
              <w:rPr>
                <w:rFonts w:cstheme="minorHAnsi"/>
                <w:sz w:val="18"/>
                <w:szCs w:val="18"/>
              </w:rPr>
            </w:pPr>
            <w:r w:rsidRPr="00216A71">
              <w:rPr>
                <w:rFonts w:cstheme="minorHAnsi"/>
                <w:sz w:val="18"/>
                <w:szCs w:val="18"/>
              </w:rPr>
              <w:t>3</w:t>
            </w:r>
            <w:r w:rsidR="00DE65B5" w:rsidRPr="00216A71">
              <w:rPr>
                <w:rFonts w:cstheme="minorHAnsi"/>
                <w:sz w:val="18"/>
                <w:szCs w:val="18"/>
              </w:rPr>
              <w:t>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2012</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Africa</w:t>
            </w:r>
          </w:p>
        </w:tc>
        <w:tc>
          <w:tcPr>
            <w:tcW w:w="992" w:type="dxa"/>
            <w:vAlign w:val="center"/>
          </w:tcPr>
          <w:p w:rsidR="00DE65B5" w:rsidRPr="00216A71" w:rsidRDefault="000D1F79" w:rsidP="00EE3EDC">
            <w:pPr>
              <w:rPr>
                <w:rFonts w:cstheme="minorHAnsi"/>
                <w:sz w:val="18"/>
                <w:szCs w:val="18"/>
              </w:rPr>
            </w:pPr>
            <w:r w:rsidRPr="00216A71">
              <w:rPr>
                <w:rFonts w:cstheme="minorHAnsi"/>
                <w:sz w:val="18"/>
                <w:szCs w:val="18"/>
              </w:rPr>
              <w:t>All</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 xml:space="preserve">WARCIP APL 1C </w:t>
            </w:r>
            <w:r w:rsidRPr="00216A71" w:rsidDel="00830E75">
              <w:rPr>
                <w:rFonts w:cstheme="minorHAnsi"/>
                <w:sz w:val="18"/>
                <w:szCs w:val="18"/>
              </w:rPr>
              <w:t>-</w:t>
            </w:r>
            <w:r w:rsidRPr="00216A71">
              <w:rPr>
                <w:rFonts w:cstheme="minorHAnsi"/>
                <w:sz w:val="18"/>
                <w:szCs w:val="18"/>
              </w:rPr>
              <w:t>– Benin</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P130184</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35</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2012</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Guinea</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Energy</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Additional Financing</w:t>
            </w:r>
            <w:r w:rsidR="004045AD">
              <w:rPr>
                <w:rFonts w:cstheme="minorHAnsi"/>
                <w:sz w:val="18"/>
                <w:szCs w:val="18"/>
              </w:rPr>
              <w:t xml:space="preserve"> – </w:t>
            </w:r>
            <w:r w:rsidRPr="00216A71">
              <w:rPr>
                <w:rFonts w:cstheme="minorHAnsi"/>
                <w:sz w:val="18"/>
                <w:szCs w:val="18"/>
              </w:rPr>
              <w:t xml:space="preserve">Electricity Sector Efficiency Enhancement </w:t>
            </w:r>
            <w:r w:rsidRPr="00216A71" w:rsidDel="00830E75">
              <w:rPr>
                <w:rFonts w:cstheme="minorHAnsi"/>
                <w:sz w:val="18"/>
                <w:szCs w:val="18"/>
              </w:rPr>
              <w:t>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P129148</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18</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2012</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Africa</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Roads</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Central African Backbone</w:t>
            </w:r>
            <w:r w:rsidR="004045AD">
              <w:rPr>
                <w:rFonts w:cstheme="minorHAnsi"/>
                <w:sz w:val="18"/>
                <w:szCs w:val="18"/>
              </w:rPr>
              <w:t xml:space="preserve"> – </w:t>
            </w:r>
            <w:r w:rsidRPr="00216A71">
              <w:rPr>
                <w:rFonts w:cstheme="minorHAnsi"/>
                <w:sz w:val="18"/>
                <w:szCs w:val="18"/>
              </w:rPr>
              <w:t>APL4</w:t>
            </w:r>
            <w:r w:rsidR="004045AD">
              <w:rPr>
                <w:rFonts w:cstheme="minorHAnsi"/>
                <w:sz w:val="18"/>
                <w:szCs w:val="18"/>
              </w:rPr>
              <w:t xml:space="preserve"> – </w:t>
            </w:r>
            <w:r w:rsidRPr="00216A71">
              <w:rPr>
                <w:rFonts w:cstheme="minorHAnsi"/>
                <w:sz w:val="18"/>
                <w:szCs w:val="18"/>
              </w:rPr>
              <w:t>Gabon</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P122776</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58</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2012</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Ghana</w:t>
            </w:r>
          </w:p>
        </w:tc>
        <w:tc>
          <w:tcPr>
            <w:tcW w:w="992" w:type="dxa"/>
            <w:vAlign w:val="center"/>
          </w:tcPr>
          <w:p w:rsidR="00DE65B5" w:rsidRPr="00216A71" w:rsidRDefault="000D1F79" w:rsidP="00EE3EDC">
            <w:pPr>
              <w:rPr>
                <w:rFonts w:cstheme="minorHAnsi"/>
                <w:sz w:val="18"/>
                <w:szCs w:val="18"/>
              </w:rPr>
            </w:pPr>
            <w:r w:rsidRPr="00216A71">
              <w:rPr>
                <w:rFonts w:cstheme="minorHAnsi"/>
                <w:sz w:val="18"/>
                <w:szCs w:val="18"/>
              </w:rPr>
              <w:t>All</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Ghana</w:t>
            </w:r>
            <w:r w:rsidR="004045AD">
              <w:rPr>
                <w:rFonts w:cstheme="minorHAnsi"/>
                <w:sz w:val="18"/>
                <w:szCs w:val="18"/>
              </w:rPr>
              <w:t xml:space="preserve"> – </w:t>
            </w:r>
            <w:r w:rsidRPr="00216A71">
              <w:rPr>
                <w:rFonts w:cstheme="minorHAnsi"/>
                <w:sz w:val="18"/>
                <w:szCs w:val="18"/>
              </w:rPr>
              <w:t>PPP 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P125595</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30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2011</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India</w:t>
            </w:r>
          </w:p>
        </w:tc>
        <w:tc>
          <w:tcPr>
            <w:tcW w:w="992" w:type="dxa"/>
            <w:vAlign w:val="center"/>
          </w:tcPr>
          <w:p w:rsidR="00DE65B5" w:rsidRPr="00216A71" w:rsidRDefault="00DE65B5" w:rsidP="000D1F79">
            <w:pPr>
              <w:rPr>
                <w:rFonts w:cstheme="minorHAnsi"/>
                <w:sz w:val="18"/>
                <w:szCs w:val="18"/>
              </w:rPr>
            </w:pPr>
            <w:r w:rsidRPr="00216A71">
              <w:rPr>
                <w:rFonts w:cstheme="minorHAnsi"/>
                <w:sz w:val="18"/>
                <w:szCs w:val="18"/>
              </w:rPr>
              <w:t>Health</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Uttar Pradesh Health Systems Strengthening Project (UPHSSP)</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P100304</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152</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2011</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Morocco</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Energy</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MA-Ouarzazate Concentrated Solar Power</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P122028</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200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2011</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Africa</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Roads</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Central African Backbone</w:t>
            </w:r>
            <w:r w:rsidR="004045AD">
              <w:rPr>
                <w:rFonts w:cstheme="minorHAnsi"/>
                <w:sz w:val="18"/>
                <w:szCs w:val="18"/>
              </w:rPr>
              <w:t xml:space="preserve"> – </w:t>
            </w:r>
            <w:r w:rsidRPr="00216A71">
              <w:rPr>
                <w:rFonts w:cstheme="minorHAnsi"/>
                <w:sz w:val="18"/>
                <w:szCs w:val="18"/>
              </w:rPr>
              <w:t>APL3</w:t>
            </w:r>
            <w:r w:rsidR="004045AD">
              <w:rPr>
                <w:rFonts w:cstheme="minorHAnsi"/>
                <w:sz w:val="18"/>
                <w:szCs w:val="18"/>
              </w:rPr>
              <w:t xml:space="preserve"> – </w:t>
            </w:r>
            <w:r w:rsidRPr="00216A71">
              <w:rPr>
                <w:rFonts w:cstheme="minorHAnsi"/>
                <w:sz w:val="18"/>
                <w:szCs w:val="18"/>
              </w:rPr>
              <w:t>DR</w:t>
            </w:r>
            <w:r w:rsidRPr="00216A71" w:rsidDel="00830E75">
              <w:rPr>
                <w:rFonts w:cstheme="minorHAnsi"/>
                <w:sz w:val="18"/>
                <w:szCs w:val="18"/>
              </w:rPr>
              <w:t xml:space="preserve"> Congo</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P122398</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15</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2011</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India</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Roads</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Second Karnataka State Highway Improvement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P107649</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350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2011</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Nigeria</w:t>
            </w:r>
          </w:p>
        </w:tc>
        <w:tc>
          <w:tcPr>
            <w:tcW w:w="992" w:type="dxa"/>
            <w:vAlign w:val="center"/>
          </w:tcPr>
          <w:p w:rsidR="00DE65B5" w:rsidRPr="00216A71" w:rsidRDefault="000D1F79" w:rsidP="000D1F79">
            <w:pPr>
              <w:rPr>
                <w:rFonts w:cstheme="minorHAnsi"/>
                <w:sz w:val="18"/>
                <w:szCs w:val="18"/>
              </w:rPr>
            </w:pPr>
            <w:r w:rsidRPr="00216A71">
              <w:rPr>
                <w:rFonts w:cstheme="minorHAnsi"/>
                <w:sz w:val="18"/>
                <w:szCs w:val="18"/>
              </w:rPr>
              <w:t>All</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Nigeria</w:t>
            </w:r>
            <w:r w:rsidR="004045AD">
              <w:rPr>
                <w:rFonts w:cstheme="minorHAnsi"/>
                <w:sz w:val="18"/>
                <w:szCs w:val="18"/>
              </w:rPr>
              <w:t xml:space="preserve"> – </w:t>
            </w:r>
            <w:r w:rsidRPr="00216A71" w:rsidDel="000F2640">
              <w:rPr>
                <w:rFonts w:cstheme="minorHAnsi"/>
                <w:sz w:val="18"/>
                <w:szCs w:val="18"/>
              </w:rPr>
              <w:t>Public/Private Partnership</w:t>
            </w:r>
            <w:r w:rsidR="003662A2" w:rsidRPr="00216A71">
              <w:rPr>
                <w:rFonts w:cstheme="minorHAnsi"/>
                <w:sz w:val="18"/>
                <w:szCs w:val="18"/>
              </w:rPr>
              <w:t xml:space="preserve"> </w:t>
            </w:r>
            <w:r w:rsidRPr="00216A71">
              <w:rPr>
                <w:rFonts w:cstheme="minorHAnsi"/>
                <w:sz w:val="18"/>
                <w:szCs w:val="18"/>
              </w:rPr>
              <w:t>PPP</w:t>
            </w:r>
            <w:r w:rsidR="004045AD">
              <w:rPr>
                <w:rFonts w:cstheme="minorHAnsi"/>
                <w:sz w:val="18"/>
                <w:szCs w:val="18"/>
              </w:rPr>
              <w:t xml:space="preserve"> </w:t>
            </w:r>
            <w:r w:rsidRPr="00216A71">
              <w:rPr>
                <w:rFonts w:cstheme="minorHAnsi"/>
                <w:sz w:val="18"/>
                <w:szCs w:val="18"/>
              </w:rPr>
              <w:t>Program</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P115386</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115</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2010</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Armenia</w:t>
            </w:r>
          </w:p>
        </w:tc>
        <w:tc>
          <w:tcPr>
            <w:tcW w:w="992" w:type="dxa"/>
            <w:vAlign w:val="center"/>
          </w:tcPr>
          <w:p w:rsidR="00DE65B5" w:rsidRPr="00216A71" w:rsidRDefault="000D1F79" w:rsidP="00DE65B5">
            <w:pPr>
              <w:rPr>
                <w:rFonts w:cstheme="minorHAnsi"/>
                <w:sz w:val="18"/>
                <w:szCs w:val="18"/>
              </w:rPr>
            </w:pPr>
            <w:r w:rsidRPr="00216A71">
              <w:rPr>
                <w:rFonts w:cstheme="minorHAnsi"/>
                <w:sz w:val="18"/>
                <w:szCs w:val="18"/>
              </w:rPr>
              <w:t>Admin</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E-Society and Innovation for Competitiveness (EIC) 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P115647</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24</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2010</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Belarus</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Roads</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Road Upgrading and Modernization 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P118375</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150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2010</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Tanzania</w:t>
            </w:r>
          </w:p>
        </w:tc>
        <w:tc>
          <w:tcPr>
            <w:tcW w:w="992" w:type="dxa"/>
            <w:vAlign w:val="center"/>
          </w:tcPr>
          <w:p w:rsidR="00DE65B5" w:rsidRPr="00216A71" w:rsidRDefault="00EE3EDC" w:rsidP="00EE3EDC">
            <w:pPr>
              <w:rPr>
                <w:rFonts w:cstheme="minorHAnsi"/>
                <w:sz w:val="18"/>
                <w:szCs w:val="18"/>
              </w:rPr>
            </w:pPr>
            <w:r w:rsidRPr="00216A71">
              <w:rPr>
                <w:rFonts w:cstheme="minorHAnsi"/>
                <w:sz w:val="18"/>
                <w:szCs w:val="18"/>
              </w:rPr>
              <w:t>Transport</w:t>
            </w:r>
          </w:p>
        </w:tc>
        <w:tc>
          <w:tcPr>
            <w:tcW w:w="4813" w:type="dxa"/>
            <w:vAlign w:val="center"/>
          </w:tcPr>
          <w:p w:rsidR="00DE65B5" w:rsidRPr="00216A71" w:rsidRDefault="00667C99" w:rsidP="000D1F79">
            <w:pPr>
              <w:rPr>
                <w:rFonts w:cstheme="minorHAnsi"/>
                <w:sz w:val="18"/>
                <w:szCs w:val="18"/>
              </w:rPr>
            </w:pPr>
            <w:r w:rsidRPr="00216A71">
              <w:rPr>
                <w:rFonts w:cstheme="minorHAnsi"/>
                <w:sz w:val="18"/>
                <w:szCs w:val="18"/>
              </w:rPr>
              <w:t>Transport sector support 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P055120</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270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2010</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Bangladesh</w:t>
            </w:r>
          </w:p>
        </w:tc>
        <w:tc>
          <w:tcPr>
            <w:tcW w:w="992" w:type="dxa"/>
            <w:vAlign w:val="center"/>
          </w:tcPr>
          <w:p w:rsidR="00DE65B5" w:rsidRPr="00216A71" w:rsidRDefault="00EE3EDC" w:rsidP="00EE3EDC">
            <w:pPr>
              <w:rPr>
                <w:rFonts w:cstheme="minorHAnsi"/>
                <w:sz w:val="18"/>
                <w:szCs w:val="18"/>
              </w:rPr>
            </w:pPr>
            <w:r w:rsidRPr="00216A71">
              <w:rPr>
                <w:rFonts w:cstheme="minorHAnsi"/>
                <w:sz w:val="18"/>
                <w:szCs w:val="18"/>
              </w:rPr>
              <w:t>All</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Investment Promotion and Financing Facility</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P117542</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257</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2009</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India</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Roads</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Andhra Pradesh Road Sector 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P096021</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320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 xml:space="preserve">2009 </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India</w:t>
            </w:r>
          </w:p>
        </w:tc>
        <w:tc>
          <w:tcPr>
            <w:tcW w:w="992" w:type="dxa"/>
            <w:vAlign w:val="center"/>
          </w:tcPr>
          <w:p w:rsidR="00DE65B5" w:rsidRPr="00216A71" w:rsidRDefault="00EE3EDC" w:rsidP="00EE3EDC">
            <w:pPr>
              <w:rPr>
                <w:rFonts w:cstheme="minorHAnsi"/>
                <w:sz w:val="18"/>
                <w:szCs w:val="18"/>
              </w:rPr>
            </w:pPr>
            <w:r w:rsidRPr="00216A71">
              <w:rPr>
                <w:rFonts w:cstheme="minorHAnsi"/>
                <w:sz w:val="18"/>
                <w:szCs w:val="18"/>
              </w:rPr>
              <w:t>All</w:t>
            </w:r>
          </w:p>
        </w:tc>
        <w:tc>
          <w:tcPr>
            <w:tcW w:w="4813" w:type="dxa"/>
            <w:vAlign w:val="center"/>
          </w:tcPr>
          <w:p w:rsidR="00DE65B5" w:rsidRPr="00216A71" w:rsidRDefault="00DE65B5" w:rsidP="00667C99">
            <w:pPr>
              <w:rPr>
                <w:rFonts w:cstheme="minorHAnsi"/>
                <w:sz w:val="18"/>
                <w:szCs w:val="18"/>
              </w:rPr>
            </w:pPr>
            <w:r w:rsidRPr="00216A71">
              <w:rPr>
                <w:rFonts w:cstheme="minorHAnsi"/>
                <w:sz w:val="18"/>
                <w:szCs w:val="18"/>
              </w:rPr>
              <w:t xml:space="preserve">Financing </w:t>
            </w:r>
            <w:r w:rsidRPr="00216A71" w:rsidDel="000F2640">
              <w:rPr>
                <w:rFonts w:cstheme="minorHAnsi"/>
                <w:sz w:val="18"/>
                <w:szCs w:val="18"/>
              </w:rPr>
              <w:t>Public Private Partnerships (</w:t>
            </w:r>
            <w:r w:rsidRPr="00216A71">
              <w:rPr>
                <w:rFonts w:cstheme="minorHAnsi"/>
                <w:sz w:val="18"/>
                <w:szCs w:val="18"/>
              </w:rPr>
              <w:t>PPPs</w:t>
            </w:r>
            <w:r w:rsidRPr="00216A71" w:rsidDel="000F2640">
              <w:rPr>
                <w:rFonts w:cstheme="minorHAnsi"/>
                <w:sz w:val="18"/>
                <w:szCs w:val="18"/>
              </w:rPr>
              <w:t>)</w:t>
            </w:r>
            <w:r w:rsidRPr="00216A71">
              <w:rPr>
                <w:rFonts w:cstheme="minorHAnsi"/>
                <w:sz w:val="18"/>
                <w:szCs w:val="18"/>
              </w:rPr>
              <w:t xml:space="preserve"> in Infrastructure through Support to India Infrastructure Finance Company Ltd</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P102771</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1,195</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 xml:space="preserve">2009 </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India</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Roads</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India Orissa State Roads 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P096023</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250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 xml:space="preserve">2009 </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Mexico</w:t>
            </w:r>
          </w:p>
        </w:tc>
        <w:tc>
          <w:tcPr>
            <w:tcW w:w="992" w:type="dxa"/>
            <w:vAlign w:val="center"/>
          </w:tcPr>
          <w:p w:rsidR="00DE65B5" w:rsidRPr="00216A71" w:rsidRDefault="00EE3EDC" w:rsidP="00EE3EDC">
            <w:pPr>
              <w:rPr>
                <w:rFonts w:cstheme="minorHAnsi"/>
                <w:sz w:val="18"/>
                <w:szCs w:val="18"/>
              </w:rPr>
            </w:pPr>
            <w:r w:rsidRPr="00216A71">
              <w:rPr>
                <w:rFonts w:cstheme="minorHAnsi"/>
                <w:sz w:val="18"/>
                <w:szCs w:val="18"/>
              </w:rPr>
              <w:t>IT</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Information Technology Development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P106589</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80</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r w:rsidRPr="00216A71">
              <w:rPr>
                <w:rFonts w:cstheme="minorHAnsi"/>
                <w:sz w:val="18"/>
                <w:szCs w:val="18"/>
              </w:rPr>
              <w:t xml:space="preserve">2009 </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Guinea</w:t>
            </w:r>
          </w:p>
        </w:tc>
        <w:tc>
          <w:tcPr>
            <w:tcW w:w="992" w:type="dxa"/>
            <w:vAlign w:val="center"/>
          </w:tcPr>
          <w:p w:rsidR="00DE65B5" w:rsidRPr="00216A71" w:rsidRDefault="00DE65B5" w:rsidP="00DE65B5">
            <w:pPr>
              <w:rPr>
                <w:rFonts w:cstheme="minorHAnsi"/>
                <w:sz w:val="18"/>
                <w:szCs w:val="18"/>
              </w:rPr>
            </w:pPr>
            <w:r w:rsidRPr="00216A71">
              <w:rPr>
                <w:rFonts w:cstheme="minorHAnsi"/>
                <w:sz w:val="18"/>
                <w:szCs w:val="18"/>
              </w:rPr>
              <w:t>Energy</w:t>
            </w: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Guinea Electricity Sector Efficiency Improvement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P077317</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7</w:t>
            </w:r>
          </w:p>
        </w:tc>
      </w:tr>
      <w:tr w:rsidR="000D1F79" w:rsidRPr="00216A71" w:rsidTr="00667C99">
        <w:trPr>
          <w:trHeight w:val="255"/>
        </w:trPr>
        <w:tc>
          <w:tcPr>
            <w:tcW w:w="724" w:type="dxa"/>
            <w:vAlign w:val="center"/>
          </w:tcPr>
          <w:p w:rsidR="00DE65B5" w:rsidRPr="00216A71" w:rsidRDefault="000D1F79" w:rsidP="000D1F79">
            <w:pPr>
              <w:rPr>
                <w:rFonts w:cstheme="minorHAnsi"/>
                <w:sz w:val="18"/>
                <w:szCs w:val="18"/>
              </w:rPr>
            </w:pPr>
            <w:r w:rsidRPr="00216A71">
              <w:rPr>
                <w:rFonts w:cstheme="minorHAnsi"/>
                <w:sz w:val="18"/>
                <w:szCs w:val="18"/>
              </w:rPr>
              <w:t>2009</w:t>
            </w:r>
          </w:p>
        </w:tc>
        <w:tc>
          <w:tcPr>
            <w:tcW w:w="1276"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Guinea-Bissau</w:t>
            </w:r>
          </w:p>
        </w:tc>
        <w:tc>
          <w:tcPr>
            <w:tcW w:w="992" w:type="dxa"/>
            <w:vAlign w:val="center"/>
          </w:tcPr>
          <w:p w:rsidR="00DE65B5" w:rsidRPr="00216A71" w:rsidRDefault="00DE65B5" w:rsidP="00DE65B5">
            <w:pPr>
              <w:rPr>
                <w:rFonts w:cstheme="minorHAnsi"/>
                <w:sz w:val="18"/>
                <w:szCs w:val="18"/>
                <w:lang w:val="fr-FR"/>
              </w:rPr>
            </w:pPr>
            <w:r w:rsidRPr="00216A71">
              <w:rPr>
                <w:rFonts w:cstheme="minorHAnsi"/>
                <w:sz w:val="18"/>
                <w:szCs w:val="18"/>
                <w:lang w:val="fr-FR"/>
              </w:rPr>
              <w:t>All</w:t>
            </w:r>
          </w:p>
        </w:tc>
        <w:tc>
          <w:tcPr>
            <w:tcW w:w="4813" w:type="dxa"/>
            <w:vAlign w:val="center"/>
          </w:tcPr>
          <w:p w:rsidR="00DE65B5" w:rsidRPr="00216A71" w:rsidRDefault="00DE65B5" w:rsidP="000D1F79">
            <w:pPr>
              <w:rPr>
                <w:rFonts w:cstheme="minorHAnsi"/>
                <w:sz w:val="18"/>
                <w:szCs w:val="18"/>
                <w:lang w:val="fr-FR"/>
              </w:rPr>
            </w:pPr>
            <w:r w:rsidRPr="00216A71">
              <w:rPr>
                <w:rFonts w:cstheme="minorHAnsi"/>
                <w:sz w:val="18"/>
                <w:szCs w:val="18"/>
                <w:lang w:val="fr-FR"/>
              </w:rPr>
              <w:t>Multi-sector Infrastructure Rehabilitation Project</w:t>
            </w:r>
          </w:p>
        </w:tc>
        <w:tc>
          <w:tcPr>
            <w:tcW w:w="999" w:type="dxa"/>
            <w:shd w:val="clear" w:color="auto" w:fill="auto"/>
            <w:noWrap/>
            <w:vAlign w:val="center"/>
            <w:hideMark/>
          </w:tcPr>
          <w:p w:rsidR="00DE65B5" w:rsidRPr="00216A71" w:rsidRDefault="00DE65B5" w:rsidP="000D1F79">
            <w:pPr>
              <w:rPr>
                <w:rFonts w:cstheme="minorHAnsi"/>
                <w:sz w:val="18"/>
                <w:szCs w:val="18"/>
              </w:rPr>
            </w:pPr>
            <w:r w:rsidRPr="00216A71">
              <w:rPr>
                <w:rFonts w:cstheme="minorHAnsi"/>
                <w:sz w:val="18"/>
                <w:szCs w:val="18"/>
              </w:rPr>
              <w:t>P097975</w:t>
            </w: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15</w:t>
            </w:r>
          </w:p>
        </w:tc>
      </w:tr>
      <w:tr w:rsidR="000D1F79" w:rsidRPr="00216A71" w:rsidTr="00667C99">
        <w:trPr>
          <w:trHeight w:val="255"/>
        </w:trPr>
        <w:tc>
          <w:tcPr>
            <w:tcW w:w="724" w:type="dxa"/>
            <w:vAlign w:val="center"/>
          </w:tcPr>
          <w:p w:rsidR="00DE65B5" w:rsidRPr="00216A71" w:rsidRDefault="00DE65B5" w:rsidP="000D1F79">
            <w:pPr>
              <w:rPr>
                <w:rFonts w:cstheme="minorHAnsi"/>
                <w:sz w:val="18"/>
                <w:szCs w:val="18"/>
              </w:rPr>
            </w:pPr>
          </w:p>
        </w:tc>
        <w:tc>
          <w:tcPr>
            <w:tcW w:w="1276" w:type="dxa"/>
            <w:shd w:val="clear" w:color="auto" w:fill="auto"/>
            <w:noWrap/>
            <w:vAlign w:val="center"/>
            <w:hideMark/>
          </w:tcPr>
          <w:p w:rsidR="00DE65B5" w:rsidRPr="00216A71" w:rsidRDefault="00DE65B5" w:rsidP="000D1F79">
            <w:pPr>
              <w:rPr>
                <w:rFonts w:cstheme="minorHAnsi"/>
                <w:sz w:val="18"/>
                <w:szCs w:val="18"/>
              </w:rPr>
            </w:pPr>
          </w:p>
        </w:tc>
        <w:tc>
          <w:tcPr>
            <w:tcW w:w="992" w:type="dxa"/>
            <w:vAlign w:val="center"/>
          </w:tcPr>
          <w:p w:rsidR="00DE65B5" w:rsidRPr="00216A71" w:rsidRDefault="00DE65B5" w:rsidP="000D1F79">
            <w:pPr>
              <w:rPr>
                <w:rFonts w:cstheme="minorHAnsi"/>
                <w:sz w:val="18"/>
                <w:szCs w:val="18"/>
              </w:rPr>
            </w:pPr>
          </w:p>
        </w:tc>
        <w:tc>
          <w:tcPr>
            <w:tcW w:w="4813" w:type="dxa"/>
            <w:vAlign w:val="center"/>
          </w:tcPr>
          <w:p w:rsidR="00DE65B5" w:rsidRPr="00216A71" w:rsidRDefault="00DE65B5" w:rsidP="000D1F79">
            <w:pPr>
              <w:rPr>
                <w:rFonts w:cstheme="minorHAnsi"/>
                <w:sz w:val="18"/>
                <w:szCs w:val="18"/>
              </w:rPr>
            </w:pPr>
            <w:r w:rsidRPr="00216A71">
              <w:rPr>
                <w:rFonts w:cstheme="minorHAnsi"/>
                <w:sz w:val="18"/>
                <w:szCs w:val="18"/>
              </w:rPr>
              <w:t>TOTAL</w:t>
            </w:r>
          </w:p>
        </w:tc>
        <w:tc>
          <w:tcPr>
            <w:tcW w:w="999" w:type="dxa"/>
            <w:shd w:val="clear" w:color="auto" w:fill="auto"/>
            <w:noWrap/>
            <w:vAlign w:val="center"/>
            <w:hideMark/>
          </w:tcPr>
          <w:p w:rsidR="00DE65B5" w:rsidRPr="00216A71" w:rsidRDefault="00DE65B5" w:rsidP="000D1F79">
            <w:pPr>
              <w:rPr>
                <w:rFonts w:cstheme="minorHAnsi"/>
                <w:sz w:val="18"/>
                <w:szCs w:val="18"/>
              </w:rPr>
            </w:pPr>
          </w:p>
        </w:tc>
        <w:tc>
          <w:tcPr>
            <w:tcW w:w="850" w:type="dxa"/>
            <w:shd w:val="clear" w:color="auto" w:fill="auto"/>
            <w:noWrap/>
            <w:vAlign w:val="center"/>
            <w:hideMark/>
          </w:tcPr>
          <w:p w:rsidR="00DE65B5" w:rsidRPr="00216A71" w:rsidRDefault="00DE65B5" w:rsidP="00667C99">
            <w:pPr>
              <w:jc w:val="right"/>
              <w:rPr>
                <w:rFonts w:cstheme="minorHAnsi"/>
                <w:sz w:val="18"/>
                <w:szCs w:val="18"/>
              </w:rPr>
            </w:pPr>
            <w:r w:rsidRPr="00216A71">
              <w:rPr>
                <w:rFonts w:cstheme="minorHAnsi"/>
                <w:sz w:val="18"/>
                <w:szCs w:val="18"/>
              </w:rPr>
              <w:t>4,156</w:t>
            </w:r>
          </w:p>
        </w:tc>
      </w:tr>
    </w:tbl>
    <w:p w:rsidR="000C629A" w:rsidRDefault="001A1D84" w:rsidP="00E16011">
      <w:pPr>
        <w:rPr>
          <w:rFonts w:cstheme="minorHAnsi"/>
          <w:szCs w:val="20"/>
        </w:rPr>
      </w:pPr>
      <w:r w:rsidRPr="00216A71">
        <w:rPr>
          <w:rFonts w:cstheme="minorHAnsi"/>
          <w:szCs w:val="20"/>
        </w:rPr>
        <w:t>Source: WB projects database 2013</w:t>
      </w:r>
    </w:p>
    <w:p w:rsidR="00167C86" w:rsidRPr="00216A71" w:rsidRDefault="0029090A" w:rsidP="0029090A">
      <w:pPr>
        <w:pStyle w:val="Heading3"/>
        <w:rPr>
          <w:rFonts w:asciiTheme="minorHAnsi" w:hAnsiTheme="minorHAnsi" w:cstheme="minorHAnsi"/>
          <w:szCs w:val="20"/>
        </w:rPr>
      </w:pPr>
      <w:r w:rsidRPr="00216A71">
        <w:rPr>
          <w:rFonts w:asciiTheme="minorHAnsi" w:hAnsiTheme="minorHAnsi" w:cstheme="minorHAnsi"/>
          <w:szCs w:val="20"/>
        </w:rPr>
        <w:t>IFC</w:t>
      </w:r>
    </w:p>
    <w:p w:rsidR="000C629A" w:rsidRDefault="000879B5" w:rsidP="00667C99">
      <w:pPr>
        <w:rPr>
          <w:rFonts w:cstheme="minorHAnsi"/>
          <w:szCs w:val="20"/>
        </w:rPr>
      </w:pPr>
      <w:r w:rsidRPr="00216A71">
        <w:rPr>
          <w:rFonts w:cstheme="minorHAnsi"/>
          <w:szCs w:val="20"/>
        </w:rPr>
        <w:t>The I</w:t>
      </w:r>
      <w:r w:rsidR="001A1435">
        <w:rPr>
          <w:rFonts w:cstheme="minorHAnsi"/>
          <w:szCs w:val="20"/>
        </w:rPr>
        <w:t xml:space="preserve">nternational </w:t>
      </w:r>
      <w:r w:rsidRPr="00216A71">
        <w:rPr>
          <w:rFonts w:cstheme="minorHAnsi"/>
          <w:szCs w:val="20"/>
        </w:rPr>
        <w:t>F</w:t>
      </w:r>
      <w:r w:rsidR="001A1435">
        <w:rPr>
          <w:rFonts w:cstheme="minorHAnsi"/>
          <w:szCs w:val="20"/>
        </w:rPr>
        <w:t xml:space="preserve">inance </w:t>
      </w:r>
      <w:r w:rsidRPr="00216A71">
        <w:rPr>
          <w:rFonts w:cstheme="minorHAnsi"/>
          <w:szCs w:val="20"/>
        </w:rPr>
        <w:t>C</w:t>
      </w:r>
      <w:r w:rsidR="001A1435">
        <w:rPr>
          <w:rFonts w:cstheme="minorHAnsi"/>
          <w:szCs w:val="20"/>
        </w:rPr>
        <w:t>orporation (IFC)</w:t>
      </w:r>
      <w:r w:rsidRPr="00216A71">
        <w:rPr>
          <w:rFonts w:cstheme="minorHAnsi"/>
          <w:szCs w:val="20"/>
        </w:rPr>
        <w:t xml:space="preserve"> is the private sector funding arm of the World Bank. Whereas the WB itself lends directly to governments, the IFC lends only to private companies. Every IFC loan in infrastructure or public service sectors</w:t>
      </w:r>
      <w:r w:rsidR="00FE3E27" w:rsidRPr="00216A71">
        <w:rPr>
          <w:rFonts w:cstheme="minorHAnsi"/>
          <w:szCs w:val="20"/>
        </w:rPr>
        <w:t>,</w:t>
      </w:r>
      <w:r w:rsidRPr="00216A71">
        <w:rPr>
          <w:rFonts w:cstheme="minorHAnsi"/>
          <w:szCs w:val="20"/>
        </w:rPr>
        <w:t xml:space="preserve"> </w:t>
      </w:r>
      <w:r w:rsidR="00FE3E27" w:rsidRPr="00216A71">
        <w:rPr>
          <w:rFonts w:cstheme="minorHAnsi"/>
          <w:szCs w:val="20"/>
        </w:rPr>
        <w:t xml:space="preserve">such as water, energy and healthcare, </w:t>
      </w:r>
      <w:r w:rsidRPr="00216A71">
        <w:rPr>
          <w:rFonts w:cstheme="minorHAnsi"/>
          <w:szCs w:val="20"/>
        </w:rPr>
        <w:t>therefore automatically comes complete with a conditionality of privatisation.</w:t>
      </w:r>
      <w:r w:rsidR="004045AD">
        <w:rPr>
          <w:rFonts w:cstheme="minorHAnsi"/>
          <w:szCs w:val="20"/>
        </w:rPr>
        <w:t xml:space="preserve"> </w:t>
      </w:r>
      <w:r w:rsidRPr="00216A71">
        <w:rPr>
          <w:rFonts w:cstheme="minorHAnsi"/>
          <w:szCs w:val="20"/>
        </w:rPr>
        <w:t>The IFC has taken an increasingly large proportion of World Bank funds</w:t>
      </w:r>
      <w:r w:rsidR="00FE3E27" w:rsidRPr="00216A71">
        <w:rPr>
          <w:rFonts w:cstheme="minorHAnsi"/>
          <w:szCs w:val="20"/>
        </w:rPr>
        <w:t>;</w:t>
      </w:r>
      <w:r w:rsidRPr="00216A71">
        <w:rPr>
          <w:rFonts w:cstheme="minorHAnsi"/>
          <w:szCs w:val="20"/>
        </w:rPr>
        <w:t xml:space="preserve"> and an increasing proportion of IFC loans has been directed into infrastructure or public service areas.</w:t>
      </w:r>
      <w:r w:rsidR="00EE76F2" w:rsidRPr="00216A71">
        <w:rPr>
          <w:rFonts w:cstheme="minorHAnsi"/>
          <w:szCs w:val="20"/>
        </w:rPr>
        <w:t xml:space="preserve"> </w:t>
      </w:r>
    </w:p>
    <w:p w:rsidR="00F7421A" w:rsidRPr="00216A71" w:rsidRDefault="00E32AD8" w:rsidP="00667C99">
      <w:pPr>
        <w:rPr>
          <w:rFonts w:cstheme="minorHAnsi"/>
          <w:szCs w:val="20"/>
        </w:rPr>
      </w:pPr>
      <w:r w:rsidRPr="00216A71">
        <w:rPr>
          <w:rFonts w:cstheme="minorHAnsi"/>
          <w:szCs w:val="20"/>
        </w:rPr>
        <w:t>Since the financial crisis, the IFC has created special funds which channel over $2 billion of public money into private equity funds operating in developing countries, or into PPPs which the private sector is reluctant to finance.</w:t>
      </w:r>
      <w:r w:rsidR="00567CE3" w:rsidRPr="00216A71">
        <w:rPr>
          <w:rFonts w:cstheme="minorHAnsi"/>
          <w:szCs w:val="20"/>
        </w:rPr>
        <w:t xml:space="preserve"> </w:t>
      </w:r>
    </w:p>
    <w:p w:rsidR="006230DF" w:rsidRPr="00216A71" w:rsidRDefault="006230DF" w:rsidP="00781FBC">
      <w:pPr>
        <w:pStyle w:val="ListParagraph"/>
        <w:numPr>
          <w:ilvl w:val="0"/>
          <w:numId w:val="48"/>
        </w:numPr>
        <w:rPr>
          <w:rFonts w:cstheme="minorHAnsi"/>
          <w:szCs w:val="20"/>
        </w:rPr>
      </w:pPr>
      <w:r w:rsidRPr="00216A71">
        <w:rPr>
          <w:rFonts w:cstheme="minorHAnsi"/>
          <w:szCs w:val="20"/>
        </w:rPr>
        <w:t xml:space="preserve">In the last 20 years, it has worked on over 350 PPPs in 99 different countries. </w:t>
      </w:r>
    </w:p>
    <w:p w:rsidR="00167C86" w:rsidRPr="00216A71" w:rsidRDefault="006230DF" w:rsidP="00781FBC">
      <w:pPr>
        <w:pStyle w:val="ListParagraph"/>
        <w:numPr>
          <w:ilvl w:val="0"/>
          <w:numId w:val="34"/>
        </w:numPr>
        <w:rPr>
          <w:rFonts w:cstheme="minorHAnsi"/>
          <w:szCs w:val="20"/>
        </w:rPr>
      </w:pPr>
      <w:r w:rsidRPr="00216A71">
        <w:rPr>
          <w:rFonts w:cstheme="minorHAnsi"/>
          <w:szCs w:val="20"/>
        </w:rPr>
        <w:t>In 2013, it invested $1.6</w:t>
      </w:r>
      <w:r w:rsidR="001A1435">
        <w:rPr>
          <w:rFonts w:cstheme="minorHAnsi"/>
          <w:szCs w:val="20"/>
        </w:rPr>
        <w:t xml:space="preserve"> </w:t>
      </w:r>
      <w:r w:rsidRPr="00216A71">
        <w:rPr>
          <w:rFonts w:cstheme="minorHAnsi"/>
          <w:szCs w:val="20"/>
        </w:rPr>
        <w:t>billion for heal</w:t>
      </w:r>
      <w:r w:rsidR="003662A2" w:rsidRPr="00216A71">
        <w:rPr>
          <w:rFonts w:cstheme="minorHAnsi"/>
          <w:szCs w:val="20"/>
        </w:rPr>
        <w:t>th, education and ‘consumer serv</w:t>
      </w:r>
      <w:r w:rsidRPr="00216A71">
        <w:rPr>
          <w:rFonts w:cstheme="minorHAnsi"/>
          <w:szCs w:val="20"/>
        </w:rPr>
        <w:t>ices’, and $2.2 billion in infrastructure – over 20</w:t>
      </w:r>
      <w:r w:rsidR="00A42FDE">
        <w:rPr>
          <w:rFonts w:cstheme="minorHAnsi"/>
          <w:szCs w:val="20"/>
        </w:rPr>
        <w:t xml:space="preserve"> per cent</w:t>
      </w:r>
      <w:r w:rsidRPr="00216A71">
        <w:rPr>
          <w:rFonts w:cstheme="minorHAnsi"/>
          <w:szCs w:val="20"/>
        </w:rPr>
        <w:t xml:space="preserve"> of the IFC’s total investments.</w:t>
      </w:r>
      <w:r w:rsidRPr="00216A71">
        <w:rPr>
          <w:rStyle w:val="EndnoteReference"/>
          <w:rFonts w:cstheme="minorHAnsi"/>
          <w:szCs w:val="20"/>
        </w:rPr>
        <w:endnoteReference w:id="35"/>
      </w:r>
    </w:p>
    <w:p w:rsidR="000C629A" w:rsidRDefault="002A13FA" w:rsidP="00781FBC">
      <w:pPr>
        <w:pStyle w:val="ListParagraph"/>
        <w:numPr>
          <w:ilvl w:val="0"/>
          <w:numId w:val="34"/>
        </w:numPr>
        <w:rPr>
          <w:rFonts w:cstheme="minorHAnsi"/>
          <w:szCs w:val="20"/>
        </w:rPr>
      </w:pPr>
      <w:r w:rsidRPr="00216A71">
        <w:rPr>
          <w:rFonts w:cstheme="minorHAnsi"/>
          <w:szCs w:val="20"/>
        </w:rPr>
        <w:t xml:space="preserve">It actively promotes PPPs, including </w:t>
      </w:r>
      <w:hyperlink r:id="rId41" w:history="1">
        <w:r w:rsidRPr="00216A71">
          <w:rPr>
            <w:rStyle w:val="Hyperlink"/>
            <w:rFonts w:cstheme="minorHAnsi"/>
            <w:szCs w:val="20"/>
          </w:rPr>
          <w:t>a special newsletter ‘Handshake’</w:t>
        </w:r>
      </w:hyperlink>
    </w:p>
    <w:p w:rsidR="000C629A" w:rsidRDefault="00CF112D" w:rsidP="00167C86">
      <w:pPr>
        <w:rPr>
          <w:rFonts w:cstheme="minorHAnsi"/>
          <w:szCs w:val="20"/>
        </w:rPr>
      </w:pPr>
      <w:r w:rsidRPr="00216A71">
        <w:rPr>
          <w:rFonts w:cstheme="minorHAnsi"/>
          <w:szCs w:val="20"/>
        </w:rPr>
        <w:t xml:space="preserve">The </w:t>
      </w:r>
      <w:r w:rsidR="009A2BE5" w:rsidRPr="00216A71">
        <w:rPr>
          <w:rFonts w:cstheme="minorHAnsi"/>
          <w:szCs w:val="20"/>
        </w:rPr>
        <w:t>IFC reports ‘success stories’ in all sectors and regions, simply because potentially profitable PPPs have been created.</w:t>
      </w:r>
      <w:r w:rsidR="006926D7" w:rsidRPr="00216A71">
        <w:rPr>
          <w:rStyle w:val="EndnoteReference"/>
          <w:rFonts w:cstheme="minorHAnsi"/>
          <w:szCs w:val="20"/>
        </w:rPr>
        <w:endnoteReference w:id="36"/>
      </w:r>
      <w:r w:rsidR="009A2BE5" w:rsidRPr="00216A71">
        <w:rPr>
          <w:rFonts w:cstheme="minorHAnsi"/>
          <w:szCs w:val="20"/>
        </w:rPr>
        <w:t xml:space="preserve"> But</w:t>
      </w:r>
      <w:r w:rsidR="00FD28AC" w:rsidRPr="00216A71">
        <w:rPr>
          <w:rFonts w:cstheme="minorHAnsi"/>
          <w:szCs w:val="20"/>
        </w:rPr>
        <w:t xml:space="preserve"> </w:t>
      </w:r>
      <w:r w:rsidR="00FE3E27" w:rsidRPr="00216A71">
        <w:rPr>
          <w:rFonts w:cstheme="minorHAnsi"/>
          <w:szCs w:val="20"/>
        </w:rPr>
        <w:t>there are major problems with these PPPs</w:t>
      </w:r>
      <w:r w:rsidR="00502123" w:rsidRPr="00216A71">
        <w:rPr>
          <w:rFonts w:cstheme="minorHAnsi"/>
          <w:szCs w:val="20"/>
        </w:rPr>
        <w:t>, for example</w:t>
      </w:r>
      <w:r w:rsidRPr="00216A71">
        <w:rPr>
          <w:rFonts w:cstheme="minorHAnsi"/>
          <w:szCs w:val="20"/>
        </w:rPr>
        <w:t>:</w:t>
      </w:r>
    </w:p>
    <w:p w:rsidR="00327ABE" w:rsidRPr="00216A71" w:rsidRDefault="00327ABE" w:rsidP="00327ABE">
      <w:pPr>
        <w:rPr>
          <w:rFonts w:cstheme="minorHAnsi"/>
          <w:szCs w:val="20"/>
        </w:rPr>
      </w:pPr>
      <w:r w:rsidRPr="00216A71">
        <w:rPr>
          <w:rFonts w:cstheme="minorHAnsi"/>
          <w:szCs w:val="20"/>
        </w:rPr>
        <w:t>In water:</w:t>
      </w:r>
    </w:p>
    <w:p w:rsidR="000C629A" w:rsidRDefault="00327ABE" w:rsidP="00327ABE">
      <w:pPr>
        <w:pStyle w:val="ListParagraph"/>
        <w:numPr>
          <w:ilvl w:val="0"/>
          <w:numId w:val="36"/>
        </w:numPr>
        <w:rPr>
          <w:rFonts w:cstheme="minorHAnsi"/>
          <w:szCs w:val="20"/>
        </w:rPr>
      </w:pPr>
      <w:r w:rsidRPr="00216A71">
        <w:rPr>
          <w:rFonts w:cstheme="minorHAnsi"/>
          <w:szCs w:val="20"/>
        </w:rPr>
        <w:t>The IFC has invested $62</w:t>
      </w:r>
      <w:r w:rsidR="001A1435">
        <w:rPr>
          <w:rFonts w:cstheme="minorHAnsi"/>
          <w:szCs w:val="20"/>
        </w:rPr>
        <w:t xml:space="preserve"> </w:t>
      </w:r>
      <w:r w:rsidRPr="00216A71">
        <w:rPr>
          <w:rFonts w:cstheme="minorHAnsi"/>
          <w:szCs w:val="20"/>
        </w:rPr>
        <w:t xml:space="preserve">million in AEGEA Saneamento, a private water company in Brazil which bought two existing privatised water concessions, Prologaos and Aguas Guariroba. </w:t>
      </w:r>
      <w:r w:rsidR="00667C99" w:rsidRPr="00216A71">
        <w:rPr>
          <w:rFonts w:cstheme="minorHAnsi"/>
          <w:szCs w:val="20"/>
        </w:rPr>
        <w:t>But this only finances takeovers, not any new investment</w:t>
      </w:r>
      <w:r w:rsidR="001A1435">
        <w:rPr>
          <w:rFonts w:cstheme="minorHAnsi"/>
          <w:szCs w:val="20"/>
        </w:rPr>
        <w:t>.  T</w:t>
      </w:r>
      <w:r w:rsidRPr="00216A71">
        <w:rPr>
          <w:rFonts w:cstheme="minorHAnsi"/>
          <w:szCs w:val="20"/>
        </w:rPr>
        <w:t xml:space="preserve">he IFC </w:t>
      </w:r>
      <w:r w:rsidR="00667C99" w:rsidRPr="00216A71">
        <w:rPr>
          <w:rFonts w:cstheme="minorHAnsi"/>
          <w:szCs w:val="20"/>
        </w:rPr>
        <w:t xml:space="preserve">only </w:t>
      </w:r>
      <w:r w:rsidRPr="00216A71">
        <w:rPr>
          <w:rFonts w:cstheme="minorHAnsi"/>
          <w:szCs w:val="20"/>
        </w:rPr>
        <w:t>expect</w:t>
      </w:r>
      <w:r w:rsidR="00667C99" w:rsidRPr="00216A71">
        <w:rPr>
          <w:rFonts w:cstheme="minorHAnsi"/>
          <w:szCs w:val="20"/>
        </w:rPr>
        <w:t>s</w:t>
      </w:r>
      <w:r w:rsidRPr="00216A71">
        <w:rPr>
          <w:rFonts w:cstheme="minorHAnsi"/>
          <w:szCs w:val="20"/>
        </w:rPr>
        <w:t xml:space="preserve"> the company to</w:t>
      </w:r>
      <w:r w:rsidR="004045AD">
        <w:rPr>
          <w:rFonts w:cstheme="minorHAnsi"/>
          <w:szCs w:val="20"/>
        </w:rPr>
        <w:t xml:space="preserve"> </w:t>
      </w:r>
      <w:r w:rsidRPr="00216A71">
        <w:rPr>
          <w:rFonts w:cstheme="minorHAnsi"/>
          <w:szCs w:val="20"/>
        </w:rPr>
        <w:t xml:space="preserve">obtain </w:t>
      </w:r>
      <w:r w:rsidRPr="00216A71">
        <w:rPr>
          <w:rFonts w:cstheme="minorHAnsi"/>
          <w:szCs w:val="20"/>
        </w:rPr>
        <w:lastRenderedPageBreak/>
        <w:t>“brownfield municipal water concessions” – i.e. to maintain and operate systems which have already been constructed – and buy up other privatised systems: “acquisition of existing private concessions and sub-concessions</w:t>
      </w:r>
      <w:r w:rsidR="001A1435">
        <w:rPr>
          <w:rFonts w:cstheme="minorHAnsi"/>
          <w:szCs w:val="20"/>
        </w:rPr>
        <w:t>.</w:t>
      </w:r>
      <w:r w:rsidRPr="00216A71">
        <w:rPr>
          <w:rFonts w:cstheme="minorHAnsi"/>
          <w:szCs w:val="20"/>
        </w:rPr>
        <w:t>”</w:t>
      </w:r>
      <w:r w:rsidRPr="00216A71">
        <w:rPr>
          <w:rStyle w:val="EndnoteReference"/>
          <w:rFonts w:cstheme="minorHAnsi"/>
          <w:szCs w:val="20"/>
        </w:rPr>
        <w:endnoteReference w:id="37"/>
      </w:r>
    </w:p>
    <w:p w:rsidR="009A2BE5" w:rsidRPr="00216A71" w:rsidRDefault="009A2BE5" w:rsidP="00167C86">
      <w:pPr>
        <w:rPr>
          <w:rFonts w:cstheme="minorHAnsi"/>
          <w:szCs w:val="20"/>
        </w:rPr>
      </w:pPr>
      <w:r w:rsidRPr="00216A71">
        <w:rPr>
          <w:rFonts w:cstheme="minorHAnsi"/>
          <w:szCs w:val="20"/>
        </w:rPr>
        <w:t>In energy:</w:t>
      </w:r>
    </w:p>
    <w:p w:rsidR="009A2BE5" w:rsidRPr="00216A71" w:rsidRDefault="009A2BE5" w:rsidP="00781FBC">
      <w:pPr>
        <w:pStyle w:val="ListParagraph"/>
        <w:numPr>
          <w:ilvl w:val="0"/>
          <w:numId w:val="35"/>
        </w:numPr>
        <w:rPr>
          <w:rFonts w:cstheme="minorHAnsi"/>
          <w:szCs w:val="20"/>
        </w:rPr>
      </w:pPr>
      <w:r w:rsidRPr="00216A71">
        <w:rPr>
          <w:rFonts w:cstheme="minorHAnsi"/>
          <w:szCs w:val="20"/>
        </w:rPr>
        <w:t xml:space="preserve">The proposed Central Java IPP in Indonesia has already been postponed twice for a total of </w:t>
      </w:r>
      <w:r w:rsidR="001A1435">
        <w:rPr>
          <w:rFonts w:cstheme="minorHAnsi"/>
          <w:szCs w:val="20"/>
        </w:rPr>
        <w:t>two</w:t>
      </w:r>
      <w:r w:rsidRPr="00216A71">
        <w:rPr>
          <w:rFonts w:cstheme="minorHAnsi"/>
          <w:szCs w:val="20"/>
        </w:rPr>
        <w:t xml:space="preserve"> years delay, because of financing difficulties and public and political opposition (see below)</w:t>
      </w:r>
      <w:r w:rsidR="001A1435">
        <w:rPr>
          <w:rFonts w:cstheme="minorHAnsi"/>
          <w:szCs w:val="20"/>
        </w:rPr>
        <w:t>.</w:t>
      </w:r>
    </w:p>
    <w:p w:rsidR="009A2BE5" w:rsidRPr="00216A71" w:rsidRDefault="006926D7" w:rsidP="00781FBC">
      <w:pPr>
        <w:pStyle w:val="ListParagraph"/>
        <w:numPr>
          <w:ilvl w:val="0"/>
          <w:numId w:val="35"/>
        </w:numPr>
        <w:rPr>
          <w:rFonts w:cstheme="minorHAnsi"/>
          <w:szCs w:val="20"/>
        </w:rPr>
      </w:pPr>
      <w:r w:rsidRPr="00216A71">
        <w:rPr>
          <w:rFonts w:cstheme="minorHAnsi"/>
          <w:szCs w:val="20"/>
        </w:rPr>
        <w:t>The privatisation of Olo</w:t>
      </w:r>
      <w:r w:rsidR="009A2BE5" w:rsidRPr="00216A71">
        <w:rPr>
          <w:rFonts w:cstheme="minorHAnsi"/>
          <w:szCs w:val="20"/>
        </w:rPr>
        <w:t>ng</w:t>
      </w:r>
      <w:r w:rsidRPr="00216A71">
        <w:rPr>
          <w:rFonts w:cstheme="minorHAnsi"/>
          <w:szCs w:val="20"/>
        </w:rPr>
        <w:t>ap</w:t>
      </w:r>
      <w:r w:rsidR="009A2BE5" w:rsidRPr="00216A71">
        <w:rPr>
          <w:rFonts w:cstheme="minorHAnsi"/>
          <w:szCs w:val="20"/>
        </w:rPr>
        <w:t xml:space="preserve">o </w:t>
      </w:r>
      <w:r w:rsidRPr="00216A71">
        <w:rPr>
          <w:rFonts w:cstheme="minorHAnsi"/>
          <w:szCs w:val="20"/>
        </w:rPr>
        <w:t>City electricity utility in the Philippines, under a 25-year concession, left the city council with the accumulated debts, as a result of which the city was cut off for non-payment of bills in July 2013.</w:t>
      </w:r>
      <w:r w:rsidRPr="00216A71">
        <w:rPr>
          <w:rStyle w:val="EndnoteReference"/>
          <w:rFonts w:cstheme="minorHAnsi"/>
          <w:szCs w:val="20"/>
        </w:rPr>
        <w:endnoteReference w:id="38"/>
      </w:r>
    </w:p>
    <w:p w:rsidR="000C629A" w:rsidRDefault="00BF058F" w:rsidP="00F7421A">
      <w:pPr>
        <w:pStyle w:val="ListParagraph"/>
        <w:numPr>
          <w:ilvl w:val="0"/>
          <w:numId w:val="35"/>
        </w:numPr>
        <w:rPr>
          <w:rFonts w:cstheme="minorHAnsi"/>
          <w:szCs w:val="20"/>
        </w:rPr>
      </w:pPr>
      <w:r w:rsidRPr="00216A71">
        <w:rPr>
          <w:rFonts w:cstheme="minorHAnsi"/>
          <w:szCs w:val="20"/>
        </w:rPr>
        <w:t xml:space="preserve">Four hydro power plants in Albania were sold to </w:t>
      </w:r>
      <w:r w:rsidR="00ED7FF8" w:rsidRPr="00216A71">
        <w:rPr>
          <w:rFonts w:cstheme="minorHAnsi"/>
          <w:szCs w:val="20"/>
        </w:rPr>
        <w:t xml:space="preserve">Turum, </w:t>
      </w:r>
      <w:r w:rsidRPr="00216A71">
        <w:rPr>
          <w:rFonts w:cstheme="minorHAnsi"/>
          <w:szCs w:val="20"/>
        </w:rPr>
        <w:t>a Turkish steel company</w:t>
      </w:r>
      <w:r w:rsidR="00ED7FF8" w:rsidRPr="00216A71">
        <w:rPr>
          <w:rFonts w:cstheme="minorHAnsi"/>
          <w:szCs w:val="20"/>
        </w:rPr>
        <w:t>,</w:t>
      </w:r>
      <w:r w:rsidRPr="00216A71">
        <w:rPr>
          <w:rFonts w:cstheme="minorHAnsi"/>
          <w:szCs w:val="20"/>
        </w:rPr>
        <w:t xml:space="preserve"> for €109 million – all of which was financed by an IFC loan</w:t>
      </w:r>
      <w:r w:rsidR="001A1435">
        <w:rPr>
          <w:rFonts w:cstheme="minorHAnsi"/>
          <w:szCs w:val="20"/>
        </w:rPr>
        <w:t>.</w:t>
      </w:r>
      <w:r w:rsidR="00FE3E27" w:rsidRPr="00216A71">
        <w:rPr>
          <w:rFonts w:cstheme="minorHAnsi"/>
          <w:szCs w:val="20"/>
        </w:rPr>
        <w:t xml:space="preserve"> </w:t>
      </w:r>
      <w:r w:rsidR="001A1435">
        <w:rPr>
          <w:rFonts w:cstheme="minorHAnsi"/>
          <w:szCs w:val="20"/>
        </w:rPr>
        <w:t>T</w:t>
      </w:r>
      <w:r w:rsidRPr="00216A71">
        <w:rPr>
          <w:rFonts w:cstheme="minorHAnsi"/>
          <w:szCs w:val="20"/>
        </w:rPr>
        <w:t xml:space="preserve">he company </w:t>
      </w:r>
      <w:r w:rsidR="00FE3E27" w:rsidRPr="00216A71">
        <w:rPr>
          <w:rFonts w:cstheme="minorHAnsi"/>
          <w:szCs w:val="20"/>
        </w:rPr>
        <w:t xml:space="preserve">thereby gets </w:t>
      </w:r>
      <w:r w:rsidRPr="00216A71">
        <w:rPr>
          <w:rFonts w:cstheme="minorHAnsi"/>
          <w:szCs w:val="20"/>
        </w:rPr>
        <w:t>access to much cheaper electricity for its own operations</w:t>
      </w:r>
      <w:r w:rsidR="00ED7FF8" w:rsidRPr="00216A71">
        <w:rPr>
          <w:rFonts w:cstheme="minorHAnsi"/>
          <w:szCs w:val="20"/>
        </w:rPr>
        <w:t>. The</w:t>
      </w:r>
      <w:r w:rsidRPr="00216A71">
        <w:rPr>
          <w:rFonts w:cstheme="minorHAnsi"/>
          <w:szCs w:val="20"/>
        </w:rPr>
        <w:t xml:space="preserve"> sale has been attacked for corruption, for being sold at too low a price, and for causing a loss of €27 million because of power purchase obligations</w:t>
      </w:r>
      <w:r w:rsidR="00ED7FF8" w:rsidRPr="00216A71">
        <w:rPr>
          <w:rFonts w:cstheme="minorHAnsi"/>
          <w:szCs w:val="20"/>
        </w:rPr>
        <w:t>. In addition, the company has been fined for tax evasion; and the privatisation of the distribution company to the Czech firm CEZ was terminated earlier in 2013 because it was financially unable to continue.</w:t>
      </w:r>
      <w:r w:rsidRPr="00216A71">
        <w:rPr>
          <w:rStyle w:val="EndnoteReference"/>
          <w:rFonts w:cstheme="minorHAnsi"/>
          <w:szCs w:val="20"/>
        </w:rPr>
        <w:endnoteReference w:id="39"/>
      </w:r>
      <w:r w:rsidRPr="00216A71">
        <w:rPr>
          <w:rFonts w:cstheme="minorHAnsi"/>
          <w:szCs w:val="20"/>
        </w:rPr>
        <w:t xml:space="preserve"> </w:t>
      </w:r>
    </w:p>
    <w:p w:rsidR="000C629A" w:rsidRDefault="00F7421A" w:rsidP="00F7421A">
      <w:pPr>
        <w:rPr>
          <w:rFonts w:cstheme="minorHAnsi"/>
          <w:bCs/>
          <w:szCs w:val="20"/>
        </w:rPr>
      </w:pPr>
      <w:r w:rsidRPr="00216A71">
        <w:rPr>
          <w:rFonts w:cstheme="minorHAnsi"/>
          <w:szCs w:val="20"/>
        </w:rPr>
        <w:t>In 2008 the IFC tried to create an ‘</w:t>
      </w:r>
      <w:r w:rsidRPr="00216A71">
        <w:rPr>
          <w:rFonts w:cstheme="minorHAnsi"/>
          <w:bCs/>
          <w:szCs w:val="20"/>
        </w:rPr>
        <w:t>Infrastructure Crisis Facility’</w:t>
      </w:r>
      <w:r w:rsidR="00277AAA" w:rsidRPr="00216A71">
        <w:rPr>
          <w:rFonts w:cstheme="minorHAnsi"/>
          <w:bCs/>
          <w:szCs w:val="20"/>
        </w:rPr>
        <w:t xml:space="preserve"> </w:t>
      </w:r>
      <w:r w:rsidRPr="00216A71">
        <w:rPr>
          <w:rFonts w:cstheme="minorHAnsi"/>
          <w:szCs w:val="20"/>
        </w:rPr>
        <w:t>fund of $1.5</w:t>
      </w:r>
      <w:r w:rsidR="001A1435">
        <w:rPr>
          <w:rFonts w:cstheme="minorHAnsi"/>
          <w:szCs w:val="20"/>
        </w:rPr>
        <w:t xml:space="preserve"> </w:t>
      </w:r>
      <w:r w:rsidRPr="00216A71">
        <w:rPr>
          <w:rFonts w:cstheme="minorHAnsi"/>
          <w:szCs w:val="20"/>
        </w:rPr>
        <w:t>billion to $10</w:t>
      </w:r>
      <w:r w:rsidR="001A1435">
        <w:rPr>
          <w:rFonts w:cstheme="minorHAnsi"/>
          <w:szCs w:val="20"/>
        </w:rPr>
        <w:t xml:space="preserve"> </w:t>
      </w:r>
      <w:r w:rsidRPr="00216A71">
        <w:rPr>
          <w:rFonts w:cstheme="minorHAnsi"/>
          <w:szCs w:val="20"/>
        </w:rPr>
        <w:t xml:space="preserve">billion to finance PPPs which </w:t>
      </w:r>
      <w:r w:rsidRPr="00216A71">
        <w:rPr>
          <w:rFonts w:cstheme="minorHAnsi"/>
          <w:bCs/>
          <w:szCs w:val="20"/>
        </w:rPr>
        <w:t>‘cannot obtain commercial financing or re-financing</w:t>
      </w:r>
      <w:r w:rsidR="001A1435">
        <w:rPr>
          <w:rFonts w:cstheme="minorHAnsi"/>
          <w:bCs/>
          <w:szCs w:val="20"/>
        </w:rPr>
        <w:t xml:space="preserve"> of</w:t>
      </w:r>
      <w:r w:rsidRPr="00216A71">
        <w:rPr>
          <w:rFonts w:cstheme="minorHAnsi"/>
          <w:bCs/>
          <w:szCs w:val="20"/>
        </w:rPr>
        <w:t xml:space="preserve"> existing loans as a consequence of the global financial crisis and the tightening of commercial bank lending</w:t>
      </w:r>
      <w:r w:rsidR="001A1435">
        <w:rPr>
          <w:rFonts w:cstheme="minorHAnsi"/>
          <w:bCs/>
          <w:szCs w:val="20"/>
        </w:rPr>
        <w:t>.</w:t>
      </w:r>
      <w:r w:rsidRPr="00216A71">
        <w:rPr>
          <w:rFonts w:cstheme="minorHAnsi"/>
          <w:bCs/>
          <w:szCs w:val="20"/>
        </w:rPr>
        <w:t>’</w:t>
      </w:r>
      <w:r w:rsidRPr="00216A71">
        <w:rPr>
          <w:rFonts w:cstheme="minorHAnsi"/>
          <w:szCs w:val="20"/>
        </w:rPr>
        <w:t xml:space="preserve"> </w:t>
      </w:r>
      <w:r w:rsidR="001A1435">
        <w:rPr>
          <w:rFonts w:cstheme="minorHAnsi"/>
          <w:szCs w:val="20"/>
        </w:rPr>
        <w:t>I</w:t>
      </w:r>
      <w:r w:rsidRPr="00216A71">
        <w:rPr>
          <w:rFonts w:cstheme="minorHAnsi"/>
          <w:szCs w:val="20"/>
        </w:rPr>
        <w:t>n practice, the fund has only managed to attract $500</w:t>
      </w:r>
      <w:r w:rsidR="001A1435">
        <w:rPr>
          <w:rFonts w:cstheme="minorHAnsi"/>
          <w:szCs w:val="20"/>
        </w:rPr>
        <w:t xml:space="preserve"> </w:t>
      </w:r>
      <w:r w:rsidRPr="00216A71">
        <w:rPr>
          <w:rFonts w:cstheme="minorHAnsi"/>
          <w:szCs w:val="20"/>
        </w:rPr>
        <w:t xml:space="preserve">million from the </w:t>
      </w:r>
      <w:r w:rsidRPr="00216A71">
        <w:rPr>
          <w:rFonts w:cstheme="minorHAnsi"/>
          <w:bCs/>
          <w:szCs w:val="20"/>
        </w:rPr>
        <w:t>German aid agency KfW, and this public money is being used to finance 12 PPPs.</w:t>
      </w:r>
      <w:r w:rsidR="00327ABE" w:rsidRPr="00216A71">
        <w:rPr>
          <w:rStyle w:val="EndnoteReference"/>
          <w:rFonts w:cstheme="minorHAnsi"/>
          <w:bCs/>
          <w:szCs w:val="20"/>
        </w:rPr>
        <w:endnoteReference w:id="40"/>
      </w:r>
      <w:r w:rsidRPr="00216A71">
        <w:rPr>
          <w:rFonts w:cstheme="minorHAnsi"/>
          <w:bCs/>
          <w:szCs w:val="20"/>
        </w:rPr>
        <w:t xml:space="preserve"> These include </w:t>
      </w:r>
      <w:r w:rsidR="00327ABE" w:rsidRPr="00216A71">
        <w:rPr>
          <w:rFonts w:cstheme="minorHAnsi"/>
          <w:bCs/>
          <w:szCs w:val="20"/>
        </w:rPr>
        <w:t>two energy PPPs:</w:t>
      </w:r>
    </w:p>
    <w:p w:rsidR="002663A7" w:rsidRPr="00216A71" w:rsidRDefault="002663A7" w:rsidP="00EC4A5D">
      <w:pPr>
        <w:pStyle w:val="ListParagraph"/>
        <w:numPr>
          <w:ilvl w:val="0"/>
          <w:numId w:val="65"/>
        </w:numPr>
        <w:rPr>
          <w:rFonts w:cstheme="minorHAnsi"/>
          <w:bCs/>
          <w:szCs w:val="20"/>
        </w:rPr>
      </w:pPr>
      <w:r w:rsidRPr="00216A71">
        <w:rPr>
          <w:rFonts w:cstheme="minorHAnsi"/>
          <w:bCs/>
          <w:szCs w:val="20"/>
        </w:rPr>
        <w:t>Addax Bioenergy, owned by the Swiss company AOG, has a combined bio-fuel and IPP project in Sierra Leone involving a 10,000 hectare sugar-cane plantation</w:t>
      </w:r>
      <w:r w:rsidR="00197F2F" w:rsidRPr="00216A71">
        <w:rPr>
          <w:rFonts w:cstheme="minorHAnsi"/>
          <w:bCs/>
          <w:szCs w:val="20"/>
        </w:rPr>
        <w:t xml:space="preserve"> which feeds an </w:t>
      </w:r>
      <w:r w:rsidRPr="00216A71">
        <w:rPr>
          <w:rFonts w:cstheme="minorHAnsi"/>
          <w:bCs/>
          <w:szCs w:val="20"/>
        </w:rPr>
        <w:t xml:space="preserve">ethanol factory which will export ethanol to Europe, and a 32MW power plant, of which 15MW is sold to the national grid under a PPA. </w:t>
      </w:r>
      <w:r w:rsidR="00AC0895" w:rsidRPr="00216A71">
        <w:rPr>
          <w:rFonts w:cstheme="minorHAnsi"/>
          <w:bCs/>
          <w:szCs w:val="20"/>
        </w:rPr>
        <w:t xml:space="preserve">The total cost of the project is €267 million, </w:t>
      </w:r>
      <w:r w:rsidR="002574CE" w:rsidRPr="00216A71">
        <w:rPr>
          <w:rFonts w:cstheme="minorHAnsi"/>
          <w:bCs/>
          <w:szCs w:val="20"/>
        </w:rPr>
        <w:t>over 60</w:t>
      </w:r>
      <w:r w:rsidR="00A42FDE">
        <w:rPr>
          <w:rFonts w:cstheme="minorHAnsi"/>
          <w:bCs/>
          <w:szCs w:val="20"/>
        </w:rPr>
        <w:t xml:space="preserve"> per cent</w:t>
      </w:r>
      <w:r w:rsidR="002574CE" w:rsidRPr="00216A71">
        <w:rPr>
          <w:rFonts w:cstheme="minorHAnsi"/>
          <w:bCs/>
          <w:szCs w:val="20"/>
        </w:rPr>
        <w:t xml:space="preserve"> of which is financed by loans or equity from public sector bodies</w:t>
      </w:r>
      <w:r w:rsidR="004045AD">
        <w:rPr>
          <w:rFonts w:cstheme="minorHAnsi"/>
          <w:bCs/>
          <w:szCs w:val="20"/>
        </w:rPr>
        <w:t xml:space="preserve"> – </w:t>
      </w:r>
      <w:r w:rsidR="002574CE" w:rsidRPr="00216A71">
        <w:rPr>
          <w:rFonts w:cstheme="minorHAnsi"/>
          <w:bCs/>
          <w:szCs w:val="20"/>
        </w:rPr>
        <w:t xml:space="preserve">the development agencies of European countries (UK, Germany, Netherlands, Sweden, Belgium), the African Development Bank, and the South African Industrial Development Corporation. </w:t>
      </w:r>
      <w:r w:rsidR="00667C99" w:rsidRPr="00216A71">
        <w:rPr>
          <w:rFonts w:cstheme="minorHAnsi"/>
          <w:bCs/>
          <w:szCs w:val="20"/>
        </w:rPr>
        <w:t xml:space="preserve">In addition, the income of the power plant is effectively guaranteed by the PPA, signed by the president, whose terms have not been published. </w:t>
      </w:r>
      <w:r w:rsidR="002574CE" w:rsidRPr="00216A71">
        <w:rPr>
          <w:rFonts w:cstheme="minorHAnsi"/>
          <w:bCs/>
          <w:szCs w:val="20"/>
        </w:rPr>
        <w:t xml:space="preserve">A report by international NGO </w:t>
      </w:r>
      <w:r w:rsidR="00277AAA" w:rsidRPr="00216A71">
        <w:rPr>
          <w:rFonts w:cstheme="minorHAnsi"/>
          <w:bCs/>
          <w:szCs w:val="20"/>
        </w:rPr>
        <w:t>ActionA</w:t>
      </w:r>
      <w:r w:rsidR="00AC0895" w:rsidRPr="00216A71">
        <w:rPr>
          <w:rFonts w:cstheme="minorHAnsi"/>
          <w:bCs/>
          <w:szCs w:val="20"/>
        </w:rPr>
        <w:t xml:space="preserve">id has </w:t>
      </w:r>
      <w:r w:rsidR="002574CE" w:rsidRPr="00216A71">
        <w:rPr>
          <w:rFonts w:cstheme="minorHAnsi"/>
          <w:bCs/>
          <w:szCs w:val="20"/>
        </w:rPr>
        <w:t xml:space="preserve">denounced the project as unsustainable, breaching community rights, worsening the food supply of the local population, and paying below-subsistence wages. </w:t>
      </w:r>
      <w:r w:rsidR="00AC0895" w:rsidRPr="00216A71">
        <w:rPr>
          <w:rFonts w:cstheme="minorHAnsi"/>
          <w:bCs/>
          <w:szCs w:val="20"/>
        </w:rPr>
        <w:t>The company took far more land than necessary</w:t>
      </w:r>
      <w:r w:rsidR="002574CE" w:rsidRPr="00216A71">
        <w:rPr>
          <w:rFonts w:cstheme="minorHAnsi"/>
          <w:bCs/>
          <w:szCs w:val="20"/>
        </w:rPr>
        <w:t xml:space="preserve"> for the sugar plantation alone, claiming </w:t>
      </w:r>
      <w:r w:rsidR="00AC0895" w:rsidRPr="00216A71">
        <w:rPr>
          <w:rFonts w:cstheme="minorHAnsi"/>
          <w:bCs/>
          <w:szCs w:val="20"/>
        </w:rPr>
        <w:t>‘exclusive possession’ of</w:t>
      </w:r>
      <w:r w:rsidR="002574CE" w:rsidRPr="00216A71">
        <w:rPr>
          <w:rFonts w:cstheme="minorHAnsi"/>
          <w:bCs/>
          <w:szCs w:val="20"/>
        </w:rPr>
        <w:t xml:space="preserve"> the rivers as well as the land.</w:t>
      </w:r>
      <w:r w:rsidR="004045AD">
        <w:rPr>
          <w:rFonts w:cstheme="minorHAnsi"/>
          <w:bCs/>
          <w:szCs w:val="20"/>
        </w:rPr>
        <w:t xml:space="preserve"> </w:t>
      </w:r>
      <w:r w:rsidR="00AC518A" w:rsidRPr="00216A71">
        <w:rPr>
          <w:rFonts w:cstheme="minorHAnsi"/>
          <w:bCs/>
          <w:szCs w:val="20"/>
        </w:rPr>
        <w:t>The lawyer who signed the leases, claiming to represent the local people, also represented companies involved in similar land-acquisitions, and has since become Minister of Justice, where he is also responsible for deciding what prosecutions go ahead for corruption.</w:t>
      </w:r>
      <w:r w:rsidR="00197F2F" w:rsidRPr="00216A71">
        <w:rPr>
          <w:rStyle w:val="EndnoteReference"/>
          <w:rFonts w:cstheme="minorHAnsi"/>
          <w:bCs/>
          <w:szCs w:val="20"/>
        </w:rPr>
        <w:endnoteReference w:id="41"/>
      </w:r>
    </w:p>
    <w:p w:rsidR="002663A7" w:rsidRPr="00216A71" w:rsidRDefault="002663A7" w:rsidP="00EC4A5D">
      <w:pPr>
        <w:pStyle w:val="ListParagraph"/>
        <w:rPr>
          <w:rFonts w:cstheme="minorHAnsi"/>
          <w:bCs/>
          <w:szCs w:val="20"/>
        </w:rPr>
      </w:pPr>
      <w:r w:rsidRPr="00216A71">
        <w:rPr>
          <w:rFonts w:cstheme="minorHAnsi"/>
          <w:bCs/>
          <w:szCs w:val="20"/>
        </w:rPr>
        <w:t xml:space="preserve"> </w:t>
      </w:r>
    </w:p>
    <w:p w:rsidR="005D08F6" w:rsidRPr="00216A71" w:rsidRDefault="00327ABE" w:rsidP="00EC4A5D">
      <w:pPr>
        <w:pStyle w:val="ListParagraph"/>
        <w:numPr>
          <w:ilvl w:val="0"/>
          <w:numId w:val="65"/>
        </w:numPr>
        <w:rPr>
          <w:rFonts w:cstheme="minorHAnsi"/>
          <w:bCs/>
          <w:szCs w:val="20"/>
        </w:rPr>
      </w:pPr>
      <w:r w:rsidRPr="00216A71">
        <w:rPr>
          <w:rFonts w:cstheme="minorHAnsi"/>
          <w:bCs/>
          <w:szCs w:val="20"/>
        </w:rPr>
        <w:t>Calidda Peru, a</w:t>
      </w:r>
      <w:r w:rsidR="00876A83" w:rsidRPr="00216A71">
        <w:rPr>
          <w:rFonts w:cstheme="minorHAnsi"/>
          <w:bCs/>
          <w:szCs w:val="20"/>
        </w:rPr>
        <w:t xml:space="preserve"> private</w:t>
      </w:r>
      <w:r w:rsidRPr="00216A71">
        <w:rPr>
          <w:rFonts w:cstheme="minorHAnsi"/>
          <w:bCs/>
          <w:szCs w:val="20"/>
        </w:rPr>
        <w:t xml:space="preserve"> gas company</w:t>
      </w:r>
      <w:r w:rsidR="00876A83" w:rsidRPr="00216A71">
        <w:rPr>
          <w:rFonts w:cstheme="minorHAnsi"/>
          <w:bCs/>
          <w:szCs w:val="20"/>
        </w:rPr>
        <w:t xml:space="preserve"> jointly owned by Colombian public sector companies Promigas and EEB, has the concession for Lima’s gas network. An extension to the network costs $235</w:t>
      </w:r>
      <w:r w:rsidR="001A1435">
        <w:rPr>
          <w:rFonts w:cstheme="minorHAnsi"/>
          <w:bCs/>
          <w:szCs w:val="20"/>
        </w:rPr>
        <w:t xml:space="preserve"> </w:t>
      </w:r>
      <w:r w:rsidR="00876A83" w:rsidRPr="00216A71">
        <w:rPr>
          <w:rFonts w:cstheme="minorHAnsi"/>
          <w:bCs/>
          <w:szCs w:val="20"/>
        </w:rPr>
        <w:t>m</w:t>
      </w:r>
      <w:r w:rsidR="001A1435">
        <w:rPr>
          <w:rFonts w:cstheme="minorHAnsi"/>
          <w:bCs/>
          <w:szCs w:val="20"/>
        </w:rPr>
        <w:t>illion</w:t>
      </w:r>
      <w:r w:rsidR="00876A83" w:rsidRPr="00216A71">
        <w:rPr>
          <w:rFonts w:cstheme="minorHAnsi"/>
          <w:bCs/>
          <w:szCs w:val="20"/>
        </w:rPr>
        <w:t xml:space="preserve">, of which </w:t>
      </w:r>
      <w:r w:rsidR="007E7585" w:rsidRPr="00216A71">
        <w:rPr>
          <w:rFonts w:cstheme="minorHAnsi"/>
          <w:bCs/>
          <w:szCs w:val="20"/>
        </w:rPr>
        <w:t>$50</w:t>
      </w:r>
      <w:r w:rsidR="001A1435">
        <w:rPr>
          <w:rFonts w:cstheme="minorHAnsi"/>
          <w:bCs/>
          <w:szCs w:val="20"/>
        </w:rPr>
        <w:t xml:space="preserve"> </w:t>
      </w:r>
      <w:r w:rsidR="007E7585" w:rsidRPr="00216A71">
        <w:rPr>
          <w:rFonts w:cstheme="minorHAnsi"/>
          <w:bCs/>
          <w:szCs w:val="20"/>
        </w:rPr>
        <w:t>m</w:t>
      </w:r>
      <w:r w:rsidR="001A1435">
        <w:rPr>
          <w:rFonts w:cstheme="minorHAnsi"/>
          <w:bCs/>
          <w:szCs w:val="20"/>
        </w:rPr>
        <w:t>illion</w:t>
      </w:r>
      <w:r w:rsidR="007E7585" w:rsidRPr="00216A71">
        <w:rPr>
          <w:rFonts w:cstheme="minorHAnsi"/>
          <w:bCs/>
          <w:szCs w:val="20"/>
        </w:rPr>
        <w:t xml:space="preserve"> </w:t>
      </w:r>
      <w:r w:rsidR="00876A83" w:rsidRPr="00216A71">
        <w:rPr>
          <w:rFonts w:cstheme="minorHAnsi"/>
          <w:bCs/>
          <w:szCs w:val="20"/>
        </w:rPr>
        <w:t>is financed by a</w:t>
      </w:r>
      <w:r w:rsidR="007E7585" w:rsidRPr="00216A71">
        <w:rPr>
          <w:rFonts w:cstheme="minorHAnsi"/>
          <w:bCs/>
          <w:szCs w:val="20"/>
        </w:rPr>
        <w:t xml:space="preserve"> loan from the IFC and $50</w:t>
      </w:r>
      <w:r w:rsidR="001A1435">
        <w:rPr>
          <w:rFonts w:cstheme="minorHAnsi"/>
          <w:bCs/>
          <w:szCs w:val="20"/>
        </w:rPr>
        <w:t xml:space="preserve"> </w:t>
      </w:r>
      <w:r w:rsidR="007E7585" w:rsidRPr="00216A71">
        <w:rPr>
          <w:rFonts w:cstheme="minorHAnsi"/>
          <w:bCs/>
          <w:szCs w:val="20"/>
        </w:rPr>
        <w:t>m</w:t>
      </w:r>
      <w:r w:rsidR="001A1435">
        <w:rPr>
          <w:rFonts w:cstheme="minorHAnsi"/>
          <w:bCs/>
          <w:szCs w:val="20"/>
        </w:rPr>
        <w:t>illion</w:t>
      </w:r>
      <w:r w:rsidR="007E7585" w:rsidRPr="00216A71">
        <w:rPr>
          <w:rFonts w:cstheme="minorHAnsi"/>
          <w:bCs/>
          <w:szCs w:val="20"/>
        </w:rPr>
        <w:t xml:space="preserve"> from the ‘infrastructure crisis fund’ on the grounds that banks and pension funds were unwilling to finance it, and other IFIs did not have time to complete due diligence.</w:t>
      </w:r>
      <w:r w:rsidR="00876A83" w:rsidRPr="00216A71">
        <w:rPr>
          <w:rStyle w:val="EndnoteReference"/>
          <w:rFonts w:cstheme="minorHAnsi"/>
          <w:bCs/>
          <w:szCs w:val="20"/>
        </w:rPr>
        <w:endnoteReference w:id="42"/>
      </w:r>
    </w:p>
    <w:p w:rsidR="00327ABE" w:rsidRPr="00216A71" w:rsidRDefault="005D08F6" w:rsidP="005D08F6">
      <w:pPr>
        <w:rPr>
          <w:rFonts w:cstheme="minorHAnsi"/>
          <w:bCs/>
          <w:szCs w:val="20"/>
        </w:rPr>
      </w:pPr>
      <w:r w:rsidRPr="00216A71">
        <w:rPr>
          <w:rFonts w:cstheme="minorHAnsi"/>
          <w:bCs/>
          <w:szCs w:val="20"/>
        </w:rPr>
        <w:br w:type="page"/>
      </w:r>
    </w:p>
    <w:p w:rsidR="00502123" w:rsidRPr="00216A71" w:rsidRDefault="00502123" w:rsidP="00502123">
      <w:pPr>
        <w:pStyle w:val="Heading7"/>
        <w:rPr>
          <w:rFonts w:asciiTheme="minorHAnsi" w:hAnsiTheme="minorHAnsi" w:cstheme="minorHAnsi"/>
          <w:szCs w:val="20"/>
        </w:rPr>
      </w:pPr>
      <w:r w:rsidRPr="00216A71">
        <w:rPr>
          <w:rFonts w:asciiTheme="minorHAnsi" w:hAnsiTheme="minorHAnsi" w:cstheme="minorHAnsi"/>
          <w:szCs w:val="20"/>
        </w:rPr>
        <w:lastRenderedPageBreak/>
        <w:t>I</w:t>
      </w:r>
      <w:r w:rsidR="001A1435">
        <w:rPr>
          <w:rFonts w:asciiTheme="minorHAnsi" w:hAnsiTheme="minorHAnsi" w:cstheme="minorHAnsi"/>
          <w:szCs w:val="20"/>
        </w:rPr>
        <w:t xml:space="preserve">nternational </w:t>
      </w:r>
      <w:r w:rsidRPr="00216A71">
        <w:rPr>
          <w:rFonts w:asciiTheme="minorHAnsi" w:hAnsiTheme="minorHAnsi" w:cstheme="minorHAnsi"/>
          <w:szCs w:val="20"/>
        </w:rPr>
        <w:t>F</w:t>
      </w:r>
      <w:r w:rsidR="001A1435">
        <w:rPr>
          <w:rFonts w:asciiTheme="minorHAnsi" w:hAnsiTheme="minorHAnsi" w:cstheme="minorHAnsi"/>
          <w:szCs w:val="20"/>
        </w:rPr>
        <w:t xml:space="preserve">inance </w:t>
      </w:r>
      <w:r w:rsidRPr="00216A71">
        <w:rPr>
          <w:rFonts w:asciiTheme="minorHAnsi" w:hAnsiTheme="minorHAnsi" w:cstheme="minorHAnsi"/>
          <w:szCs w:val="20"/>
        </w:rPr>
        <w:t>C</w:t>
      </w:r>
      <w:r w:rsidR="001A1435">
        <w:rPr>
          <w:rFonts w:asciiTheme="minorHAnsi" w:hAnsiTheme="minorHAnsi" w:cstheme="minorHAnsi"/>
          <w:szCs w:val="20"/>
        </w:rPr>
        <w:t>orporation (World Bank)</w:t>
      </w:r>
      <w:r w:rsidRPr="00216A71">
        <w:rPr>
          <w:rFonts w:asciiTheme="minorHAnsi" w:hAnsiTheme="minorHAnsi" w:cstheme="minorHAnsi"/>
          <w:szCs w:val="20"/>
        </w:rPr>
        <w:t xml:space="preserve"> active projects with PPPs</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992"/>
        <w:gridCol w:w="851"/>
        <w:gridCol w:w="3402"/>
        <w:gridCol w:w="1225"/>
        <w:gridCol w:w="1225"/>
        <w:gridCol w:w="668"/>
      </w:tblGrid>
      <w:tr w:rsidR="00580BF5" w:rsidRPr="00216A71" w:rsidTr="00EC4A5D">
        <w:trPr>
          <w:trHeight w:val="240"/>
        </w:trPr>
        <w:tc>
          <w:tcPr>
            <w:tcW w:w="724" w:type="dxa"/>
            <w:shd w:val="clear" w:color="000000" w:fill="BDBDBD"/>
            <w:vAlign w:val="center"/>
          </w:tcPr>
          <w:p w:rsidR="00580BF5" w:rsidRPr="00216A71" w:rsidRDefault="00580BF5" w:rsidP="00502123">
            <w:pPr>
              <w:rPr>
                <w:rFonts w:cstheme="minorHAnsi"/>
                <w:b/>
                <w:bCs/>
                <w:color w:val="000000"/>
                <w:sz w:val="18"/>
                <w:szCs w:val="18"/>
              </w:rPr>
            </w:pPr>
            <w:r w:rsidRPr="00216A71">
              <w:rPr>
                <w:rFonts w:cstheme="minorHAnsi"/>
                <w:b/>
                <w:bCs/>
                <w:color w:val="000000"/>
                <w:sz w:val="18"/>
                <w:szCs w:val="18"/>
              </w:rPr>
              <w:t> Year</w:t>
            </w:r>
          </w:p>
        </w:tc>
        <w:tc>
          <w:tcPr>
            <w:tcW w:w="992" w:type="dxa"/>
            <w:shd w:val="clear" w:color="000000" w:fill="BDBDBD"/>
            <w:vAlign w:val="center"/>
          </w:tcPr>
          <w:p w:rsidR="00580BF5" w:rsidRPr="00216A71" w:rsidRDefault="00580BF5" w:rsidP="00502123">
            <w:pPr>
              <w:rPr>
                <w:rFonts w:cstheme="minorHAnsi"/>
                <w:b/>
                <w:bCs/>
                <w:color w:val="000000"/>
                <w:sz w:val="18"/>
                <w:szCs w:val="18"/>
              </w:rPr>
            </w:pPr>
            <w:r w:rsidRPr="00216A71">
              <w:rPr>
                <w:rFonts w:cstheme="minorHAnsi"/>
                <w:b/>
                <w:bCs/>
                <w:color w:val="000000"/>
                <w:sz w:val="18"/>
                <w:szCs w:val="18"/>
              </w:rPr>
              <w:t>Country</w:t>
            </w:r>
          </w:p>
        </w:tc>
        <w:tc>
          <w:tcPr>
            <w:tcW w:w="851" w:type="dxa"/>
            <w:shd w:val="clear" w:color="000000" w:fill="BDBDBD"/>
          </w:tcPr>
          <w:p w:rsidR="00580BF5" w:rsidRPr="00216A71" w:rsidRDefault="00580BF5" w:rsidP="00502123">
            <w:pPr>
              <w:rPr>
                <w:rFonts w:cstheme="minorHAnsi"/>
                <w:b/>
                <w:bCs/>
                <w:color w:val="000000"/>
                <w:sz w:val="18"/>
                <w:szCs w:val="18"/>
              </w:rPr>
            </w:pPr>
            <w:r w:rsidRPr="00216A71">
              <w:rPr>
                <w:rFonts w:cstheme="minorHAnsi"/>
                <w:b/>
                <w:bCs/>
                <w:color w:val="000000"/>
                <w:sz w:val="18"/>
                <w:szCs w:val="18"/>
              </w:rPr>
              <w:t>Sector</w:t>
            </w:r>
          </w:p>
        </w:tc>
        <w:tc>
          <w:tcPr>
            <w:tcW w:w="3402" w:type="dxa"/>
            <w:shd w:val="clear" w:color="000000" w:fill="BDBDBD"/>
            <w:vAlign w:val="center"/>
          </w:tcPr>
          <w:p w:rsidR="00580BF5" w:rsidRPr="00216A71" w:rsidRDefault="00580BF5" w:rsidP="00502123">
            <w:pPr>
              <w:rPr>
                <w:rFonts w:cstheme="minorHAnsi"/>
                <w:b/>
                <w:bCs/>
                <w:color w:val="000000"/>
                <w:sz w:val="18"/>
                <w:szCs w:val="18"/>
              </w:rPr>
            </w:pPr>
            <w:r w:rsidRPr="00216A71" w:rsidDel="002E0A8D">
              <w:rPr>
                <w:rFonts w:cstheme="minorHAnsi"/>
                <w:b/>
                <w:bCs/>
                <w:color w:val="000000"/>
                <w:sz w:val="18"/>
                <w:szCs w:val="18"/>
              </w:rPr>
              <w:t>Sector</w:t>
            </w:r>
            <w:r w:rsidR="00277AAA" w:rsidRPr="00216A71">
              <w:rPr>
                <w:rFonts w:cstheme="minorHAnsi"/>
                <w:b/>
                <w:bCs/>
                <w:color w:val="000000"/>
                <w:sz w:val="18"/>
                <w:szCs w:val="18"/>
              </w:rPr>
              <w:t xml:space="preserve"> </w:t>
            </w:r>
            <w:r w:rsidRPr="00216A71">
              <w:rPr>
                <w:rFonts w:cstheme="minorHAnsi"/>
                <w:b/>
                <w:bCs/>
                <w:color w:val="000000"/>
                <w:sz w:val="18"/>
                <w:szCs w:val="18"/>
              </w:rPr>
              <w:t>IFC sector description</w:t>
            </w:r>
          </w:p>
        </w:tc>
        <w:tc>
          <w:tcPr>
            <w:tcW w:w="1225" w:type="dxa"/>
            <w:shd w:val="clear" w:color="000000" w:fill="BDBDBD"/>
            <w:noWrap/>
            <w:vAlign w:val="center"/>
            <w:hideMark/>
          </w:tcPr>
          <w:p w:rsidR="00580BF5" w:rsidRPr="00216A71" w:rsidRDefault="00580BF5" w:rsidP="00502123">
            <w:pPr>
              <w:rPr>
                <w:rFonts w:cstheme="minorHAnsi"/>
                <w:b/>
                <w:bCs/>
                <w:color w:val="000000"/>
                <w:sz w:val="18"/>
                <w:szCs w:val="18"/>
              </w:rPr>
            </w:pPr>
            <w:r w:rsidRPr="00216A71">
              <w:rPr>
                <w:rFonts w:cstheme="minorHAnsi"/>
                <w:b/>
                <w:bCs/>
                <w:color w:val="000000"/>
                <w:sz w:val="18"/>
                <w:szCs w:val="18"/>
              </w:rPr>
              <w:t>Project Name</w:t>
            </w:r>
          </w:p>
        </w:tc>
        <w:tc>
          <w:tcPr>
            <w:tcW w:w="1225" w:type="dxa"/>
            <w:shd w:val="clear" w:color="000000" w:fill="BDBDBD"/>
            <w:noWrap/>
            <w:vAlign w:val="center"/>
            <w:hideMark/>
          </w:tcPr>
          <w:p w:rsidR="00580BF5" w:rsidRPr="00216A71" w:rsidRDefault="00580BF5" w:rsidP="00502123">
            <w:pPr>
              <w:rPr>
                <w:rFonts w:cstheme="minorHAnsi"/>
                <w:b/>
                <w:bCs/>
                <w:color w:val="000000"/>
                <w:sz w:val="18"/>
                <w:szCs w:val="18"/>
              </w:rPr>
            </w:pPr>
            <w:r w:rsidRPr="00216A71">
              <w:rPr>
                <w:rFonts w:cstheme="minorHAnsi"/>
                <w:b/>
                <w:bCs/>
                <w:color w:val="000000"/>
                <w:sz w:val="18"/>
                <w:szCs w:val="18"/>
              </w:rPr>
              <w:t>Company Name</w:t>
            </w:r>
          </w:p>
        </w:tc>
        <w:tc>
          <w:tcPr>
            <w:tcW w:w="668" w:type="dxa"/>
            <w:shd w:val="clear" w:color="auto" w:fill="auto"/>
            <w:noWrap/>
            <w:vAlign w:val="center"/>
            <w:hideMark/>
          </w:tcPr>
          <w:p w:rsidR="00580BF5" w:rsidRPr="00216A71" w:rsidRDefault="00F12B90" w:rsidP="00667C99">
            <w:pPr>
              <w:jc w:val="right"/>
              <w:rPr>
                <w:rFonts w:cstheme="minorHAnsi"/>
                <w:color w:val="000000"/>
                <w:sz w:val="18"/>
                <w:szCs w:val="18"/>
              </w:rPr>
            </w:pPr>
            <w:r w:rsidRPr="00216A71">
              <w:rPr>
                <w:rFonts w:cstheme="minorHAnsi"/>
                <w:color w:val="000000"/>
                <w:sz w:val="18"/>
                <w:szCs w:val="18"/>
              </w:rPr>
              <w:t xml:space="preserve"> </w:t>
            </w:r>
            <w:r w:rsidR="00580BF5" w:rsidRPr="00216A71">
              <w:rPr>
                <w:rFonts w:cstheme="minorHAnsi"/>
                <w:color w:val="000000"/>
                <w:sz w:val="18"/>
                <w:szCs w:val="18"/>
              </w:rPr>
              <w:t>Total $m.</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2013</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Brazil</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Water</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Water and Wastewater Utilities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42" w:history="1">
              <w:r w:rsidR="00580BF5" w:rsidRPr="00216A71">
                <w:rPr>
                  <w:rFonts w:cstheme="minorHAnsi"/>
                  <w:color w:val="0000FF"/>
                  <w:sz w:val="18"/>
                  <w:szCs w:val="18"/>
                  <w:u w:val="single"/>
                </w:rPr>
                <w:t>AEGEA Equity</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AEGEA</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2013</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Croatia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Airports</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Other Transportation </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43" w:history="1">
              <w:r w:rsidR="00580BF5" w:rsidRPr="00216A71">
                <w:rPr>
                  <w:rFonts w:cstheme="minorHAnsi"/>
                  <w:color w:val="0000FF"/>
                  <w:sz w:val="18"/>
                  <w:szCs w:val="18"/>
                  <w:u w:val="single"/>
                </w:rPr>
                <w:t>Zagreb Airpor</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ZAIC</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70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2012</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India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Energy</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Solar</w:t>
            </w:r>
            <w:r w:rsidR="004045AD">
              <w:rPr>
                <w:rFonts w:cstheme="minorHAnsi"/>
                <w:color w:val="000000"/>
                <w:sz w:val="18"/>
                <w:szCs w:val="18"/>
              </w:rPr>
              <w:t xml:space="preserve"> – </w:t>
            </w:r>
            <w:r w:rsidRPr="00216A71">
              <w:rPr>
                <w:rFonts w:cstheme="minorHAnsi"/>
                <w:color w:val="000000"/>
                <w:sz w:val="18"/>
                <w:szCs w:val="18"/>
              </w:rPr>
              <w:t>Renewable Energy Generation</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44" w:history="1">
              <w:r w:rsidR="00580BF5" w:rsidRPr="00216A71">
                <w:rPr>
                  <w:rFonts w:cstheme="minorHAnsi"/>
                  <w:color w:val="0000FF"/>
                  <w:sz w:val="18"/>
                  <w:szCs w:val="18"/>
                  <w:u w:val="single"/>
                </w:rPr>
                <w:t>Azure Rooftop</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Azure Sun</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5</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2012</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Brazil</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Water</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Water and Wastewater Utilities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45" w:history="1">
              <w:r w:rsidR="00580BF5" w:rsidRPr="00216A71">
                <w:rPr>
                  <w:rFonts w:cstheme="minorHAnsi"/>
                  <w:color w:val="0000FF"/>
                  <w:sz w:val="18"/>
                  <w:szCs w:val="18"/>
                  <w:u w:val="single"/>
                </w:rPr>
                <w:t>AEGEA Saneamento</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AEGEA</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62</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2012</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India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Housing</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Mortgage Services and Other</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46" w:history="1">
              <w:r w:rsidR="00580BF5" w:rsidRPr="00216A71">
                <w:rPr>
                  <w:rFonts w:cstheme="minorHAnsi"/>
                  <w:color w:val="0000FF"/>
                  <w:sz w:val="18"/>
                  <w:szCs w:val="18"/>
                  <w:u w:val="single"/>
                </w:rPr>
                <w:t>Au Housing</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Au Housing</w:t>
            </w:r>
          </w:p>
        </w:tc>
        <w:tc>
          <w:tcPr>
            <w:tcW w:w="668" w:type="dxa"/>
            <w:shd w:val="clear" w:color="auto" w:fill="auto"/>
            <w:noWrap/>
            <w:vAlign w:val="center"/>
            <w:hideMark/>
          </w:tcPr>
          <w:p w:rsidR="00580BF5" w:rsidRPr="00216A71" w:rsidRDefault="00DE65B5" w:rsidP="00667C99">
            <w:pPr>
              <w:jc w:val="right"/>
              <w:rPr>
                <w:rFonts w:cstheme="minorHAnsi"/>
                <w:color w:val="000000"/>
                <w:sz w:val="18"/>
                <w:szCs w:val="18"/>
              </w:rPr>
            </w:pPr>
            <w:r w:rsidRPr="00216A71">
              <w:rPr>
                <w:rFonts w:cstheme="minorHAnsi"/>
                <w:color w:val="000000"/>
                <w:sz w:val="18"/>
                <w:szCs w:val="18"/>
              </w:rPr>
              <w:t>5</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2012</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Russia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Health-care</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Hospitals and Clinics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47" w:history="1">
              <w:r w:rsidR="00580BF5" w:rsidRPr="00216A71">
                <w:rPr>
                  <w:rFonts w:cstheme="minorHAnsi"/>
                  <w:color w:val="0000FF"/>
                  <w:sz w:val="18"/>
                  <w:szCs w:val="18"/>
                  <w:u w:val="single"/>
                </w:rPr>
                <w:t>Primorsky</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Ava Peter</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12</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2012</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MENA </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All (PE)</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Private Equity/Venture Cap Fund</w:t>
            </w:r>
            <w:r w:rsidR="004045AD">
              <w:rPr>
                <w:rFonts w:cstheme="minorHAnsi"/>
                <w:color w:val="000000"/>
                <w:sz w:val="18"/>
                <w:szCs w:val="18"/>
              </w:rPr>
              <w:t xml:space="preserve"> – </w:t>
            </w:r>
            <w:r w:rsidRPr="00216A71">
              <w:rPr>
                <w:rFonts w:cstheme="minorHAnsi"/>
                <w:color w:val="000000"/>
                <w:sz w:val="18"/>
                <w:szCs w:val="18"/>
              </w:rPr>
              <w:t>Regional</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48" w:history="1">
              <w:r w:rsidR="00580BF5" w:rsidRPr="00216A71">
                <w:rPr>
                  <w:rFonts w:cstheme="minorHAnsi"/>
                  <w:color w:val="0000FF"/>
                  <w:sz w:val="18"/>
                  <w:szCs w:val="18"/>
                  <w:u w:val="single"/>
                </w:rPr>
                <w:t>AIIV</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AIIV</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50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2011</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India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Housing</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Mortgage Services and Other</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49" w:history="1">
              <w:r w:rsidR="00580BF5" w:rsidRPr="00216A71">
                <w:rPr>
                  <w:rFonts w:cstheme="minorHAnsi"/>
                  <w:color w:val="0000FF"/>
                  <w:sz w:val="18"/>
                  <w:szCs w:val="18"/>
                  <w:u w:val="single"/>
                </w:rPr>
                <w:t>IMGC India</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IMGC</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9</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2011</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Africa </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 xml:space="preserve">All </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Other Non-Depository Credit</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50" w:history="1">
              <w:r w:rsidR="00580BF5" w:rsidRPr="00216A71">
                <w:rPr>
                  <w:rFonts w:cstheme="minorHAnsi"/>
                  <w:color w:val="0000FF"/>
                  <w:sz w:val="18"/>
                  <w:szCs w:val="18"/>
                  <w:u w:val="single"/>
                </w:rPr>
                <w:t>EAIF Two</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EAIF</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47</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2011</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India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Water</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Water and Wastewater Utilities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51" w:tgtFrame="_parent" w:history="1">
              <w:r w:rsidR="00580BF5" w:rsidRPr="00216A71">
                <w:rPr>
                  <w:rFonts w:cstheme="minorHAnsi"/>
                  <w:color w:val="0000FF"/>
                  <w:sz w:val="18"/>
                  <w:szCs w:val="18"/>
                  <w:u w:val="single"/>
                </w:rPr>
                <w:t>Vishwa Infra</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Vishwa Infra</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5</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2011</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Peru</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Health-care</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Hospitals and Clinics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52" w:tgtFrame="_parent" w:history="1">
              <w:r w:rsidR="00580BF5" w:rsidRPr="00216A71">
                <w:rPr>
                  <w:rFonts w:cstheme="minorHAnsi"/>
                  <w:color w:val="0000FF"/>
                  <w:sz w:val="18"/>
                  <w:szCs w:val="18"/>
                  <w:u w:val="single"/>
                </w:rPr>
                <w:t>Grupo Salud</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Grupo Salud</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25</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2010</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Senegal</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Roads</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Highway Operations (Includes Toll Roads)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53" w:tgtFrame="_parent" w:history="1">
              <w:r w:rsidR="00580BF5" w:rsidRPr="00216A71">
                <w:rPr>
                  <w:rFonts w:cstheme="minorHAnsi"/>
                  <w:color w:val="0000FF"/>
                  <w:sz w:val="18"/>
                  <w:szCs w:val="18"/>
                  <w:u w:val="single"/>
                </w:rPr>
                <w:t>SENAC</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SENAC</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32</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2010</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Russia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Airports</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Other Transportation </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54" w:tgtFrame="_parent" w:history="1">
              <w:r w:rsidR="00580BF5" w:rsidRPr="00216A71">
                <w:rPr>
                  <w:rFonts w:cstheme="minorHAnsi"/>
                  <w:color w:val="0000FF"/>
                  <w:sz w:val="18"/>
                  <w:szCs w:val="18"/>
                  <w:u w:val="single"/>
                </w:rPr>
                <w:t>Pulkovo Airport</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NCG</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67</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2009</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Brazil</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Water</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Water and Wastewater Utilities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55" w:tgtFrame="_parent" w:history="1">
              <w:r w:rsidR="00580BF5" w:rsidRPr="00216A71">
                <w:rPr>
                  <w:rFonts w:cstheme="minorHAnsi"/>
                  <w:color w:val="0000FF"/>
                  <w:sz w:val="18"/>
                  <w:szCs w:val="18"/>
                  <w:u w:val="single"/>
                </w:rPr>
                <w:t>OEA/Foz</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FOZ (Odebrecht)</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75</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2009</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Serbia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Waste</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Waste Management </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lang w:val="es-ES_tradnl"/>
              </w:rPr>
            </w:pPr>
            <w:hyperlink r:id="rId56" w:tgtFrame="_parent" w:history="1">
              <w:r w:rsidR="00580BF5" w:rsidRPr="00216A71">
                <w:rPr>
                  <w:rFonts w:cstheme="minorHAnsi"/>
                  <w:color w:val="0000FF"/>
                  <w:sz w:val="18"/>
                  <w:szCs w:val="18"/>
                  <w:u w:val="single"/>
                  <w:lang w:val="es-ES_tradnl"/>
                </w:rPr>
                <w:t xml:space="preserve">PWW Deponija Dva </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Porr Leskovac</w:t>
            </w:r>
          </w:p>
        </w:tc>
        <w:tc>
          <w:tcPr>
            <w:tcW w:w="668" w:type="dxa"/>
            <w:shd w:val="clear" w:color="auto" w:fill="auto"/>
            <w:noWrap/>
            <w:vAlign w:val="center"/>
            <w:hideMark/>
          </w:tcPr>
          <w:p w:rsidR="00580BF5" w:rsidRPr="00216A71" w:rsidRDefault="00DE65B5" w:rsidP="00667C99">
            <w:pPr>
              <w:jc w:val="right"/>
              <w:rPr>
                <w:rFonts w:cstheme="minorHAnsi"/>
                <w:color w:val="000000"/>
                <w:sz w:val="18"/>
                <w:szCs w:val="18"/>
              </w:rPr>
            </w:pPr>
            <w:r w:rsidRPr="00216A71">
              <w:rPr>
                <w:rFonts w:cstheme="minorHAnsi"/>
                <w:color w:val="000000"/>
                <w:sz w:val="18"/>
                <w:szCs w:val="18"/>
              </w:rPr>
              <w:t>2</w:t>
            </w:r>
          </w:p>
        </w:tc>
      </w:tr>
      <w:tr w:rsidR="00580BF5" w:rsidRPr="00216A71" w:rsidTr="00EC4A5D">
        <w:trPr>
          <w:trHeight w:val="300"/>
        </w:trPr>
        <w:tc>
          <w:tcPr>
            <w:tcW w:w="724" w:type="dxa"/>
            <w:vAlign w:val="center"/>
          </w:tcPr>
          <w:p w:rsidR="00580BF5" w:rsidRPr="00216A71" w:rsidRDefault="00580BF5">
            <w:pPr>
              <w:rPr>
                <w:rFonts w:cstheme="minorHAnsi"/>
                <w:color w:val="0000FF"/>
                <w:sz w:val="18"/>
                <w:szCs w:val="18"/>
                <w:u w:val="single"/>
                <w:lang w:val="es-ES_tradnl"/>
              </w:rPr>
            </w:pPr>
            <w:r w:rsidRPr="00216A71">
              <w:rPr>
                <w:rFonts w:cstheme="minorHAnsi"/>
                <w:color w:val="000000"/>
                <w:sz w:val="18"/>
                <w:szCs w:val="18"/>
              </w:rPr>
              <w:t>2009</w:t>
            </w:r>
          </w:p>
        </w:tc>
        <w:tc>
          <w:tcPr>
            <w:tcW w:w="992" w:type="dxa"/>
            <w:vAlign w:val="center"/>
          </w:tcPr>
          <w:p w:rsidR="00580BF5" w:rsidRPr="00216A71" w:rsidRDefault="00580BF5" w:rsidP="00667C99">
            <w:pPr>
              <w:rPr>
                <w:rFonts w:cstheme="minorHAnsi"/>
                <w:color w:val="0000FF"/>
                <w:sz w:val="18"/>
                <w:szCs w:val="18"/>
                <w:u w:val="single"/>
                <w:lang w:val="es-ES_tradnl"/>
              </w:rPr>
            </w:pPr>
            <w:r w:rsidRPr="00216A71">
              <w:rPr>
                <w:rFonts w:cstheme="minorHAnsi"/>
                <w:color w:val="000000"/>
                <w:sz w:val="18"/>
                <w:szCs w:val="18"/>
              </w:rPr>
              <w:t>Serbia</w:t>
            </w:r>
          </w:p>
        </w:tc>
        <w:tc>
          <w:tcPr>
            <w:tcW w:w="851" w:type="dxa"/>
            <w:vAlign w:val="center"/>
          </w:tcPr>
          <w:p w:rsidR="00580BF5" w:rsidRPr="00216A71" w:rsidRDefault="00580BF5" w:rsidP="00667C99">
            <w:pPr>
              <w:rPr>
                <w:rFonts w:cstheme="minorHAnsi"/>
                <w:color w:val="0000FF"/>
                <w:sz w:val="18"/>
                <w:szCs w:val="18"/>
                <w:u w:val="single"/>
                <w:lang w:val="es-ES_tradnl"/>
              </w:rPr>
            </w:pPr>
            <w:r w:rsidRPr="00216A71">
              <w:rPr>
                <w:rFonts w:cstheme="minorHAnsi"/>
                <w:sz w:val="18"/>
                <w:szCs w:val="18"/>
              </w:rPr>
              <w:t>Waste</w:t>
            </w:r>
          </w:p>
        </w:tc>
        <w:tc>
          <w:tcPr>
            <w:tcW w:w="3402" w:type="dxa"/>
            <w:vAlign w:val="center"/>
          </w:tcPr>
          <w:p w:rsidR="00580BF5" w:rsidRPr="00216A71" w:rsidRDefault="00580BF5" w:rsidP="00667C99">
            <w:pPr>
              <w:rPr>
                <w:rFonts w:cstheme="minorHAnsi"/>
                <w:color w:val="0000FF"/>
                <w:sz w:val="18"/>
                <w:szCs w:val="18"/>
                <w:u w:val="single"/>
                <w:lang w:val="es-ES_tradnl"/>
              </w:rPr>
            </w:pPr>
            <w:r w:rsidRPr="00216A71">
              <w:rPr>
                <w:rFonts w:cstheme="minorHAnsi"/>
                <w:color w:val="000000"/>
                <w:sz w:val="18"/>
                <w:szCs w:val="18"/>
              </w:rPr>
              <w:t xml:space="preserve">Waste Management </w:t>
            </w:r>
          </w:p>
        </w:tc>
        <w:tc>
          <w:tcPr>
            <w:tcW w:w="1225" w:type="dxa"/>
            <w:shd w:val="clear" w:color="auto" w:fill="auto"/>
            <w:noWrap/>
            <w:vAlign w:val="center"/>
            <w:hideMark/>
          </w:tcPr>
          <w:p w:rsidR="00580BF5" w:rsidRPr="00216A71" w:rsidRDefault="00580BF5" w:rsidP="00667C99">
            <w:pPr>
              <w:rPr>
                <w:rFonts w:cstheme="minorHAnsi"/>
                <w:color w:val="0000FF"/>
                <w:sz w:val="18"/>
                <w:szCs w:val="18"/>
                <w:u w:val="single"/>
                <w:lang w:val="es-ES_tradnl"/>
              </w:rPr>
            </w:pPr>
            <w:r w:rsidRPr="00216A71">
              <w:rPr>
                <w:rFonts w:cstheme="minorHAnsi"/>
                <w:color w:val="0000FF"/>
                <w:sz w:val="18"/>
                <w:szCs w:val="18"/>
                <w:u w:val="single"/>
                <w:lang w:val="es-ES_tradnl"/>
              </w:rPr>
              <w:t xml:space="preserve">PWW Deponija </w:t>
            </w:r>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Porr Jagodina</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2009</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E Europe </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Water</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Water and Wastewater Utilities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57" w:tgtFrame="_parent" w:history="1">
              <w:r w:rsidR="00580BF5" w:rsidRPr="00216A71">
                <w:rPr>
                  <w:rFonts w:cstheme="minorHAnsi"/>
                  <w:color w:val="0000FF"/>
                  <w:sz w:val="18"/>
                  <w:szCs w:val="18"/>
                  <w:u w:val="single"/>
                </w:rPr>
                <w:t>Veolia Voda</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Veolia Voda</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71</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2009</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Indonesia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Water</w:t>
            </w:r>
          </w:p>
        </w:tc>
        <w:tc>
          <w:tcPr>
            <w:tcW w:w="3402" w:type="dxa"/>
            <w:vAlign w:val="center"/>
          </w:tcPr>
          <w:p w:rsidR="00580BF5" w:rsidRPr="00216A71" w:rsidRDefault="00580BF5" w:rsidP="00667C99">
            <w:pPr>
              <w:rPr>
                <w:rFonts w:cstheme="minorHAnsi"/>
                <w:sz w:val="18"/>
                <w:szCs w:val="18"/>
              </w:rPr>
            </w:pPr>
            <w:r w:rsidRPr="00216A71">
              <w:rPr>
                <w:rFonts w:cstheme="minorHAnsi"/>
                <w:sz w:val="18"/>
                <w:szCs w:val="18"/>
              </w:rPr>
              <w:t>Water</w:t>
            </w:r>
            <w:r w:rsidRPr="00216A71">
              <w:rPr>
                <w:rFonts w:cstheme="minorHAnsi"/>
                <w:color w:val="000000"/>
                <w:sz w:val="18"/>
                <w:szCs w:val="18"/>
              </w:rPr>
              <w:t xml:space="preserve"> Finance Companies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58" w:tgtFrame="_parent" w:history="1">
              <w:r w:rsidR="00580BF5" w:rsidRPr="00216A71">
                <w:rPr>
                  <w:rFonts w:cstheme="minorHAnsi"/>
                  <w:color w:val="0000FF"/>
                  <w:sz w:val="18"/>
                  <w:szCs w:val="18"/>
                  <w:u w:val="single"/>
                </w:rPr>
                <w:t>IIFF</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IIFF</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40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2008</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World </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All</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Other Funds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59" w:tgtFrame="_parent" w:history="1">
              <w:r w:rsidR="00580BF5" w:rsidRPr="00216A71">
                <w:rPr>
                  <w:rFonts w:cstheme="minorHAnsi"/>
                  <w:color w:val="0000FF"/>
                  <w:sz w:val="18"/>
                  <w:szCs w:val="18"/>
                  <w:u w:val="single"/>
                </w:rPr>
                <w:t>Infrastructure Crisis</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IFC2</w:t>
            </w:r>
          </w:p>
        </w:tc>
        <w:tc>
          <w:tcPr>
            <w:tcW w:w="668" w:type="dxa"/>
            <w:shd w:val="clear" w:color="auto" w:fill="auto"/>
            <w:noWrap/>
            <w:vAlign w:val="center"/>
            <w:hideMark/>
          </w:tcPr>
          <w:p w:rsidR="00580BF5" w:rsidRPr="00216A71" w:rsidRDefault="00567CE3" w:rsidP="00667C99">
            <w:pPr>
              <w:jc w:val="right"/>
              <w:rPr>
                <w:rFonts w:cstheme="minorHAnsi"/>
                <w:color w:val="000000"/>
                <w:sz w:val="18"/>
                <w:szCs w:val="18"/>
              </w:rPr>
            </w:pPr>
            <w:r w:rsidRPr="00216A71">
              <w:rPr>
                <w:rFonts w:cstheme="minorHAnsi"/>
                <w:color w:val="000000"/>
                <w:sz w:val="18"/>
                <w:szCs w:val="18"/>
              </w:rPr>
              <w:t>300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2008</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World </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Energy</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Other</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60" w:tgtFrame="_parent" w:history="1">
              <w:r w:rsidR="00580BF5" w:rsidRPr="00216A71">
                <w:rPr>
                  <w:rFonts w:cstheme="minorHAnsi"/>
                  <w:color w:val="0000FF"/>
                  <w:sz w:val="18"/>
                  <w:szCs w:val="18"/>
                  <w:u w:val="single"/>
                </w:rPr>
                <w:t>GEF Earth Fu</w:t>
              </w:r>
              <w:r w:rsidR="00DE65B5" w:rsidRPr="00216A71">
                <w:rPr>
                  <w:rFonts w:cstheme="minorHAnsi"/>
                  <w:color w:val="0000FF"/>
                  <w:sz w:val="18"/>
                  <w:szCs w:val="18"/>
                  <w:u w:val="single"/>
                </w:rPr>
                <w:t xml:space="preserve"> </w:t>
              </w:r>
              <w:r w:rsidR="00580BF5" w:rsidRPr="00216A71">
                <w:rPr>
                  <w:rFonts w:cstheme="minorHAnsi"/>
                  <w:color w:val="0000FF"/>
                  <w:sz w:val="18"/>
                  <w:szCs w:val="18"/>
                  <w:u w:val="single"/>
                </w:rPr>
                <w:t>nd</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IFC2</w:t>
            </w:r>
          </w:p>
        </w:tc>
        <w:tc>
          <w:tcPr>
            <w:tcW w:w="668" w:type="dxa"/>
            <w:shd w:val="clear" w:color="auto" w:fill="auto"/>
            <w:noWrap/>
            <w:vAlign w:val="center"/>
            <w:hideMark/>
          </w:tcPr>
          <w:p w:rsidR="00580BF5" w:rsidRPr="00216A71" w:rsidRDefault="00DE65B5" w:rsidP="00667C99">
            <w:pPr>
              <w:jc w:val="right"/>
              <w:rPr>
                <w:rFonts w:cstheme="minorHAnsi"/>
                <w:color w:val="000000"/>
                <w:sz w:val="18"/>
                <w:szCs w:val="18"/>
              </w:rPr>
            </w:pPr>
            <w:r w:rsidRPr="00216A71">
              <w:rPr>
                <w:rFonts w:cstheme="minorHAnsi"/>
                <w:color w:val="000000"/>
                <w:sz w:val="18"/>
                <w:szCs w:val="18"/>
              </w:rPr>
              <w:t>10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2008</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Tunisia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Airports</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Other Transportation </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61" w:tgtFrame="_parent" w:history="1">
              <w:r w:rsidR="00580BF5" w:rsidRPr="00216A71">
                <w:rPr>
                  <w:rFonts w:cstheme="minorHAnsi"/>
                  <w:color w:val="0000FF"/>
                  <w:sz w:val="18"/>
                  <w:szCs w:val="18"/>
                  <w:u w:val="single"/>
                </w:rPr>
                <w:t>TAV Tunisia</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TAV Tunisie</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213</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2008</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S</w:t>
            </w:r>
            <w:r w:rsidR="004045AD">
              <w:rPr>
                <w:rFonts w:cstheme="minorHAnsi"/>
                <w:color w:val="000000"/>
                <w:sz w:val="18"/>
                <w:szCs w:val="18"/>
              </w:rPr>
              <w:t xml:space="preserve"> </w:t>
            </w:r>
            <w:r w:rsidRPr="00216A71">
              <w:rPr>
                <w:rFonts w:cstheme="minorHAnsi"/>
                <w:color w:val="000000"/>
                <w:sz w:val="18"/>
                <w:szCs w:val="18"/>
              </w:rPr>
              <w:t xml:space="preserve">Europe </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Waste</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Construction and Real Estate</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62" w:tgtFrame="_parent" w:history="1">
              <w:r w:rsidR="00580BF5" w:rsidRPr="00216A71">
                <w:rPr>
                  <w:rFonts w:cstheme="minorHAnsi"/>
                  <w:color w:val="0000FF"/>
                  <w:sz w:val="18"/>
                  <w:szCs w:val="18"/>
                  <w:u w:val="single"/>
                </w:rPr>
                <w:t>Porr AG</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Porr AG</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48</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2007</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Brazil</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Mixed</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Other Funds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63" w:tgtFrame="_parent" w:history="1">
              <w:r w:rsidR="00580BF5" w:rsidRPr="00216A71">
                <w:rPr>
                  <w:rFonts w:cstheme="minorHAnsi"/>
                  <w:color w:val="0000FF"/>
                  <w:sz w:val="18"/>
                  <w:szCs w:val="18"/>
                  <w:u w:val="single"/>
                </w:rPr>
                <w:t>Andrade G. SA II</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Andrade G. SA</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50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2007</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Jordan</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Airports</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Other Transportation </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64" w:tgtFrame="_parent" w:history="1">
              <w:r w:rsidR="00580BF5" w:rsidRPr="00216A71">
                <w:rPr>
                  <w:rFonts w:cstheme="minorHAnsi"/>
                  <w:color w:val="0000FF"/>
                  <w:sz w:val="18"/>
                  <w:szCs w:val="18"/>
                  <w:u w:val="single"/>
                </w:rPr>
                <w:t>Queen Alia</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AIG Company</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120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2007</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China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Health-care</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Other Medical</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65" w:tgtFrame="_parent" w:history="1">
              <w:r w:rsidR="00580BF5" w:rsidRPr="00216A71">
                <w:rPr>
                  <w:rFonts w:cstheme="minorHAnsi"/>
                  <w:color w:val="0000FF"/>
                  <w:sz w:val="18"/>
                  <w:szCs w:val="18"/>
                  <w:u w:val="single"/>
                </w:rPr>
                <w:t>UE Envirotech</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UEEV</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13</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2007</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 xml:space="preserve">World </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Energy</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Power Projects through FI (Non RE)</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66" w:tgtFrame="_parent" w:history="1">
              <w:r w:rsidR="00580BF5" w:rsidRPr="00216A71">
                <w:rPr>
                  <w:rFonts w:cstheme="minorHAnsi"/>
                  <w:color w:val="0000FF"/>
                  <w:sz w:val="18"/>
                  <w:szCs w:val="18"/>
                  <w:u w:val="single"/>
                </w:rPr>
                <w:t>IFC-GIPDF</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IFC-CIN Clients</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100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2007</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Mexico</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Roads</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Highway Operations (Includes Toll Roads)</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67" w:tgtFrame="_parent" w:history="1">
              <w:r w:rsidR="00580BF5" w:rsidRPr="00216A71">
                <w:rPr>
                  <w:rFonts w:cstheme="minorHAnsi"/>
                  <w:color w:val="0000FF"/>
                  <w:sz w:val="18"/>
                  <w:szCs w:val="18"/>
                  <w:u w:val="single"/>
                </w:rPr>
                <w:t>Infrainvest</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Infrainvest</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50</w:t>
            </w:r>
          </w:p>
        </w:tc>
      </w:tr>
      <w:tr w:rsidR="00580BF5" w:rsidRPr="00216A71" w:rsidTr="00EC4A5D">
        <w:trPr>
          <w:trHeight w:val="300"/>
        </w:trPr>
        <w:tc>
          <w:tcPr>
            <w:tcW w:w="724" w:type="dxa"/>
            <w:vAlign w:val="center"/>
          </w:tcPr>
          <w:p w:rsidR="00580BF5" w:rsidRPr="00216A71" w:rsidRDefault="00580BF5">
            <w:pPr>
              <w:rPr>
                <w:rFonts w:cstheme="minorHAnsi"/>
                <w:sz w:val="18"/>
                <w:szCs w:val="18"/>
              </w:rPr>
            </w:pPr>
            <w:r w:rsidRPr="00216A71">
              <w:rPr>
                <w:rFonts w:cstheme="minorHAnsi"/>
                <w:color w:val="000000"/>
                <w:sz w:val="18"/>
                <w:szCs w:val="18"/>
              </w:rPr>
              <w:t>2006</w:t>
            </w:r>
          </w:p>
        </w:tc>
        <w:tc>
          <w:tcPr>
            <w:tcW w:w="99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India</w:t>
            </w:r>
          </w:p>
        </w:tc>
        <w:tc>
          <w:tcPr>
            <w:tcW w:w="851" w:type="dxa"/>
            <w:vAlign w:val="center"/>
          </w:tcPr>
          <w:p w:rsidR="00580BF5" w:rsidRPr="00216A71" w:rsidRDefault="00580BF5" w:rsidP="00667C99">
            <w:pPr>
              <w:rPr>
                <w:rFonts w:cstheme="minorHAnsi"/>
                <w:sz w:val="18"/>
                <w:szCs w:val="18"/>
              </w:rPr>
            </w:pPr>
            <w:r w:rsidRPr="00216A71">
              <w:rPr>
                <w:rFonts w:cstheme="minorHAnsi"/>
                <w:sz w:val="18"/>
                <w:szCs w:val="18"/>
              </w:rPr>
              <w:t>All (PE)</w:t>
            </w:r>
          </w:p>
        </w:tc>
        <w:tc>
          <w:tcPr>
            <w:tcW w:w="3402" w:type="dxa"/>
            <w:vAlign w:val="center"/>
          </w:tcPr>
          <w:p w:rsidR="00580BF5" w:rsidRPr="00216A71" w:rsidRDefault="00580BF5" w:rsidP="00667C99">
            <w:pPr>
              <w:rPr>
                <w:rFonts w:cstheme="minorHAnsi"/>
                <w:sz w:val="18"/>
                <w:szCs w:val="18"/>
              </w:rPr>
            </w:pPr>
            <w:r w:rsidRPr="00216A71">
              <w:rPr>
                <w:rFonts w:cstheme="minorHAnsi"/>
                <w:color w:val="000000"/>
                <w:sz w:val="18"/>
                <w:szCs w:val="18"/>
              </w:rPr>
              <w:t>Private Equity/Venture Cap Fund</w:t>
            </w:r>
            <w:r w:rsidR="004045AD">
              <w:rPr>
                <w:rFonts w:cstheme="minorHAnsi"/>
                <w:color w:val="000000"/>
                <w:sz w:val="18"/>
                <w:szCs w:val="18"/>
              </w:rPr>
              <w:t xml:space="preserve"> – </w:t>
            </w:r>
            <w:r w:rsidRPr="00216A71">
              <w:rPr>
                <w:rFonts w:cstheme="minorHAnsi"/>
                <w:color w:val="000000"/>
                <w:sz w:val="18"/>
                <w:szCs w:val="18"/>
              </w:rPr>
              <w:t>Sector</w:t>
            </w:r>
          </w:p>
        </w:tc>
        <w:tc>
          <w:tcPr>
            <w:tcW w:w="1225" w:type="dxa"/>
            <w:shd w:val="clear" w:color="auto" w:fill="auto"/>
            <w:noWrap/>
            <w:vAlign w:val="center"/>
            <w:hideMark/>
          </w:tcPr>
          <w:p w:rsidR="00580BF5" w:rsidRPr="00216A71" w:rsidRDefault="00A723E5" w:rsidP="00667C99">
            <w:pPr>
              <w:rPr>
                <w:rFonts w:cstheme="minorHAnsi"/>
                <w:color w:val="0000FF"/>
                <w:sz w:val="18"/>
                <w:szCs w:val="18"/>
                <w:u w:val="single"/>
              </w:rPr>
            </w:pPr>
            <w:hyperlink r:id="rId68" w:tgtFrame="_parent" w:history="1">
              <w:r w:rsidR="00580BF5" w:rsidRPr="00216A71">
                <w:rPr>
                  <w:rFonts w:cstheme="minorHAnsi"/>
                  <w:color w:val="0000FF"/>
                  <w:sz w:val="18"/>
                  <w:szCs w:val="18"/>
                  <w:u w:val="single"/>
                </w:rPr>
                <w:t>IPDF-II</w:t>
              </w:r>
            </w:hyperlink>
          </w:p>
        </w:tc>
        <w:tc>
          <w:tcPr>
            <w:tcW w:w="1225" w:type="dxa"/>
            <w:shd w:val="clear" w:color="auto" w:fill="auto"/>
            <w:noWrap/>
            <w:vAlign w:val="center"/>
            <w:hideMark/>
          </w:tcPr>
          <w:p w:rsidR="00580BF5" w:rsidRPr="00216A71" w:rsidRDefault="00580BF5" w:rsidP="00667C99">
            <w:pPr>
              <w:rPr>
                <w:rFonts w:cstheme="minorHAnsi"/>
                <w:color w:val="000000"/>
                <w:sz w:val="18"/>
                <w:szCs w:val="18"/>
              </w:rPr>
            </w:pPr>
            <w:r w:rsidRPr="00216A71">
              <w:rPr>
                <w:rFonts w:cstheme="minorHAnsi"/>
                <w:color w:val="000000"/>
                <w:sz w:val="18"/>
                <w:szCs w:val="18"/>
              </w:rPr>
              <w:t>IPDF-II</w:t>
            </w:r>
          </w:p>
        </w:tc>
        <w:tc>
          <w:tcPr>
            <w:tcW w:w="668" w:type="dxa"/>
            <w:shd w:val="clear" w:color="auto" w:fill="auto"/>
            <w:noWrap/>
            <w:vAlign w:val="center"/>
            <w:hideMark/>
          </w:tcPr>
          <w:p w:rsidR="00580BF5" w:rsidRPr="00216A71" w:rsidRDefault="00580BF5" w:rsidP="00667C99">
            <w:pPr>
              <w:jc w:val="right"/>
              <w:rPr>
                <w:rFonts w:cstheme="minorHAnsi"/>
                <w:color w:val="000000"/>
                <w:sz w:val="18"/>
                <w:szCs w:val="18"/>
              </w:rPr>
            </w:pPr>
            <w:r w:rsidRPr="00216A71">
              <w:rPr>
                <w:rFonts w:cstheme="minorHAnsi"/>
                <w:color w:val="000000"/>
                <w:sz w:val="18"/>
                <w:szCs w:val="18"/>
              </w:rPr>
              <w:t>5</w:t>
            </w:r>
          </w:p>
        </w:tc>
      </w:tr>
    </w:tbl>
    <w:p w:rsidR="00502123" w:rsidRPr="00216A71" w:rsidRDefault="00502123" w:rsidP="00167C86">
      <w:pPr>
        <w:rPr>
          <w:rFonts w:cstheme="minorHAnsi"/>
          <w:b/>
          <w:bCs/>
          <w:color w:val="000000"/>
          <w:szCs w:val="20"/>
        </w:rPr>
      </w:pPr>
    </w:p>
    <w:p w:rsidR="0029090A" w:rsidRPr="00216A71" w:rsidRDefault="0088208F" w:rsidP="0029090A">
      <w:pPr>
        <w:pStyle w:val="Heading3"/>
        <w:rPr>
          <w:rFonts w:asciiTheme="minorHAnsi" w:hAnsiTheme="minorHAnsi" w:cstheme="minorHAnsi"/>
          <w:szCs w:val="20"/>
        </w:rPr>
      </w:pPr>
      <w:r w:rsidRPr="00216A71">
        <w:rPr>
          <w:rFonts w:asciiTheme="minorHAnsi" w:hAnsiTheme="minorHAnsi" w:cstheme="minorHAnsi"/>
          <w:szCs w:val="20"/>
        </w:rPr>
        <w:t>PPIAF</w:t>
      </w:r>
    </w:p>
    <w:p w:rsidR="000C629A" w:rsidRDefault="0088208F" w:rsidP="0029090A">
      <w:pPr>
        <w:rPr>
          <w:rFonts w:cstheme="minorHAnsi"/>
          <w:szCs w:val="20"/>
        </w:rPr>
      </w:pPr>
      <w:r w:rsidRPr="00216A71">
        <w:rPr>
          <w:rFonts w:cstheme="minorHAnsi"/>
          <w:szCs w:val="20"/>
        </w:rPr>
        <w:t>The</w:t>
      </w:r>
      <w:r w:rsidR="000F2640" w:rsidRPr="00216A71">
        <w:rPr>
          <w:rFonts w:cstheme="minorHAnsi"/>
          <w:szCs w:val="20"/>
        </w:rPr>
        <w:t xml:space="preserve"> Public-Private Infrastructure Advisory Facility</w:t>
      </w:r>
      <w:r w:rsidRPr="00216A71">
        <w:rPr>
          <w:rFonts w:cstheme="minorHAnsi"/>
          <w:szCs w:val="20"/>
        </w:rPr>
        <w:t xml:space="preserve"> </w:t>
      </w:r>
      <w:r w:rsidR="000F2640" w:rsidRPr="00216A71">
        <w:rPr>
          <w:rFonts w:cstheme="minorHAnsi"/>
          <w:szCs w:val="20"/>
        </w:rPr>
        <w:t>(</w:t>
      </w:r>
      <w:r w:rsidRPr="00216A71">
        <w:rPr>
          <w:rFonts w:cstheme="minorHAnsi"/>
          <w:szCs w:val="20"/>
        </w:rPr>
        <w:t>PPIAF</w:t>
      </w:r>
      <w:r w:rsidR="000F2640" w:rsidRPr="00216A71">
        <w:rPr>
          <w:rFonts w:cstheme="minorHAnsi"/>
          <w:szCs w:val="20"/>
        </w:rPr>
        <w:t>)</w:t>
      </w:r>
      <w:r w:rsidRPr="00216A71">
        <w:rPr>
          <w:rFonts w:cstheme="minorHAnsi"/>
          <w:szCs w:val="20"/>
        </w:rPr>
        <w:t xml:space="preserve"> </w:t>
      </w:r>
      <w:r w:rsidR="00E44112" w:rsidRPr="00216A71">
        <w:rPr>
          <w:rFonts w:cstheme="minorHAnsi"/>
          <w:szCs w:val="20"/>
        </w:rPr>
        <w:t xml:space="preserve">was set up in 1999 by the World Bank to promote all forms of privatisation. </w:t>
      </w:r>
      <w:r w:rsidR="00E16011" w:rsidRPr="00216A71">
        <w:rPr>
          <w:rFonts w:cstheme="minorHAnsi"/>
          <w:szCs w:val="20"/>
        </w:rPr>
        <w:t xml:space="preserve">The PPIAF operates in three ways: by paying for the development of new laws and policies promoting the private sector; by </w:t>
      </w:r>
      <w:r w:rsidR="00C01857">
        <w:rPr>
          <w:rFonts w:cstheme="minorHAnsi"/>
          <w:szCs w:val="20"/>
        </w:rPr>
        <w:t xml:space="preserve">delivering </w:t>
      </w:r>
      <w:r w:rsidR="00E16011" w:rsidRPr="00216A71">
        <w:rPr>
          <w:rFonts w:cstheme="minorHAnsi"/>
          <w:szCs w:val="20"/>
        </w:rPr>
        <w:t xml:space="preserve">targeted propaganda to ‘build awareness’; and </w:t>
      </w:r>
      <w:r w:rsidR="00C01857">
        <w:rPr>
          <w:rFonts w:cstheme="minorHAnsi"/>
          <w:szCs w:val="20"/>
        </w:rPr>
        <w:t>by</w:t>
      </w:r>
      <w:r w:rsidR="00C01857" w:rsidRPr="00216A71">
        <w:rPr>
          <w:rFonts w:cstheme="minorHAnsi"/>
          <w:szCs w:val="20"/>
        </w:rPr>
        <w:t xml:space="preserve"> </w:t>
      </w:r>
      <w:r w:rsidR="00E16011" w:rsidRPr="00216A71">
        <w:rPr>
          <w:rFonts w:cstheme="minorHAnsi"/>
          <w:szCs w:val="20"/>
        </w:rPr>
        <w:t xml:space="preserve">designing new PPP projects. </w:t>
      </w:r>
      <w:r w:rsidR="00D341C1" w:rsidRPr="00216A71">
        <w:rPr>
          <w:rFonts w:cstheme="minorHAnsi"/>
          <w:szCs w:val="20"/>
        </w:rPr>
        <w:t>It gets money from donors and other development banks</w:t>
      </w:r>
      <w:r w:rsidR="00E16011" w:rsidRPr="00216A71">
        <w:rPr>
          <w:rFonts w:cstheme="minorHAnsi"/>
          <w:szCs w:val="20"/>
        </w:rPr>
        <w:t>, but i</w:t>
      </w:r>
      <w:r w:rsidR="00D341C1" w:rsidRPr="00216A71">
        <w:rPr>
          <w:rFonts w:cstheme="minorHAnsi"/>
          <w:szCs w:val="20"/>
        </w:rPr>
        <w:t xml:space="preserve">ts funding </w:t>
      </w:r>
      <w:r w:rsidR="00E16011" w:rsidRPr="00216A71">
        <w:rPr>
          <w:rFonts w:cstheme="minorHAnsi"/>
          <w:szCs w:val="20"/>
        </w:rPr>
        <w:t>was halved when the UK stopped contributing in 2010.</w:t>
      </w:r>
      <w:r w:rsidR="004045AD">
        <w:rPr>
          <w:rFonts w:cstheme="minorHAnsi"/>
          <w:szCs w:val="20"/>
        </w:rPr>
        <w:t xml:space="preserve"> </w:t>
      </w:r>
    </w:p>
    <w:p w:rsidR="000C629A" w:rsidRDefault="000560E8" w:rsidP="0029090A">
      <w:pPr>
        <w:rPr>
          <w:rFonts w:cstheme="minorHAnsi"/>
          <w:szCs w:val="20"/>
        </w:rPr>
      </w:pPr>
      <w:r w:rsidRPr="00216A71">
        <w:rPr>
          <w:rFonts w:cstheme="minorHAnsi"/>
          <w:szCs w:val="20"/>
        </w:rPr>
        <w:t>It publishe</w:t>
      </w:r>
      <w:r w:rsidR="00D86701" w:rsidRPr="00216A71">
        <w:rPr>
          <w:rFonts w:cstheme="minorHAnsi"/>
          <w:szCs w:val="20"/>
        </w:rPr>
        <w:t xml:space="preserve">s general reports </w:t>
      </w:r>
      <w:r w:rsidR="003B7D26" w:rsidRPr="00216A71">
        <w:rPr>
          <w:rFonts w:cstheme="minorHAnsi"/>
          <w:szCs w:val="20"/>
        </w:rPr>
        <w:t xml:space="preserve">and training materials </w:t>
      </w:r>
      <w:r w:rsidR="00D86701" w:rsidRPr="00216A71">
        <w:rPr>
          <w:rFonts w:cstheme="minorHAnsi"/>
          <w:szCs w:val="20"/>
        </w:rPr>
        <w:t xml:space="preserve">on how to introduce PPPs, including the </w:t>
      </w:r>
      <w:r w:rsidR="00D86701" w:rsidRPr="00FF6D63">
        <w:rPr>
          <w:rFonts w:cstheme="minorHAnsi"/>
          <w:bCs/>
          <w:szCs w:val="20"/>
        </w:rPr>
        <w:t>Public Private Partnerships Reference Guide</w:t>
      </w:r>
      <w:r w:rsidR="003B7D26" w:rsidRPr="00FF6D63">
        <w:rPr>
          <w:rFonts w:cstheme="minorHAnsi"/>
          <w:bCs/>
          <w:szCs w:val="20"/>
        </w:rPr>
        <w:t xml:space="preserve"> (2012)</w:t>
      </w:r>
      <w:r w:rsidR="003B7D26" w:rsidRPr="00216A71">
        <w:rPr>
          <w:rFonts w:cstheme="minorHAnsi"/>
          <w:szCs w:val="20"/>
        </w:rPr>
        <w:t>.</w:t>
      </w:r>
      <w:r w:rsidR="00546E9E" w:rsidRPr="00216A71">
        <w:rPr>
          <w:rFonts w:cstheme="minorHAnsi"/>
          <w:szCs w:val="20"/>
        </w:rPr>
        <w:t xml:space="preserve"> It also publishes </w:t>
      </w:r>
      <w:hyperlink r:id="rId69" w:history="1">
        <w:r w:rsidR="00546E9E" w:rsidRPr="00216A71">
          <w:rPr>
            <w:rStyle w:val="Hyperlink"/>
            <w:rFonts w:cstheme="minorHAnsi"/>
            <w:szCs w:val="20"/>
          </w:rPr>
          <w:t>detailed summaries of its activities in various countries</w:t>
        </w:r>
      </w:hyperlink>
      <w:r w:rsidR="00546E9E" w:rsidRPr="00216A71">
        <w:rPr>
          <w:rFonts w:cstheme="minorHAnsi"/>
          <w:szCs w:val="20"/>
        </w:rPr>
        <w:t xml:space="preserve"> . The PPIAF is entirely concerned with creating PPPs, rather than assessing whether they are a </w:t>
      </w:r>
      <w:r w:rsidR="00546E9E" w:rsidRPr="00216A71">
        <w:rPr>
          <w:rFonts w:cstheme="minorHAnsi"/>
          <w:szCs w:val="20"/>
        </w:rPr>
        <w:lastRenderedPageBreak/>
        <w:t>good way of achieving public objectives: as the graphic below shows, the creation of a PPP is treated as the final outcome.</w:t>
      </w:r>
    </w:p>
    <w:p w:rsidR="0088208F" w:rsidRPr="00216A71" w:rsidRDefault="000560E8" w:rsidP="0029090A">
      <w:pPr>
        <w:rPr>
          <w:rFonts w:cstheme="minorHAnsi"/>
          <w:szCs w:val="20"/>
        </w:rPr>
      </w:pPr>
      <w:r w:rsidRPr="00216A71">
        <w:rPr>
          <w:rFonts w:cstheme="minorHAnsi"/>
          <w:szCs w:val="20"/>
        </w:rPr>
        <w:t>It has a str</w:t>
      </w:r>
      <w:r w:rsidR="008F1153" w:rsidRPr="00216A71">
        <w:rPr>
          <w:rFonts w:cstheme="minorHAnsi"/>
          <w:szCs w:val="20"/>
        </w:rPr>
        <w:t>ong focus on North Africa, the M</w:t>
      </w:r>
      <w:r w:rsidRPr="00216A71">
        <w:rPr>
          <w:rFonts w:cstheme="minorHAnsi"/>
          <w:szCs w:val="20"/>
        </w:rPr>
        <w:t xml:space="preserve">iddle </w:t>
      </w:r>
      <w:r w:rsidR="008F1153" w:rsidRPr="00216A71">
        <w:rPr>
          <w:rFonts w:cstheme="minorHAnsi"/>
          <w:szCs w:val="20"/>
        </w:rPr>
        <w:t>E</w:t>
      </w:r>
      <w:r w:rsidRPr="00216A71">
        <w:rPr>
          <w:rFonts w:cstheme="minorHAnsi"/>
          <w:szCs w:val="20"/>
        </w:rPr>
        <w:t xml:space="preserve">ast, </w:t>
      </w:r>
      <w:r w:rsidR="008F1153" w:rsidRPr="00216A71">
        <w:rPr>
          <w:rFonts w:cstheme="minorHAnsi"/>
          <w:szCs w:val="20"/>
        </w:rPr>
        <w:t>sub-Saharan</w:t>
      </w:r>
      <w:r w:rsidRPr="00216A71">
        <w:rPr>
          <w:rFonts w:cstheme="minorHAnsi"/>
          <w:szCs w:val="20"/>
        </w:rPr>
        <w:t xml:space="preserve"> Africa and </w:t>
      </w:r>
      <w:r w:rsidR="00D341C1" w:rsidRPr="00216A71">
        <w:rPr>
          <w:rFonts w:cstheme="minorHAnsi"/>
          <w:szCs w:val="20"/>
        </w:rPr>
        <w:t xml:space="preserve">the </w:t>
      </w:r>
      <w:r w:rsidRPr="00216A71">
        <w:rPr>
          <w:rFonts w:cstheme="minorHAnsi"/>
          <w:szCs w:val="20"/>
        </w:rPr>
        <w:t>Caribbean</w:t>
      </w:r>
      <w:r w:rsidR="00D341C1" w:rsidRPr="00216A71">
        <w:rPr>
          <w:rFonts w:cstheme="minorHAnsi"/>
          <w:szCs w:val="20"/>
        </w:rPr>
        <w:t>.</w:t>
      </w:r>
      <w:r w:rsidR="004045AD">
        <w:rPr>
          <w:rFonts w:cstheme="minorHAnsi"/>
          <w:szCs w:val="20"/>
        </w:rPr>
        <w:t xml:space="preserve"> </w:t>
      </w:r>
      <w:r w:rsidR="00D341C1" w:rsidRPr="00216A71">
        <w:rPr>
          <w:rFonts w:cstheme="minorHAnsi"/>
          <w:szCs w:val="20"/>
        </w:rPr>
        <w:t>Examples of its activities include:</w:t>
      </w:r>
      <w:r w:rsidR="00D341C1" w:rsidRPr="00216A71">
        <w:rPr>
          <w:rStyle w:val="EndnoteReference"/>
          <w:rFonts w:cstheme="minorHAnsi"/>
          <w:szCs w:val="20"/>
        </w:rPr>
        <w:endnoteReference w:id="43"/>
      </w:r>
    </w:p>
    <w:p w:rsidR="000560E8" w:rsidRPr="00216A71" w:rsidRDefault="00C01857" w:rsidP="00781FBC">
      <w:pPr>
        <w:pStyle w:val="ListParagraph"/>
        <w:numPr>
          <w:ilvl w:val="0"/>
          <w:numId w:val="33"/>
        </w:numPr>
        <w:rPr>
          <w:rFonts w:cstheme="minorHAnsi"/>
          <w:szCs w:val="20"/>
        </w:rPr>
      </w:pPr>
      <w:r>
        <w:rPr>
          <w:rFonts w:cstheme="minorHAnsi"/>
          <w:szCs w:val="20"/>
        </w:rPr>
        <w:t>D</w:t>
      </w:r>
      <w:r w:rsidR="000560E8" w:rsidRPr="00216A71">
        <w:rPr>
          <w:rFonts w:cstheme="minorHAnsi"/>
          <w:szCs w:val="20"/>
        </w:rPr>
        <w:t>rafting regulations, setting up a central PPP unit, and identifying PPP projects in Tanzania</w:t>
      </w:r>
      <w:r>
        <w:rPr>
          <w:rFonts w:cstheme="minorHAnsi"/>
          <w:szCs w:val="20"/>
        </w:rPr>
        <w:t>.</w:t>
      </w:r>
    </w:p>
    <w:p w:rsidR="000560E8" w:rsidRPr="00216A71" w:rsidRDefault="00C01857" w:rsidP="00781FBC">
      <w:pPr>
        <w:pStyle w:val="ListParagraph"/>
        <w:numPr>
          <w:ilvl w:val="0"/>
          <w:numId w:val="33"/>
        </w:numPr>
        <w:rPr>
          <w:rFonts w:cstheme="minorHAnsi"/>
          <w:szCs w:val="20"/>
        </w:rPr>
      </w:pPr>
      <w:r>
        <w:rPr>
          <w:rFonts w:cstheme="minorHAnsi"/>
          <w:szCs w:val="20"/>
        </w:rPr>
        <w:t>E</w:t>
      </w:r>
      <w:r w:rsidR="000560E8" w:rsidRPr="00216A71">
        <w:rPr>
          <w:rFonts w:cstheme="minorHAnsi"/>
          <w:szCs w:val="20"/>
        </w:rPr>
        <w:t xml:space="preserve">ncouraging the use of PPPs for </w:t>
      </w:r>
      <w:r w:rsidR="00D341C1" w:rsidRPr="00216A71">
        <w:rPr>
          <w:rFonts w:cstheme="minorHAnsi"/>
          <w:szCs w:val="20"/>
        </w:rPr>
        <w:t xml:space="preserve">public toilets, electricity, water and </w:t>
      </w:r>
      <w:r w:rsidR="000560E8" w:rsidRPr="00216A71">
        <w:rPr>
          <w:rFonts w:cstheme="minorHAnsi"/>
          <w:szCs w:val="20"/>
        </w:rPr>
        <w:t>tax-collection in Ghana</w:t>
      </w:r>
      <w:r>
        <w:rPr>
          <w:rFonts w:cstheme="minorHAnsi"/>
          <w:szCs w:val="20"/>
        </w:rPr>
        <w:t>.</w:t>
      </w:r>
    </w:p>
    <w:p w:rsidR="000560E8" w:rsidRPr="00216A71" w:rsidRDefault="00C01857" w:rsidP="00781FBC">
      <w:pPr>
        <w:pStyle w:val="ListParagraph"/>
        <w:numPr>
          <w:ilvl w:val="0"/>
          <w:numId w:val="33"/>
        </w:numPr>
        <w:rPr>
          <w:rFonts w:cstheme="minorHAnsi"/>
          <w:szCs w:val="20"/>
        </w:rPr>
      </w:pPr>
      <w:r>
        <w:rPr>
          <w:rFonts w:cstheme="minorHAnsi"/>
          <w:szCs w:val="20"/>
        </w:rPr>
        <w:t>P</w:t>
      </w:r>
      <w:r w:rsidR="000560E8" w:rsidRPr="00216A71">
        <w:rPr>
          <w:rFonts w:cstheme="minorHAnsi"/>
          <w:szCs w:val="20"/>
        </w:rPr>
        <w:t xml:space="preserve">romoting </w:t>
      </w:r>
      <w:r w:rsidR="00167C86" w:rsidRPr="00216A71">
        <w:rPr>
          <w:rFonts w:cstheme="minorHAnsi"/>
          <w:szCs w:val="20"/>
        </w:rPr>
        <w:t>PPPs in waste and transport</w:t>
      </w:r>
      <w:r w:rsidR="004045AD">
        <w:rPr>
          <w:rFonts w:cstheme="minorHAnsi"/>
          <w:szCs w:val="20"/>
        </w:rPr>
        <w:t xml:space="preserve"> </w:t>
      </w:r>
      <w:r w:rsidR="00167C86" w:rsidRPr="00216A71">
        <w:rPr>
          <w:rFonts w:cstheme="minorHAnsi"/>
          <w:szCs w:val="20"/>
        </w:rPr>
        <w:t>in Egypt</w:t>
      </w:r>
      <w:r>
        <w:rPr>
          <w:rFonts w:cstheme="minorHAnsi"/>
          <w:szCs w:val="20"/>
        </w:rPr>
        <w:t>,</w:t>
      </w:r>
      <w:r w:rsidR="00167C86" w:rsidRPr="00216A71">
        <w:rPr>
          <w:rFonts w:cstheme="minorHAnsi"/>
          <w:szCs w:val="20"/>
        </w:rPr>
        <w:t xml:space="preserve"> </w:t>
      </w:r>
      <w:r w:rsidR="000560E8" w:rsidRPr="00216A71">
        <w:rPr>
          <w:rFonts w:cstheme="minorHAnsi"/>
          <w:szCs w:val="20"/>
        </w:rPr>
        <w:t>the privatisation of electricity distribution networks in Iraq</w:t>
      </w:r>
      <w:r w:rsidR="00167C86" w:rsidRPr="00216A71">
        <w:rPr>
          <w:rFonts w:cstheme="minorHAnsi"/>
          <w:szCs w:val="20"/>
        </w:rPr>
        <w:t>, PPP legislation and unit in Jordan, and PPPs in sanitation in Tunisia</w:t>
      </w:r>
      <w:r>
        <w:rPr>
          <w:rFonts w:cstheme="minorHAnsi"/>
          <w:szCs w:val="20"/>
        </w:rPr>
        <w:t>.</w:t>
      </w:r>
    </w:p>
    <w:p w:rsidR="00D341C1" w:rsidRPr="00216A71" w:rsidRDefault="00C01857" w:rsidP="00781FBC">
      <w:pPr>
        <w:pStyle w:val="ListParagraph"/>
        <w:numPr>
          <w:ilvl w:val="0"/>
          <w:numId w:val="33"/>
        </w:numPr>
        <w:rPr>
          <w:rFonts w:cstheme="minorHAnsi"/>
          <w:szCs w:val="20"/>
        </w:rPr>
      </w:pPr>
      <w:r>
        <w:rPr>
          <w:rFonts w:cstheme="minorHAnsi"/>
          <w:szCs w:val="20"/>
        </w:rPr>
        <w:t>E</w:t>
      </w:r>
      <w:r w:rsidR="00D341C1" w:rsidRPr="00216A71">
        <w:rPr>
          <w:rFonts w:cstheme="minorHAnsi"/>
          <w:szCs w:val="20"/>
        </w:rPr>
        <w:t>ncouraging municipalities and regional governments to borrow money through selling bonds to local and international financiers</w:t>
      </w:r>
      <w:r w:rsidR="00167C86" w:rsidRPr="00216A71">
        <w:rPr>
          <w:rFonts w:cstheme="minorHAnsi"/>
          <w:szCs w:val="20"/>
        </w:rPr>
        <w:t xml:space="preserve"> </w:t>
      </w:r>
      <w:r w:rsidR="00D341C1" w:rsidRPr="00216A71">
        <w:rPr>
          <w:rFonts w:cstheme="minorHAnsi"/>
          <w:szCs w:val="20"/>
        </w:rPr>
        <w:t>in Kenya, Ind</w:t>
      </w:r>
      <w:r w:rsidR="00167C86" w:rsidRPr="00216A71">
        <w:rPr>
          <w:rFonts w:cstheme="minorHAnsi"/>
          <w:szCs w:val="20"/>
        </w:rPr>
        <w:t>onesia, Turkey and other countries</w:t>
      </w:r>
      <w:r>
        <w:rPr>
          <w:rFonts w:cstheme="minorHAnsi"/>
          <w:szCs w:val="20"/>
        </w:rPr>
        <w:t>.</w:t>
      </w:r>
    </w:p>
    <w:p w:rsidR="00546E9E" w:rsidRPr="00216A71" w:rsidRDefault="00546E9E" w:rsidP="00EC4A5D">
      <w:pPr>
        <w:pStyle w:val="Heading8"/>
        <w:rPr>
          <w:rFonts w:asciiTheme="minorHAnsi" w:hAnsiTheme="minorHAnsi" w:cstheme="minorHAnsi"/>
        </w:rPr>
      </w:pPr>
      <w:r w:rsidRPr="00216A71">
        <w:rPr>
          <w:rFonts w:asciiTheme="minorHAnsi" w:hAnsiTheme="minorHAnsi" w:cstheme="minorHAnsi"/>
        </w:rPr>
        <w:t>The production of PPPs</w:t>
      </w:r>
    </w:p>
    <w:p w:rsidR="00546E9E" w:rsidRPr="00216A71" w:rsidRDefault="00546E9E" w:rsidP="0029090A">
      <w:pPr>
        <w:rPr>
          <w:rFonts w:cstheme="minorHAnsi"/>
          <w:szCs w:val="20"/>
        </w:rPr>
      </w:pPr>
      <w:r w:rsidRPr="00216A71">
        <w:rPr>
          <w:rFonts w:cstheme="minorHAnsi"/>
          <w:noProof/>
          <w:szCs w:val="20"/>
          <w:lang w:eastAsia="en-GB"/>
        </w:rPr>
        <w:drawing>
          <wp:inline distT="0" distB="0" distL="0" distR="0" wp14:anchorId="128C1DA7" wp14:editId="245A38F5">
            <wp:extent cx="4438310" cy="2627420"/>
            <wp:effectExtent l="0" t="0" r="635" b="1905"/>
            <wp:docPr id="3" name="Picture 3" descr="http://www.ppiaf.org/ppiaf/sites/ppiaf.org/files/images/Development%20of%20a%20PPP%20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piaf.org/ppiaf/sites/ppiaf.org/files/images/Development%20of%20a%20PPP%20Chart.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38407" cy="2627477"/>
                    </a:xfrm>
                    <a:prstGeom prst="rect">
                      <a:avLst/>
                    </a:prstGeom>
                    <a:noFill/>
                    <a:ln>
                      <a:noFill/>
                    </a:ln>
                  </pic:spPr>
                </pic:pic>
              </a:graphicData>
            </a:graphic>
          </wp:inline>
        </w:drawing>
      </w:r>
    </w:p>
    <w:p w:rsidR="000C629A" w:rsidRDefault="00546E9E" w:rsidP="0029090A">
      <w:pPr>
        <w:rPr>
          <w:rFonts w:cstheme="minorHAnsi"/>
          <w:szCs w:val="20"/>
        </w:rPr>
      </w:pPr>
      <w:r w:rsidRPr="00216A71">
        <w:rPr>
          <w:rFonts w:cstheme="minorHAnsi"/>
          <w:szCs w:val="20"/>
        </w:rPr>
        <w:t xml:space="preserve">Source: PPIAF </w:t>
      </w:r>
      <w:hyperlink r:id="rId71" w:history="1">
        <w:r w:rsidRPr="00216A71">
          <w:rPr>
            <w:rStyle w:val="Hyperlink"/>
            <w:rFonts w:cstheme="minorHAnsi"/>
            <w:szCs w:val="20"/>
          </w:rPr>
          <w:t>http://www.ppiaf.org/page/results/monitoring-evaluation</w:t>
        </w:r>
      </w:hyperlink>
      <w:r w:rsidRPr="00216A71">
        <w:rPr>
          <w:rFonts w:cstheme="minorHAnsi"/>
          <w:szCs w:val="20"/>
        </w:rPr>
        <w:t xml:space="preserve"> </w:t>
      </w:r>
    </w:p>
    <w:p w:rsidR="0029090A" w:rsidRPr="00216A71" w:rsidRDefault="0029090A" w:rsidP="0029090A">
      <w:pPr>
        <w:pStyle w:val="Heading3"/>
        <w:rPr>
          <w:rFonts w:asciiTheme="minorHAnsi" w:hAnsiTheme="minorHAnsi" w:cstheme="minorHAnsi"/>
          <w:szCs w:val="20"/>
        </w:rPr>
      </w:pPr>
      <w:r w:rsidRPr="00216A71">
        <w:rPr>
          <w:rFonts w:asciiTheme="minorHAnsi" w:hAnsiTheme="minorHAnsi" w:cstheme="minorHAnsi"/>
          <w:szCs w:val="20"/>
        </w:rPr>
        <w:t>Regional development banks</w:t>
      </w:r>
      <w:r w:rsidR="00A65038" w:rsidRPr="00216A71">
        <w:rPr>
          <w:rFonts w:asciiTheme="minorHAnsi" w:hAnsiTheme="minorHAnsi" w:cstheme="minorHAnsi"/>
          <w:szCs w:val="20"/>
        </w:rPr>
        <w:t xml:space="preserve">: </w:t>
      </w:r>
      <w:r w:rsidRPr="00216A71">
        <w:rPr>
          <w:rFonts w:asciiTheme="minorHAnsi" w:hAnsiTheme="minorHAnsi" w:cstheme="minorHAnsi"/>
          <w:szCs w:val="20"/>
        </w:rPr>
        <w:t>ADB, IADB</w:t>
      </w:r>
      <w:r w:rsidR="00335DD8" w:rsidRPr="00216A71">
        <w:rPr>
          <w:rFonts w:asciiTheme="minorHAnsi" w:hAnsiTheme="minorHAnsi" w:cstheme="minorHAnsi"/>
          <w:szCs w:val="20"/>
        </w:rPr>
        <w:t xml:space="preserve">, </w:t>
      </w:r>
      <w:r w:rsidR="00277AAA" w:rsidRPr="00216A71">
        <w:rPr>
          <w:rFonts w:asciiTheme="minorHAnsi" w:hAnsiTheme="minorHAnsi" w:cstheme="minorHAnsi"/>
          <w:szCs w:val="20"/>
        </w:rPr>
        <w:t>AfDB</w:t>
      </w:r>
    </w:p>
    <w:p w:rsidR="000C629A" w:rsidRDefault="00943D63" w:rsidP="0029090A">
      <w:pPr>
        <w:rPr>
          <w:rFonts w:cstheme="minorHAnsi"/>
          <w:szCs w:val="20"/>
        </w:rPr>
      </w:pPr>
      <w:r w:rsidRPr="00216A71">
        <w:rPr>
          <w:rFonts w:cstheme="minorHAnsi"/>
          <w:szCs w:val="20"/>
        </w:rPr>
        <w:t xml:space="preserve">The regional development banks also promote PPPs through policy advice and through conditionalities. </w:t>
      </w:r>
    </w:p>
    <w:p w:rsidR="000C629A" w:rsidRDefault="00EF04EF">
      <w:pPr>
        <w:rPr>
          <w:rFonts w:cstheme="minorHAnsi"/>
          <w:szCs w:val="20"/>
        </w:rPr>
      </w:pPr>
      <w:r w:rsidRPr="00216A71">
        <w:rPr>
          <w:rFonts w:cstheme="minorHAnsi"/>
          <w:szCs w:val="20"/>
        </w:rPr>
        <w:t xml:space="preserve">The ADB published a strategy paper </w:t>
      </w:r>
      <w:r w:rsidR="009D7F62" w:rsidRPr="00216A71">
        <w:rPr>
          <w:rFonts w:cstheme="minorHAnsi"/>
          <w:szCs w:val="20"/>
        </w:rPr>
        <w:t xml:space="preserve">in 2012 </w:t>
      </w:r>
      <w:r w:rsidRPr="00216A71">
        <w:rPr>
          <w:rFonts w:cstheme="minorHAnsi"/>
          <w:szCs w:val="20"/>
        </w:rPr>
        <w:t>which “emphasizes the promotion of PPPs in all of ADB’s core operations</w:t>
      </w:r>
      <w:r w:rsidR="009D7F62" w:rsidRPr="00216A71">
        <w:rPr>
          <w:rFonts w:cstheme="minorHAnsi"/>
          <w:szCs w:val="20"/>
        </w:rPr>
        <w:t>” and explicitly links it to the strategies of other global institutions</w:t>
      </w:r>
      <w:r w:rsidR="00C01857">
        <w:rPr>
          <w:rFonts w:cstheme="minorHAnsi"/>
          <w:szCs w:val="20"/>
        </w:rPr>
        <w:t>.</w:t>
      </w:r>
      <w:r w:rsidR="009D7F62" w:rsidRPr="00216A71">
        <w:rPr>
          <w:rFonts w:cstheme="minorHAnsi"/>
          <w:szCs w:val="20"/>
        </w:rPr>
        <w:t xml:space="preserve"> “</w:t>
      </w:r>
      <w:r w:rsidRPr="00216A71">
        <w:rPr>
          <w:rFonts w:cstheme="minorHAnsi"/>
          <w:szCs w:val="20"/>
        </w:rPr>
        <w:t>This approach is aligned with the Group of 20 perspective that multilateral development banks need to promote project financing in cooperation with the private sector, especially where partial or full cost recovery is possible.”</w:t>
      </w:r>
      <w:r w:rsidR="00886DB0" w:rsidRPr="00216A71">
        <w:rPr>
          <w:rFonts w:cstheme="minorHAnsi"/>
          <w:szCs w:val="20"/>
        </w:rPr>
        <w:t xml:space="preserve"> (ADB 2012)</w:t>
      </w:r>
      <w:r w:rsidR="00886DB0" w:rsidRPr="00216A71">
        <w:rPr>
          <w:rStyle w:val="EndnoteReference"/>
          <w:rFonts w:cstheme="minorHAnsi"/>
          <w:szCs w:val="20"/>
        </w:rPr>
        <w:endnoteReference w:id="44"/>
      </w:r>
      <w:r w:rsidRPr="00216A71">
        <w:rPr>
          <w:rFonts w:cstheme="minorHAnsi"/>
          <w:szCs w:val="20"/>
        </w:rPr>
        <w:t xml:space="preserve"> </w:t>
      </w:r>
      <w:r w:rsidR="00886DB0" w:rsidRPr="00216A71">
        <w:rPr>
          <w:rFonts w:cstheme="minorHAnsi"/>
          <w:szCs w:val="20"/>
        </w:rPr>
        <w:t xml:space="preserve">It sees its role under </w:t>
      </w:r>
      <w:r w:rsidR="00C01857">
        <w:rPr>
          <w:rFonts w:cstheme="minorHAnsi"/>
          <w:szCs w:val="20"/>
        </w:rPr>
        <w:t>four</w:t>
      </w:r>
      <w:r w:rsidR="00886DB0" w:rsidRPr="00216A71">
        <w:rPr>
          <w:rFonts w:cstheme="minorHAnsi"/>
          <w:szCs w:val="20"/>
        </w:rPr>
        <w:t xml:space="preserve"> headings: promoting PPPs through advocacy and capacity development; creating an enabling policy and legal environment in countries; supporting the selection of projects for PPPs and financing the costs of arriving in contracts;</w:t>
      </w:r>
      <w:r w:rsidR="004045AD">
        <w:rPr>
          <w:rFonts w:cstheme="minorHAnsi"/>
          <w:szCs w:val="20"/>
        </w:rPr>
        <w:t xml:space="preserve"> </w:t>
      </w:r>
      <w:r w:rsidR="00886DB0" w:rsidRPr="00216A71">
        <w:rPr>
          <w:rFonts w:cstheme="minorHAnsi"/>
          <w:szCs w:val="20"/>
        </w:rPr>
        <w:t>and finally lending money to the projects themselves.</w:t>
      </w:r>
    </w:p>
    <w:p w:rsidR="000C629A" w:rsidRDefault="00EF04EF" w:rsidP="0029090A">
      <w:pPr>
        <w:rPr>
          <w:rFonts w:cstheme="minorHAnsi"/>
          <w:szCs w:val="20"/>
        </w:rPr>
      </w:pPr>
      <w:r w:rsidRPr="00216A71">
        <w:rPr>
          <w:rFonts w:cstheme="minorHAnsi"/>
          <w:szCs w:val="20"/>
        </w:rPr>
        <w:t>The bank is currently lending nearly $7 billion to subsidise, support and promote PP</w:t>
      </w:r>
      <w:r w:rsidR="00886DB0" w:rsidRPr="00216A71">
        <w:rPr>
          <w:rFonts w:cstheme="minorHAnsi"/>
          <w:szCs w:val="20"/>
        </w:rPr>
        <w:t>Ps across a number of countries, with proposals for further loans worth over $1 billion.</w:t>
      </w:r>
      <w:r w:rsidR="004045AD">
        <w:rPr>
          <w:rFonts w:cstheme="minorHAnsi"/>
          <w:szCs w:val="20"/>
        </w:rPr>
        <w:t xml:space="preserve"> </w:t>
      </w:r>
      <w:r w:rsidR="00886DB0" w:rsidRPr="00216A71">
        <w:rPr>
          <w:rFonts w:cstheme="minorHAnsi"/>
          <w:szCs w:val="20"/>
        </w:rPr>
        <w:t xml:space="preserve">The largest of these loans are for supporting and promoting PPPs, rather than for </w:t>
      </w:r>
      <w:r w:rsidR="00674432" w:rsidRPr="00216A71">
        <w:rPr>
          <w:rFonts w:cstheme="minorHAnsi"/>
          <w:szCs w:val="20"/>
        </w:rPr>
        <w:t xml:space="preserve">desirable infrastructure </w:t>
      </w:r>
      <w:r w:rsidR="00886DB0" w:rsidRPr="00216A71">
        <w:rPr>
          <w:rFonts w:cstheme="minorHAnsi"/>
          <w:szCs w:val="20"/>
        </w:rPr>
        <w:t>projects themselves</w:t>
      </w:r>
      <w:r w:rsidR="00674432" w:rsidRPr="00216A71">
        <w:rPr>
          <w:rFonts w:cstheme="minorHAnsi"/>
          <w:szCs w:val="20"/>
        </w:rPr>
        <w:t>. Most recently, a new $700</w:t>
      </w:r>
      <w:r w:rsidR="00C01857">
        <w:rPr>
          <w:rFonts w:cstheme="minorHAnsi"/>
          <w:szCs w:val="20"/>
        </w:rPr>
        <w:t xml:space="preserve"> </w:t>
      </w:r>
      <w:r w:rsidR="00674432" w:rsidRPr="00216A71">
        <w:rPr>
          <w:rFonts w:cstheme="minorHAnsi"/>
          <w:szCs w:val="20"/>
        </w:rPr>
        <w:t>m</w:t>
      </w:r>
      <w:r w:rsidR="00C01857">
        <w:rPr>
          <w:rFonts w:cstheme="minorHAnsi"/>
          <w:szCs w:val="20"/>
        </w:rPr>
        <w:t>illion</w:t>
      </w:r>
      <w:r w:rsidR="00674432" w:rsidRPr="00216A71">
        <w:rPr>
          <w:rFonts w:cstheme="minorHAnsi"/>
          <w:szCs w:val="20"/>
        </w:rPr>
        <w:t xml:space="preserve"> loan was agreed in 2013 to help India provide public finance for PPPs which might otherwise not be financially viable or economically prioritised</w:t>
      </w:r>
      <w:r w:rsidR="00C01857">
        <w:rPr>
          <w:rFonts w:cstheme="minorHAnsi"/>
          <w:szCs w:val="20"/>
        </w:rPr>
        <w:t>.</w:t>
      </w:r>
      <w:r w:rsidR="00674432" w:rsidRPr="00216A71">
        <w:rPr>
          <w:rFonts w:cstheme="minorHAnsi"/>
          <w:szCs w:val="20"/>
        </w:rPr>
        <w:t xml:space="preserve"> </w:t>
      </w:r>
      <w:r w:rsidR="00C01857">
        <w:rPr>
          <w:rFonts w:cstheme="minorHAnsi"/>
          <w:szCs w:val="20"/>
        </w:rPr>
        <w:t>T</w:t>
      </w:r>
      <w:r w:rsidR="00674432" w:rsidRPr="00216A71">
        <w:rPr>
          <w:rFonts w:cstheme="minorHAnsi"/>
          <w:szCs w:val="20"/>
        </w:rPr>
        <w:t>his followed similar loans totalling over $2</w:t>
      </w:r>
      <w:r w:rsidR="00C01857">
        <w:rPr>
          <w:rFonts w:cstheme="minorHAnsi"/>
          <w:szCs w:val="20"/>
        </w:rPr>
        <w:t xml:space="preserve"> </w:t>
      </w:r>
      <w:r w:rsidR="00674432" w:rsidRPr="00216A71">
        <w:rPr>
          <w:rFonts w:cstheme="minorHAnsi"/>
          <w:szCs w:val="20"/>
        </w:rPr>
        <w:t xml:space="preserve">billion over the previous </w:t>
      </w:r>
      <w:r w:rsidR="00C01857">
        <w:rPr>
          <w:rFonts w:cstheme="minorHAnsi"/>
          <w:szCs w:val="20"/>
        </w:rPr>
        <w:t>seven</w:t>
      </w:r>
      <w:r w:rsidR="00674432" w:rsidRPr="00216A71">
        <w:rPr>
          <w:rFonts w:cstheme="minorHAnsi"/>
          <w:szCs w:val="20"/>
        </w:rPr>
        <w:t xml:space="preserve"> years.</w:t>
      </w:r>
      <w:r w:rsidR="004045AD">
        <w:rPr>
          <w:rFonts w:cstheme="minorHAnsi"/>
          <w:szCs w:val="20"/>
        </w:rPr>
        <w:t xml:space="preserve"> </w:t>
      </w:r>
      <w:r w:rsidR="00674432" w:rsidRPr="00216A71">
        <w:rPr>
          <w:rFonts w:cstheme="minorHAnsi"/>
          <w:szCs w:val="20"/>
        </w:rPr>
        <w:t>Loans have been made to create supportive frameworks for PPPs in most countries in Asia including</w:t>
      </w:r>
      <w:r w:rsidR="00216817" w:rsidRPr="00216A71">
        <w:rPr>
          <w:rFonts w:cstheme="minorHAnsi"/>
          <w:szCs w:val="20"/>
        </w:rPr>
        <w:t xml:space="preserve"> Bangladesh, Indonesia, Kyrgyzstan, Mongolia, Nepal, Pakistan,</w:t>
      </w:r>
      <w:r w:rsidR="00EC4A5D" w:rsidRPr="00216A71">
        <w:rPr>
          <w:rFonts w:cstheme="minorHAnsi"/>
          <w:szCs w:val="20"/>
        </w:rPr>
        <w:t xml:space="preserve"> the </w:t>
      </w:r>
      <w:r w:rsidR="00216817" w:rsidRPr="00216A71">
        <w:rPr>
          <w:rFonts w:cstheme="minorHAnsi"/>
          <w:szCs w:val="20"/>
        </w:rPr>
        <w:t>Philippines, Tajikistan,</w:t>
      </w:r>
      <w:r w:rsidR="00EC4A5D" w:rsidRPr="00216A71">
        <w:rPr>
          <w:rFonts w:cstheme="minorHAnsi"/>
          <w:szCs w:val="20"/>
        </w:rPr>
        <w:t xml:space="preserve"> </w:t>
      </w:r>
      <w:r w:rsidR="00216817" w:rsidRPr="00216A71">
        <w:rPr>
          <w:rFonts w:cstheme="minorHAnsi"/>
          <w:szCs w:val="20"/>
        </w:rPr>
        <w:t>Thailand,</w:t>
      </w:r>
      <w:r w:rsidR="004045AD">
        <w:rPr>
          <w:rFonts w:cstheme="minorHAnsi"/>
          <w:szCs w:val="20"/>
        </w:rPr>
        <w:t xml:space="preserve"> </w:t>
      </w:r>
      <w:r w:rsidR="00216817" w:rsidRPr="00216A71">
        <w:rPr>
          <w:rFonts w:cstheme="minorHAnsi"/>
          <w:szCs w:val="20"/>
        </w:rPr>
        <w:t xml:space="preserve">and </w:t>
      </w:r>
      <w:r w:rsidR="00674432" w:rsidRPr="00216A71">
        <w:rPr>
          <w:rFonts w:cstheme="minorHAnsi"/>
          <w:szCs w:val="20"/>
        </w:rPr>
        <w:t xml:space="preserve">Vietnam, </w:t>
      </w:r>
      <w:r w:rsidR="00216817" w:rsidRPr="00216A71">
        <w:rPr>
          <w:rFonts w:cstheme="minorHAnsi"/>
          <w:szCs w:val="20"/>
        </w:rPr>
        <w:t xml:space="preserve">with further similar loans proposed for </w:t>
      </w:r>
      <w:r w:rsidR="00674432" w:rsidRPr="00216A71">
        <w:rPr>
          <w:rFonts w:cstheme="minorHAnsi"/>
          <w:szCs w:val="20"/>
        </w:rPr>
        <w:t>Cambodia and Myanmar</w:t>
      </w:r>
      <w:r w:rsidR="00216817" w:rsidRPr="00216A71">
        <w:rPr>
          <w:rFonts w:cstheme="minorHAnsi"/>
          <w:szCs w:val="20"/>
        </w:rPr>
        <w:t>.</w:t>
      </w:r>
      <w:r w:rsidR="004045AD">
        <w:rPr>
          <w:rFonts w:cstheme="minorHAnsi"/>
          <w:szCs w:val="20"/>
        </w:rPr>
        <w:t xml:space="preserve"> </w:t>
      </w:r>
    </w:p>
    <w:p w:rsidR="00DB7F76" w:rsidRPr="00216A71" w:rsidRDefault="00DB7F76" w:rsidP="00DB7F76">
      <w:pPr>
        <w:pStyle w:val="Heading7"/>
        <w:rPr>
          <w:rFonts w:asciiTheme="minorHAnsi" w:hAnsiTheme="minorHAnsi" w:cstheme="minorHAnsi"/>
        </w:rPr>
      </w:pPr>
      <w:r w:rsidRPr="00216A71">
        <w:rPr>
          <w:rFonts w:asciiTheme="minorHAnsi" w:hAnsiTheme="minorHAnsi" w:cstheme="minorHAnsi"/>
        </w:rPr>
        <w:t>ADB: active loans for PPP-linked projects (as at Dec 2013)</w:t>
      </w:r>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58"/>
        <w:gridCol w:w="1135"/>
        <w:gridCol w:w="850"/>
        <w:gridCol w:w="1352"/>
        <w:gridCol w:w="4217"/>
      </w:tblGrid>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43157-013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Bangladesh</w:t>
            </w:r>
          </w:p>
        </w:tc>
        <w:tc>
          <w:tcPr>
            <w:tcW w:w="1135"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13/10/2009</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745.0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pPr>
              <w:rPr>
                <w:rFonts w:cstheme="minorHAnsi"/>
                <w:sz w:val="18"/>
                <w:szCs w:val="18"/>
              </w:rPr>
            </w:pPr>
            <w:r w:rsidRPr="00AC3771">
              <w:rPr>
                <w:rFonts w:cstheme="minorHAnsi"/>
                <w:sz w:val="18"/>
                <w:szCs w:val="18"/>
              </w:rPr>
              <w:t>Public Expenditure Support Facility Program and Countercyclical Support Facility Program</w:t>
            </w:r>
            <w:r w:rsidR="004045AD">
              <w:rPr>
                <w:rFonts w:cstheme="minorHAnsi"/>
                <w:sz w:val="18"/>
                <w:szCs w:val="18"/>
              </w:rPr>
              <w:t xml:space="preserve"> – </w:t>
            </w:r>
            <w:r w:rsidRPr="00AC3771">
              <w:rPr>
                <w:rFonts w:cstheme="minorHAnsi"/>
                <w:sz w:val="18"/>
                <w:szCs w:val="18"/>
              </w:rPr>
              <w:t>PESF</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47083-001</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27/09/2013</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700.0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Accelerating Infrastructure Investment Facility in India</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lastRenderedPageBreak/>
              <w:t>41036-013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17/11/2009</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700.0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MFF</w:t>
            </w:r>
            <w:r w:rsidR="004045AD">
              <w:rPr>
                <w:rFonts w:cstheme="minorHAnsi"/>
                <w:sz w:val="18"/>
                <w:szCs w:val="18"/>
              </w:rPr>
              <w:t xml:space="preserve"> – </w:t>
            </w:r>
            <w:r w:rsidRPr="00AC3771">
              <w:rPr>
                <w:rFonts w:cstheme="minorHAnsi"/>
                <w:sz w:val="18"/>
                <w:szCs w:val="18"/>
              </w:rPr>
              <w:t>Second India Infrastructure Project Financing Facility (IIPFF-II)</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35049-013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Bangladesh</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25/11/2010</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615.0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Transport /ICT</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Padma Multipurpose Bridge Project</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40655-013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14/12/2007</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500.0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Multitranche Financing Facility</w:t>
            </w:r>
            <w:r w:rsidR="004045AD">
              <w:rPr>
                <w:rFonts w:cstheme="minorHAnsi"/>
                <w:sz w:val="18"/>
                <w:szCs w:val="18"/>
              </w:rPr>
              <w:t xml:space="preserve"> – </w:t>
            </w:r>
            <w:r w:rsidRPr="00AC3771">
              <w:rPr>
                <w:rFonts w:cstheme="minorHAnsi"/>
                <w:sz w:val="18"/>
                <w:szCs w:val="18"/>
              </w:rPr>
              <w:t>India Infrastructure Project Financing Facility</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47083-002</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India</w:t>
            </w:r>
          </w:p>
        </w:tc>
        <w:tc>
          <w:tcPr>
            <w:tcW w:w="1135"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21/10/2013</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400.0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Accelerating Infrastructure Investment Facility in India</w:t>
            </w:r>
            <w:r w:rsidR="004045AD">
              <w:rPr>
                <w:rFonts w:cstheme="minorHAnsi"/>
                <w:sz w:val="18"/>
                <w:szCs w:val="18"/>
              </w:rPr>
              <w:t xml:space="preserve"> – </w:t>
            </w:r>
            <w:r w:rsidRPr="00AC3771">
              <w:rPr>
                <w:rFonts w:cstheme="minorHAnsi"/>
                <w:sz w:val="18"/>
                <w:szCs w:val="18"/>
              </w:rPr>
              <w:t>Tranche 1</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40009-023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Indonesia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21/11/2006</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400.0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Infrastructure Reform Sector Development Program (Subprogram 1)</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43396-013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Philippines</w:t>
            </w:r>
          </w:p>
        </w:tc>
        <w:tc>
          <w:tcPr>
            <w:tcW w:w="1135"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26/06/2012</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350.0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Public sector management</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Increasing Competitiveness for Inclusive Growth Program</w:t>
            </w:r>
            <w:r w:rsidR="004045AD">
              <w:rPr>
                <w:rFonts w:cstheme="minorHAnsi"/>
                <w:sz w:val="18"/>
                <w:szCs w:val="18"/>
              </w:rPr>
              <w:t xml:space="preserve"> – </w:t>
            </w:r>
            <w:r w:rsidRPr="00AC3771">
              <w:rPr>
                <w:rFonts w:cstheme="minorHAnsi"/>
                <w:sz w:val="18"/>
                <w:szCs w:val="18"/>
              </w:rPr>
              <w:t>Subprogram 1</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32253-013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26/11/2002</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320.0</w:t>
            </w:r>
          </w:p>
        </w:tc>
        <w:tc>
          <w:tcPr>
            <w:tcW w:w="1352" w:type="dxa"/>
            <w:shd w:val="clear" w:color="auto" w:fill="auto"/>
            <w:noWrap/>
            <w:hideMark/>
          </w:tcPr>
          <w:p w:rsidR="00E2447F" w:rsidRPr="00216A71" w:rsidRDefault="00E2447F" w:rsidP="00E2447F">
            <w:pPr>
              <w:rPr>
                <w:rFonts w:cstheme="minorHAnsi"/>
                <w:color w:val="000000"/>
                <w:sz w:val="18"/>
                <w:szCs w:val="18"/>
              </w:rPr>
            </w:pPr>
            <w:r w:rsidRPr="00216A71">
              <w:rPr>
                <w:rFonts w:cstheme="minorHAnsi"/>
                <w:color w:val="000000"/>
                <w:sz w:val="18"/>
                <w:szCs w:val="18"/>
              </w:rPr>
              <w:t>Transport /ICT</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East West Corridor</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43063-013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10/03/2011</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301.0</w:t>
            </w:r>
          </w:p>
        </w:tc>
        <w:tc>
          <w:tcPr>
            <w:tcW w:w="1352" w:type="dxa"/>
            <w:shd w:val="clear" w:color="auto" w:fill="auto"/>
            <w:noWrap/>
            <w:hideMark/>
          </w:tcPr>
          <w:p w:rsidR="00E2447F" w:rsidRPr="00216A71" w:rsidRDefault="00E2447F" w:rsidP="00E2447F">
            <w:pPr>
              <w:rPr>
                <w:rFonts w:cstheme="minorHAnsi"/>
                <w:color w:val="000000"/>
                <w:sz w:val="18"/>
                <w:szCs w:val="18"/>
              </w:rPr>
            </w:pPr>
            <w:r w:rsidRPr="00216A71">
              <w:rPr>
                <w:rFonts w:cstheme="minorHAnsi"/>
                <w:color w:val="000000"/>
                <w:sz w:val="18"/>
                <w:szCs w:val="18"/>
              </w:rPr>
              <w:t>Transport /ICT</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Madhya Pradesh State Roads Project III</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41036-033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07/12/2010</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250.0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MFF</w:t>
            </w:r>
            <w:r w:rsidR="004045AD">
              <w:rPr>
                <w:rFonts w:cstheme="minorHAnsi"/>
                <w:sz w:val="18"/>
                <w:szCs w:val="18"/>
              </w:rPr>
              <w:t xml:space="preserve"> – </w:t>
            </w:r>
            <w:r w:rsidRPr="00AC3771">
              <w:rPr>
                <w:rFonts w:cstheme="minorHAnsi"/>
                <w:sz w:val="18"/>
                <w:szCs w:val="18"/>
              </w:rPr>
              <w:t>Second India Infrastructure Project Financing Facility (IIPFF-II)</w:t>
            </w:r>
            <w:r w:rsidR="004045AD">
              <w:rPr>
                <w:rFonts w:cstheme="minorHAnsi"/>
                <w:sz w:val="18"/>
                <w:szCs w:val="18"/>
              </w:rPr>
              <w:t xml:space="preserve"> – </w:t>
            </w:r>
            <w:r w:rsidRPr="00AC3771">
              <w:rPr>
                <w:rFonts w:cstheme="minorHAnsi"/>
                <w:sz w:val="18"/>
                <w:szCs w:val="18"/>
              </w:rPr>
              <w:t>PFR2</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41036-043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01/12/2011</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240.0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MFF</w:t>
            </w:r>
            <w:r w:rsidR="004045AD">
              <w:rPr>
                <w:rFonts w:cstheme="minorHAnsi"/>
                <w:sz w:val="18"/>
                <w:szCs w:val="18"/>
              </w:rPr>
              <w:t xml:space="preserve"> – </w:t>
            </w:r>
            <w:r w:rsidRPr="00AC3771">
              <w:rPr>
                <w:rFonts w:cstheme="minorHAnsi"/>
                <w:sz w:val="18"/>
                <w:szCs w:val="18"/>
              </w:rPr>
              <w:t>Second India Infrastructure Project Financing Facility (IIPFF II)</w:t>
            </w:r>
            <w:r w:rsidR="004045AD">
              <w:rPr>
                <w:rFonts w:cstheme="minorHAnsi"/>
                <w:sz w:val="18"/>
                <w:szCs w:val="18"/>
              </w:rPr>
              <w:t xml:space="preserve"> – </w:t>
            </w:r>
            <w:r w:rsidRPr="00AC3771">
              <w:rPr>
                <w:rFonts w:cstheme="minorHAnsi"/>
                <w:sz w:val="18"/>
                <w:szCs w:val="18"/>
              </w:rPr>
              <w:t>PFR3</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40009-043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Indonesia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01/12/2010</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200.0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Infrastructure Reform Sector Development Program</w:t>
            </w:r>
            <w:r w:rsidR="004045AD">
              <w:rPr>
                <w:rFonts w:cstheme="minorHAnsi"/>
                <w:sz w:val="18"/>
                <w:szCs w:val="18"/>
              </w:rPr>
              <w:t xml:space="preserve"> – </w:t>
            </w:r>
            <w:r w:rsidRPr="00AC3771">
              <w:rPr>
                <w:rFonts w:cstheme="minorHAnsi"/>
                <w:sz w:val="18"/>
                <w:szCs w:val="18"/>
              </w:rPr>
              <w:t>Subprogram 3</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40540-014</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Bangladesh</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22/11/2012</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198.0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Transport /ICT</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South Asia Subregional Economic Cooperation Road Connectivity Project</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41385-013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Lao People's Democratic Republic</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03/11/2011</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115.6</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Energy</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Greater Mekong Subregion Nam Ngum 3 Hydropower Project</w:t>
            </w:r>
          </w:p>
        </w:tc>
      </w:tr>
      <w:tr w:rsidR="00E2447F" w:rsidRPr="00216A71" w:rsidTr="00AC3771">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42180-013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Bangladesh</w:t>
            </w:r>
          </w:p>
        </w:tc>
        <w:tc>
          <w:tcPr>
            <w:tcW w:w="1135"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17/10/2013</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110.0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Second Public-Private Infrastructure Development Facility</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37399-013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Bhutan</w:t>
            </w:r>
          </w:p>
        </w:tc>
        <w:tc>
          <w:tcPr>
            <w:tcW w:w="1135"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29/10/2008</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106.8</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Energy</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Green Power Development Project</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41545-013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Pakistan</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11/12/2008</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100.8</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Public sector management</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Sindh Growth and Rural Revitalization Program</w:t>
            </w:r>
            <w:r w:rsidR="004045AD">
              <w:rPr>
                <w:rFonts w:cstheme="minorHAnsi"/>
                <w:sz w:val="18"/>
                <w:szCs w:val="18"/>
              </w:rPr>
              <w:t xml:space="preserve"> – </w:t>
            </w:r>
            <w:r w:rsidRPr="00AC3771">
              <w:rPr>
                <w:rFonts w:cstheme="minorHAnsi"/>
                <w:sz w:val="18"/>
                <w:szCs w:val="18"/>
              </w:rPr>
              <w:t>Subprogram 1</w:t>
            </w:r>
          </w:p>
        </w:tc>
      </w:tr>
      <w:tr w:rsidR="00E2447F" w:rsidRPr="00216A71" w:rsidTr="00AC3771">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44431-013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12/09/2011</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100.0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Energy</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Gujarat Solar Power Transmission Project</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42275-013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Viet Nam</w:t>
            </w:r>
          </w:p>
        </w:tc>
        <w:tc>
          <w:tcPr>
            <w:tcW w:w="1135"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31/10/2012</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90.0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Education</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Second Upper Secondary Education Development Project</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42177-013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Bangladesh</w:t>
            </w:r>
          </w:p>
        </w:tc>
        <w:tc>
          <w:tcPr>
            <w:tcW w:w="1135"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18/07/2012</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50.4</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Healthcare</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Urban Primary Health Care Services Delivery Project</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37269-013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Cambodia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13/12/2006</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42.0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Transport /ICT</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CAM: GMS Rehabilitation of the Railway in Cambodia</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40007-013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Uzbekistan</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03/11/2008</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30.0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Water supply and other municipal infrastructure and services</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Surkhandarya Water Supply &amp; Sanitation Project</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40009-013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Indonesia</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21/11/2006</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28.5</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Multisector</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Infrastructure Project Development Facility</w:t>
            </w:r>
          </w:p>
        </w:tc>
      </w:tr>
      <w:tr w:rsidR="00E2447F" w:rsidRPr="00216A71" w:rsidTr="00AC3771">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47036-001</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Nepal</w:t>
            </w:r>
          </w:p>
        </w:tc>
        <w:tc>
          <w:tcPr>
            <w:tcW w:w="1135" w:type="dxa"/>
            <w:shd w:val="clear" w:color="auto" w:fill="auto"/>
            <w:noWrap/>
            <w:vAlign w:val="bottom"/>
            <w:hideMark/>
          </w:tcPr>
          <w:p w:rsidR="00E2447F" w:rsidRPr="00216A71" w:rsidRDefault="00E2447F" w:rsidP="00E2447F">
            <w:pPr>
              <w:jc w:val="center"/>
              <w:rPr>
                <w:rFonts w:cstheme="minorHAnsi"/>
                <w:color w:val="000000"/>
                <w:sz w:val="18"/>
                <w:szCs w:val="18"/>
              </w:rPr>
            </w:pPr>
            <w:r w:rsidRPr="00216A71">
              <w:rPr>
                <w:rFonts w:cstheme="minorHAnsi"/>
                <w:color w:val="000000"/>
                <w:sz w:val="18"/>
                <w:szCs w:val="18"/>
              </w:rPr>
              <w:t>24/09/2013</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21.0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Energy</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Project Preparatory Facility for Energy</w:t>
            </w:r>
          </w:p>
        </w:tc>
      </w:tr>
      <w:tr w:rsidR="00E2447F" w:rsidRPr="00216A71" w:rsidTr="00AC3771">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44507-002</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Viet Nam</w:t>
            </w:r>
          </w:p>
        </w:tc>
        <w:tc>
          <w:tcPr>
            <w:tcW w:w="1135"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25/10/2012</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Public sector management</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Public Private Partnership Support Project</w:t>
            </w:r>
          </w:p>
        </w:tc>
      </w:tr>
      <w:tr w:rsidR="00E2447F" w:rsidRPr="00216A71" w:rsidTr="00EC4A5D">
        <w:trPr>
          <w:trHeight w:val="300"/>
        </w:trPr>
        <w:tc>
          <w:tcPr>
            <w:tcW w:w="1149"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43007-023</w:t>
            </w:r>
          </w:p>
        </w:tc>
        <w:tc>
          <w:tcPr>
            <w:tcW w:w="1058"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Mongolia</w:t>
            </w:r>
          </w:p>
        </w:tc>
        <w:tc>
          <w:tcPr>
            <w:tcW w:w="1135"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28/07/2011</w:t>
            </w:r>
          </w:p>
        </w:tc>
        <w:tc>
          <w:tcPr>
            <w:tcW w:w="850" w:type="dxa"/>
            <w:shd w:val="clear" w:color="auto" w:fill="auto"/>
            <w:noWrap/>
            <w:vAlign w:val="bottom"/>
            <w:hideMark/>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20.0</w:t>
            </w:r>
          </w:p>
        </w:tc>
        <w:tc>
          <w:tcPr>
            <w:tcW w:w="1352" w:type="dxa"/>
            <w:shd w:val="clear" w:color="auto" w:fill="auto"/>
            <w:noWrap/>
            <w:vAlign w:val="bottom"/>
            <w:hideMark/>
          </w:tcPr>
          <w:p w:rsidR="00E2447F" w:rsidRPr="00216A71" w:rsidRDefault="00E2447F" w:rsidP="00E2447F">
            <w:pPr>
              <w:rPr>
                <w:rFonts w:cstheme="minorHAnsi"/>
                <w:color w:val="000000"/>
                <w:sz w:val="18"/>
                <w:szCs w:val="18"/>
              </w:rPr>
            </w:pPr>
            <w:r w:rsidRPr="00216A71">
              <w:rPr>
                <w:rFonts w:cstheme="minorHAnsi"/>
                <w:color w:val="000000"/>
                <w:sz w:val="18"/>
                <w:szCs w:val="18"/>
              </w:rPr>
              <w:t>Education</w:t>
            </w:r>
          </w:p>
        </w:tc>
        <w:tc>
          <w:tcPr>
            <w:tcW w:w="4217" w:type="dxa"/>
            <w:shd w:val="clear" w:color="auto" w:fill="auto"/>
            <w:vAlign w:val="bottom"/>
            <w:hideMark/>
          </w:tcPr>
          <w:p w:rsidR="00E2447F" w:rsidRPr="00AC3771" w:rsidRDefault="00E2447F" w:rsidP="00E2447F">
            <w:pPr>
              <w:rPr>
                <w:rFonts w:cstheme="minorHAnsi"/>
                <w:sz w:val="18"/>
                <w:szCs w:val="18"/>
              </w:rPr>
            </w:pPr>
            <w:r w:rsidRPr="00AC3771">
              <w:rPr>
                <w:rFonts w:cstheme="minorHAnsi"/>
                <w:sz w:val="18"/>
                <w:szCs w:val="18"/>
              </w:rPr>
              <w:t>Higher Education Reform Project</w:t>
            </w:r>
          </w:p>
        </w:tc>
      </w:tr>
      <w:tr w:rsidR="00E2447F" w:rsidRPr="00216A71" w:rsidTr="00EC4A5D">
        <w:trPr>
          <w:trHeight w:val="300"/>
        </w:trPr>
        <w:tc>
          <w:tcPr>
            <w:tcW w:w="1149" w:type="dxa"/>
            <w:shd w:val="clear" w:color="auto" w:fill="auto"/>
            <w:noWrap/>
            <w:vAlign w:val="bottom"/>
          </w:tcPr>
          <w:p w:rsidR="00E2447F" w:rsidRPr="00216A71" w:rsidRDefault="00E2447F" w:rsidP="00E2447F">
            <w:pPr>
              <w:rPr>
                <w:rFonts w:cstheme="minorHAnsi"/>
                <w:color w:val="000000"/>
                <w:sz w:val="18"/>
                <w:szCs w:val="18"/>
              </w:rPr>
            </w:pPr>
          </w:p>
        </w:tc>
        <w:tc>
          <w:tcPr>
            <w:tcW w:w="1058" w:type="dxa"/>
            <w:shd w:val="clear" w:color="auto" w:fill="auto"/>
            <w:noWrap/>
            <w:vAlign w:val="bottom"/>
          </w:tcPr>
          <w:p w:rsidR="00E2447F" w:rsidRPr="00216A71" w:rsidRDefault="00E2447F" w:rsidP="00E2447F">
            <w:pPr>
              <w:rPr>
                <w:rFonts w:cstheme="minorHAnsi"/>
                <w:color w:val="000000"/>
                <w:sz w:val="18"/>
                <w:szCs w:val="18"/>
              </w:rPr>
            </w:pPr>
          </w:p>
        </w:tc>
        <w:tc>
          <w:tcPr>
            <w:tcW w:w="1135" w:type="dxa"/>
            <w:shd w:val="clear" w:color="auto" w:fill="auto"/>
            <w:noWrap/>
            <w:vAlign w:val="bottom"/>
          </w:tcPr>
          <w:p w:rsidR="00E2447F" w:rsidRPr="00216A71" w:rsidRDefault="00E2447F" w:rsidP="00E2447F">
            <w:pPr>
              <w:jc w:val="right"/>
              <w:rPr>
                <w:rFonts w:cstheme="minorHAnsi"/>
                <w:color w:val="000000"/>
                <w:sz w:val="16"/>
                <w:szCs w:val="16"/>
              </w:rPr>
            </w:pPr>
          </w:p>
        </w:tc>
        <w:tc>
          <w:tcPr>
            <w:tcW w:w="850" w:type="dxa"/>
            <w:shd w:val="clear" w:color="auto" w:fill="auto"/>
            <w:noWrap/>
            <w:vAlign w:val="bottom"/>
          </w:tcPr>
          <w:p w:rsidR="00E2447F" w:rsidRPr="00216A71" w:rsidRDefault="00E2447F" w:rsidP="00E2447F">
            <w:pPr>
              <w:jc w:val="right"/>
              <w:rPr>
                <w:rFonts w:cstheme="minorHAnsi"/>
                <w:color w:val="000000"/>
                <w:sz w:val="18"/>
                <w:szCs w:val="18"/>
              </w:rPr>
            </w:pPr>
          </w:p>
        </w:tc>
        <w:tc>
          <w:tcPr>
            <w:tcW w:w="1352" w:type="dxa"/>
            <w:shd w:val="clear" w:color="auto" w:fill="auto"/>
            <w:noWrap/>
            <w:vAlign w:val="bottom"/>
          </w:tcPr>
          <w:p w:rsidR="00E2447F" w:rsidRPr="00216A71" w:rsidRDefault="00E2447F" w:rsidP="00E2447F">
            <w:pPr>
              <w:rPr>
                <w:rFonts w:cstheme="minorHAnsi"/>
                <w:color w:val="000000"/>
                <w:sz w:val="18"/>
                <w:szCs w:val="18"/>
              </w:rPr>
            </w:pPr>
          </w:p>
        </w:tc>
        <w:tc>
          <w:tcPr>
            <w:tcW w:w="4217" w:type="dxa"/>
            <w:shd w:val="clear" w:color="auto" w:fill="auto"/>
            <w:vAlign w:val="bottom"/>
          </w:tcPr>
          <w:p w:rsidR="00E2447F" w:rsidRPr="00216A71" w:rsidRDefault="00E2447F" w:rsidP="00E2447F">
            <w:pPr>
              <w:rPr>
                <w:rFonts w:cstheme="minorHAnsi"/>
                <w:color w:val="C00000"/>
                <w:sz w:val="18"/>
                <w:szCs w:val="18"/>
              </w:rPr>
            </w:pPr>
          </w:p>
        </w:tc>
      </w:tr>
      <w:tr w:rsidR="00E2447F" w:rsidRPr="00216A71" w:rsidTr="00EC4A5D">
        <w:trPr>
          <w:trHeight w:val="300"/>
        </w:trPr>
        <w:tc>
          <w:tcPr>
            <w:tcW w:w="1149" w:type="dxa"/>
            <w:shd w:val="clear" w:color="auto" w:fill="auto"/>
            <w:noWrap/>
            <w:vAlign w:val="bottom"/>
          </w:tcPr>
          <w:p w:rsidR="00E2447F" w:rsidRPr="00216A71" w:rsidRDefault="00E2447F" w:rsidP="00E2447F">
            <w:pPr>
              <w:rPr>
                <w:rFonts w:cstheme="minorHAnsi"/>
                <w:color w:val="000000"/>
                <w:sz w:val="18"/>
                <w:szCs w:val="18"/>
              </w:rPr>
            </w:pPr>
            <w:r w:rsidRPr="00216A71">
              <w:rPr>
                <w:rFonts w:cstheme="minorHAnsi"/>
                <w:color w:val="000000"/>
                <w:sz w:val="18"/>
                <w:szCs w:val="18"/>
              </w:rPr>
              <w:t>Other PPP loans</w:t>
            </w:r>
          </w:p>
        </w:tc>
        <w:tc>
          <w:tcPr>
            <w:tcW w:w="1058" w:type="dxa"/>
            <w:shd w:val="clear" w:color="auto" w:fill="auto"/>
            <w:noWrap/>
            <w:vAlign w:val="bottom"/>
          </w:tcPr>
          <w:p w:rsidR="00E2447F" w:rsidRPr="00216A71" w:rsidRDefault="00E2447F" w:rsidP="00E2447F">
            <w:pPr>
              <w:rPr>
                <w:rFonts w:cstheme="minorHAnsi"/>
                <w:color w:val="000000"/>
                <w:sz w:val="18"/>
                <w:szCs w:val="18"/>
              </w:rPr>
            </w:pPr>
          </w:p>
        </w:tc>
        <w:tc>
          <w:tcPr>
            <w:tcW w:w="1135" w:type="dxa"/>
            <w:shd w:val="clear" w:color="auto" w:fill="auto"/>
            <w:noWrap/>
            <w:vAlign w:val="bottom"/>
          </w:tcPr>
          <w:p w:rsidR="00E2447F" w:rsidRPr="00216A71" w:rsidRDefault="00E2447F" w:rsidP="00E2447F">
            <w:pPr>
              <w:jc w:val="right"/>
              <w:rPr>
                <w:rFonts w:cstheme="minorHAnsi"/>
                <w:color w:val="000000"/>
                <w:sz w:val="16"/>
                <w:szCs w:val="16"/>
              </w:rPr>
            </w:pPr>
          </w:p>
        </w:tc>
        <w:tc>
          <w:tcPr>
            <w:tcW w:w="850" w:type="dxa"/>
            <w:shd w:val="clear" w:color="auto" w:fill="auto"/>
            <w:noWrap/>
            <w:vAlign w:val="bottom"/>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138.0</w:t>
            </w:r>
          </w:p>
        </w:tc>
        <w:tc>
          <w:tcPr>
            <w:tcW w:w="1352" w:type="dxa"/>
            <w:shd w:val="clear" w:color="auto" w:fill="auto"/>
            <w:noWrap/>
            <w:vAlign w:val="bottom"/>
          </w:tcPr>
          <w:p w:rsidR="00E2447F" w:rsidRPr="00216A71" w:rsidRDefault="00E2447F" w:rsidP="00E2447F">
            <w:pPr>
              <w:rPr>
                <w:rFonts w:cstheme="minorHAnsi"/>
                <w:color w:val="000000"/>
                <w:sz w:val="18"/>
                <w:szCs w:val="18"/>
              </w:rPr>
            </w:pPr>
          </w:p>
        </w:tc>
        <w:tc>
          <w:tcPr>
            <w:tcW w:w="4217" w:type="dxa"/>
            <w:shd w:val="clear" w:color="auto" w:fill="auto"/>
            <w:vAlign w:val="bottom"/>
          </w:tcPr>
          <w:p w:rsidR="00E2447F" w:rsidRPr="00216A71" w:rsidRDefault="00E2447F" w:rsidP="00E2447F">
            <w:pPr>
              <w:rPr>
                <w:rFonts w:cstheme="minorHAnsi"/>
                <w:color w:val="C00000"/>
                <w:sz w:val="18"/>
                <w:szCs w:val="18"/>
              </w:rPr>
            </w:pPr>
          </w:p>
        </w:tc>
      </w:tr>
      <w:tr w:rsidR="00E2447F" w:rsidRPr="00216A71" w:rsidTr="00EC4A5D">
        <w:trPr>
          <w:trHeight w:val="300"/>
        </w:trPr>
        <w:tc>
          <w:tcPr>
            <w:tcW w:w="1149" w:type="dxa"/>
            <w:shd w:val="clear" w:color="auto" w:fill="auto"/>
            <w:noWrap/>
            <w:vAlign w:val="bottom"/>
          </w:tcPr>
          <w:p w:rsidR="00E2447F" w:rsidRPr="00216A71" w:rsidRDefault="00E2447F" w:rsidP="00E2447F">
            <w:pPr>
              <w:rPr>
                <w:rFonts w:cstheme="minorHAnsi"/>
                <w:color w:val="000000"/>
                <w:sz w:val="18"/>
                <w:szCs w:val="18"/>
              </w:rPr>
            </w:pPr>
          </w:p>
        </w:tc>
        <w:tc>
          <w:tcPr>
            <w:tcW w:w="1058" w:type="dxa"/>
            <w:shd w:val="clear" w:color="auto" w:fill="auto"/>
            <w:noWrap/>
            <w:vAlign w:val="bottom"/>
          </w:tcPr>
          <w:p w:rsidR="00E2447F" w:rsidRPr="00216A71" w:rsidRDefault="00E2447F" w:rsidP="00E2447F">
            <w:pPr>
              <w:rPr>
                <w:rFonts w:cstheme="minorHAnsi"/>
                <w:color w:val="000000"/>
                <w:sz w:val="18"/>
                <w:szCs w:val="18"/>
              </w:rPr>
            </w:pPr>
          </w:p>
        </w:tc>
        <w:tc>
          <w:tcPr>
            <w:tcW w:w="1135" w:type="dxa"/>
            <w:shd w:val="clear" w:color="auto" w:fill="auto"/>
            <w:noWrap/>
            <w:vAlign w:val="bottom"/>
          </w:tcPr>
          <w:p w:rsidR="00E2447F" w:rsidRPr="00216A71" w:rsidRDefault="00E2447F" w:rsidP="00E2447F">
            <w:pPr>
              <w:jc w:val="right"/>
              <w:rPr>
                <w:rFonts w:cstheme="minorHAnsi"/>
                <w:color w:val="000000"/>
                <w:sz w:val="16"/>
                <w:szCs w:val="16"/>
              </w:rPr>
            </w:pPr>
          </w:p>
        </w:tc>
        <w:tc>
          <w:tcPr>
            <w:tcW w:w="850" w:type="dxa"/>
            <w:shd w:val="clear" w:color="auto" w:fill="auto"/>
            <w:noWrap/>
            <w:vAlign w:val="bottom"/>
          </w:tcPr>
          <w:p w:rsidR="00E2447F" w:rsidRPr="00216A71" w:rsidRDefault="00E2447F" w:rsidP="00E2447F">
            <w:pPr>
              <w:jc w:val="right"/>
              <w:rPr>
                <w:rFonts w:cstheme="minorHAnsi"/>
                <w:color w:val="000000"/>
                <w:sz w:val="18"/>
                <w:szCs w:val="18"/>
              </w:rPr>
            </w:pPr>
          </w:p>
        </w:tc>
        <w:tc>
          <w:tcPr>
            <w:tcW w:w="1352" w:type="dxa"/>
            <w:shd w:val="clear" w:color="auto" w:fill="auto"/>
            <w:noWrap/>
            <w:vAlign w:val="bottom"/>
          </w:tcPr>
          <w:p w:rsidR="00E2447F" w:rsidRPr="00216A71" w:rsidRDefault="00E2447F" w:rsidP="00E2447F">
            <w:pPr>
              <w:rPr>
                <w:rFonts w:cstheme="minorHAnsi"/>
                <w:color w:val="000000"/>
                <w:sz w:val="18"/>
                <w:szCs w:val="18"/>
              </w:rPr>
            </w:pPr>
          </w:p>
        </w:tc>
        <w:tc>
          <w:tcPr>
            <w:tcW w:w="4217" w:type="dxa"/>
            <w:shd w:val="clear" w:color="auto" w:fill="auto"/>
            <w:vAlign w:val="bottom"/>
          </w:tcPr>
          <w:p w:rsidR="00E2447F" w:rsidRPr="00216A71" w:rsidRDefault="00E2447F" w:rsidP="00E2447F">
            <w:pPr>
              <w:rPr>
                <w:rFonts w:cstheme="minorHAnsi"/>
                <w:color w:val="C00000"/>
                <w:sz w:val="18"/>
                <w:szCs w:val="18"/>
              </w:rPr>
            </w:pPr>
          </w:p>
        </w:tc>
      </w:tr>
      <w:tr w:rsidR="00E2447F" w:rsidRPr="00216A71" w:rsidTr="00EC4A5D">
        <w:trPr>
          <w:trHeight w:val="300"/>
        </w:trPr>
        <w:tc>
          <w:tcPr>
            <w:tcW w:w="1149" w:type="dxa"/>
            <w:shd w:val="clear" w:color="auto" w:fill="auto"/>
            <w:noWrap/>
            <w:vAlign w:val="bottom"/>
          </w:tcPr>
          <w:p w:rsidR="00E2447F" w:rsidRPr="00216A71" w:rsidRDefault="00E2447F" w:rsidP="00E2447F">
            <w:pPr>
              <w:rPr>
                <w:rFonts w:cstheme="minorHAnsi"/>
                <w:color w:val="000000"/>
                <w:sz w:val="18"/>
                <w:szCs w:val="18"/>
              </w:rPr>
            </w:pPr>
            <w:r w:rsidRPr="00216A71">
              <w:rPr>
                <w:rFonts w:cstheme="minorHAnsi"/>
                <w:color w:val="000000"/>
                <w:sz w:val="18"/>
                <w:szCs w:val="18"/>
              </w:rPr>
              <w:t>TOTAL PPP loans</w:t>
            </w:r>
          </w:p>
        </w:tc>
        <w:tc>
          <w:tcPr>
            <w:tcW w:w="1058" w:type="dxa"/>
            <w:shd w:val="clear" w:color="auto" w:fill="auto"/>
            <w:noWrap/>
            <w:vAlign w:val="bottom"/>
          </w:tcPr>
          <w:p w:rsidR="00E2447F" w:rsidRPr="00216A71" w:rsidRDefault="00E2447F" w:rsidP="00E2447F">
            <w:pPr>
              <w:rPr>
                <w:rFonts w:cstheme="minorHAnsi"/>
                <w:color w:val="000000"/>
                <w:sz w:val="18"/>
                <w:szCs w:val="18"/>
              </w:rPr>
            </w:pPr>
          </w:p>
        </w:tc>
        <w:tc>
          <w:tcPr>
            <w:tcW w:w="1135" w:type="dxa"/>
            <w:shd w:val="clear" w:color="auto" w:fill="auto"/>
            <w:noWrap/>
            <w:vAlign w:val="bottom"/>
          </w:tcPr>
          <w:p w:rsidR="00E2447F" w:rsidRPr="00216A71" w:rsidRDefault="00E2447F" w:rsidP="00E2447F">
            <w:pPr>
              <w:jc w:val="right"/>
              <w:rPr>
                <w:rFonts w:cstheme="minorHAnsi"/>
                <w:color w:val="000000"/>
                <w:sz w:val="16"/>
                <w:szCs w:val="16"/>
              </w:rPr>
            </w:pPr>
          </w:p>
        </w:tc>
        <w:tc>
          <w:tcPr>
            <w:tcW w:w="850" w:type="dxa"/>
            <w:shd w:val="clear" w:color="auto" w:fill="auto"/>
            <w:noWrap/>
            <w:vAlign w:val="bottom"/>
          </w:tcPr>
          <w:p w:rsidR="00E2447F" w:rsidRPr="00216A71" w:rsidRDefault="00E2447F" w:rsidP="00E2447F">
            <w:pPr>
              <w:jc w:val="right"/>
              <w:rPr>
                <w:rFonts w:cstheme="minorHAnsi"/>
                <w:color w:val="000000"/>
                <w:sz w:val="18"/>
                <w:szCs w:val="18"/>
              </w:rPr>
            </w:pPr>
            <w:r w:rsidRPr="00216A71">
              <w:rPr>
                <w:rFonts w:cstheme="minorHAnsi"/>
                <w:color w:val="000000"/>
                <w:sz w:val="18"/>
                <w:szCs w:val="18"/>
              </w:rPr>
              <w:t>6892.0</w:t>
            </w:r>
          </w:p>
        </w:tc>
        <w:tc>
          <w:tcPr>
            <w:tcW w:w="1352" w:type="dxa"/>
            <w:shd w:val="clear" w:color="auto" w:fill="auto"/>
            <w:noWrap/>
            <w:vAlign w:val="bottom"/>
          </w:tcPr>
          <w:p w:rsidR="00E2447F" w:rsidRPr="00216A71" w:rsidRDefault="00E2447F" w:rsidP="00E2447F">
            <w:pPr>
              <w:rPr>
                <w:rFonts w:cstheme="minorHAnsi"/>
                <w:color w:val="000000"/>
                <w:sz w:val="18"/>
                <w:szCs w:val="18"/>
              </w:rPr>
            </w:pPr>
          </w:p>
        </w:tc>
        <w:tc>
          <w:tcPr>
            <w:tcW w:w="4217" w:type="dxa"/>
            <w:shd w:val="clear" w:color="auto" w:fill="auto"/>
            <w:vAlign w:val="bottom"/>
          </w:tcPr>
          <w:p w:rsidR="00E2447F" w:rsidRPr="00216A71" w:rsidRDefault="00E2447F" w:rsidP="00E2447F">
            <w:pPr>
              <w:rPr>
                <w:rFonts w:cstheme="minorHAnsi"/>
                <w:color w:val="C00000"/>
                <w:sz w:val="18"/>
                <w:szCs w:val="18"/>
              </w:rPr>
            </w:pPr>
          </w:p>
        </w:tc>
      </w:tr>
    </w:tbl>
    <w:p w:rsidR="000C629A" w:rsidRDefault="000C629A" w:rsidP="00EC4A5D">
      <w:pPr>
        <w:rPr>
          <w:rFonts w:cstheme="minorHAnsi"/>
        </w:rPr>
      </w:pPr>
    </w:p>
    <w:p w:rsidR="006C25A3" w:rsidRPr="00216A71" w:rsidRDefault="00DB7F76" w:rsidP="00EC4A5D">
      <w:pPr>
        <w:pStyle w:val="Heading7"/>
        <w:rPr>
          <w:rFonts w:asciiTheme="minorHAnsi" w:hAnsiTheme="minorHAnsi" w:cstheme="minorHAnsi"/>
        </w:rPr>
      </w:pPr>
      <w:r w:rsidRPr="00216A71">
        <w:rPr>
          <w:rFonts w:asciiTheme="minorHAnsi" w:hAnsiTheme="minorHAnsi" w:cstheme="minorHAnsi"/>
        </w:rPr>
        <w:t>ADB: proposed financing for PPP-linked projects (as at Dec 2013)</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385"/>
        <w:gridCol w:w="883"/>
        <w:gridCol w:w="1559"/>
        <w:gridCol w:w="4394"/>
      </w:tblGrid>
      <w:tr w:rsidR="00DB7F76" w:rsidRPr="00216A71" w:rsidTr="00EC4A5D">
        <w:trPr>
          <w:trHeight w:val="300"/>
        </w:trPr>
        <w:tc>
          <w:tcPr>
            <w:tcW w:w="143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Project Number</w:t>
            </w:r>
          </w:p>
        </w:tc>
        <w:tc>
          <w:tcPr>
            <w:tcW w:w="1385"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Country</w:t>
            </w:r>
          </w:p>
        </w:tc>
        <w:tc>
          <w:tcPr>
            <w:tcW w:w="883" w:type="dxa"/>
            <w:shd w:val="clear" w:color="auto" w:fill="auto"/>
            <w:noWrap/>
            <w:vAlign w:val="bottom"/>
            <w:hideMark/>
          </w:tcPr>
          <w:p w:rsidR="00DB7F76" w:rsidRPr="00216A71" w:rsidRDefault="00DB7F76">
            <w:pPr>
              <w:rPr>
                <w:rFonts w:cstheme="minorHAnsi"/>
                <w:color w:val="000000"/>
              </w:rPr>
            </w:pPr>
            <w:r w:rsidRPr="00216A71">
              <w:rPr>
                <w:rFonts w:cstheme="minorHAnsi"/>
                <w:color w:val="000000"/>
              </w:rPr>
              <w:t>ADB loan ($ m.)</w:t>
            </w:r>
          </w:p>
        </w:tc>
        <w:tc>
          <w:tcPr>
            <w:tcW w:w="1559"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Sector</w:t>
            </w:r>
          </w:p>
        </w:tc>
        <w:tc>
          <w:tcPr>
            <w:tcW w:w="4394" w:type="dxa"/>
            <w:shd w:val="clear" w:color="auto" w:fill="auto"/>
            <w:vAlign w:val="bottom"/>
            <w:hideMark/>
          </w:tcPr>
          <w:p w:rsidR="00DB7F76" w:rsidRPr="00AC3771" w:rsidRDefault="00DB7F76" w:rsidP="006C25A3">
            <w:pPr>
              <w:rPr>
                <w:rFonts w:cstheme="minorHAnsi"/>
              </w:rPr>
            </w:pPr>
            <w:r w:rsidRPr="00AC3771">
              <w:rPr>
                <w:rFonts w:cstheme="minorHAnsi"/>
              </w:rPr>
              <w:t>Project Name</w:t>
            </w:r>
          </w:p>
        </w:tc>
      </w:tr>
      <w:tr w:rsidR="00DB7F76" w:rsidRPr="00216A71" w:rsidTr="00AC3771">
        <w:trPr>
          <w:trHeight w:val="300"/>
        </w:trPr>
        <w:tc>
          <w:tcPr>
            <w:tcW w:w="143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lastRenderedPageBreak/>
              <w:t>47267-001</w:t>
            </w:r>
          </w:p>
        </w:tc>
        <w:tc>
          <w:tcPr>
            <w:tcW w:w="1385"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Myanmar</w:t>
            </w:r>
          </w:p>
        </w:tc>
        <w:tc>
          <w:tcPr>
            <w:tcW w:w="88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 </w:t>
            </w:r>
          </w:p>
        </w:tc>
        <w:tc>
          <w:tcPr>
            <w:tcW w:w="1559"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Multi-sector</w:t>
            </w:r>
          </w:p>
        </w:tc>
        <w:tc>
          <w:tcPr>
            <w:tcW w:w="4394" w:type="dxa"/>
            <w:shd w:val="clear" w:color="auto" w:fill="auto"/>
            <w:vAlign w:val="bottom"/>
            <w:hideMark/>
          </w:tcPr>
          <w:p w:rsidR="00DB7F76" w:rsidRPr="00AC3771" w:rsidRDefault="00DB7F76" w:rsidP="006C25A3">
            <w:pPr>
              <w:rPr>
                <w:rFonts w:cstheme="minorHAnsi"/>
              </w:rPr>
            </w:pPr>
            <w:r w:rsidRPr="00AC3771">
              <w:rPr>
                <w:rFonts w:cstheme="minorHAnsi"/>
              </w:rPr>
              <w:t>Support for Public-Private Partnership Framework Development</w:t>
            </w:r>
          </w:p>
        </w:tc>
      </w:tr>
      <w:tr w:rsidR="00DB7F76" w:rsidRPr="00216A71" w:rsidTr="00EC4A5D">
        <w:trPr>
          <w:trHeight w:val="300"/>
        </w:trPr>
        <w:tc>
          <w:tcPr>
            <w:tcW w:w="1433" w:type="dxa"/>
            <w:shd w:val="clear" w:color="auto" w:fill="auto"/>
            <w:noWrap/>
            <w:vAlign w:val="bottom"/>
          </w:tcPr>
          <w:p w:rsidR="00DB7F76" w:rsidRPr="00216A71" w:rsidRDefault="00DB7F76" w:rsidP="006C25A3">
            <w:pPr>
              <w:rPr>
                <w:rFonts w:cstheme="minorHAnsi"/>
                <w:color w:val="000000"/>
              </w:rPr>
            </w:pPr>
            <w:r w:rsidRPr="00216A71">
              <w:rPr>
                <w:rFonts w:cstheme="minorHAnsi"/>
                <w:color w:val="000000"/>
              </w:rPr>
              <w:t>47095-001</w:t>
            </w:r>
          </w:p>
        </w:tc>
        <w:tc>
          <w:tcPr>
            <w:tcW w:w="1385" w:type="dxa"/>
            <w:shd w:val="clear" w:color="auto" w:fill="auto"/>
            <w:noWrap/>
            <w:vAlign w:val="bottom"/>
          </w:tcPr>
          <w:p w:rsidR="00DB7F76" w:rsidRPr="00216A71" w:rsidRDefault="00DB7F76" w:rsidP="006C25A3">
            <w:pPr>
              <w:rPr>
                <w:rFonts w:cstheme="minorHAnsi"/>
                <w:color w:val="000000"/>
              </w:rPr>
            </w:pPr>
            <w:r w:rsidRPr="00216A71">
              <w:rPr>
                <w:rFonts w:cstheme="minorHAnsi"/>
                <w:color w:val="000000"/>
              </w:rPr>
              <w:t>Bangladesh</w:t>
            </w:r>
          </w:p>
        </w:tc>
        <w:tc>
          <w:tcPr>
            <w:tcW w:w="883" w:type="dxa"/>
            <w:shd w:val="clear" w:color="auto" w:fill="auto"/>
            <w:noWrap/>
            <w:vAlign w:val="bottom"/>
          </w:tcPr>
          <w:p w:rsidR="00DB7F76" w:rsidRPr="00216A71" w:rsidRDefault="00DB7F76" w:rsidP="006C25A3">
            <w:pPr>
              <w:jc w:val="right"/>
              <w:rPr>
                <w:rFonts w:cstheme="minorHAnsi"/>
                <w:color w:val="000000"/>
              </w:rPr>
            </w:pPr>
          </w:p>
        </w:tc>
        <w:tc>
          <w:tcPr>
            <w:tcW w:w="1559" w:type="dxa"/>
            <w:shd w:val="clear" w:color="auto" w:fill="auto"/>
            <w:noWrap/>
            <w:vAlign w:val="bottom"/>
          </w:tcPr>
          <w:p w:rsidR="00DB7F76" w:rsidRPr="00216A71" w:rsidRDefault="00DB7F76" w:rsidP="006C25A3">
            <w:pPr>
              <w:rPr>
                <w:rFonts w:cstheme="minorHAnsi"/>
                <w:color w:val="000000"/>
              </w:rPr>
            </w:pPr>
            <w:r w:rsidRPr="00216A71">
              <w:rPr>
                <w:rFonts w:cstheme="minorHAnsi"/>
                <w:color w:val="000000"/>
              </w:rPr>
              <w:t>Multi-sector</w:t>
            </w:r>
          </w:p>
        </w:tc>
        <w:tc>
          <w:tcPr>
            <w:tcW w:w="4394" w:type="dxa"/>
            <w:shd w:val="clear" w:color="auto" w:fill="auto"/>
            <w:vAlign w:val="bottom"/>
          </w:tcPr>
          <w:p w:rsidR="00DB7F76" w:rsidRPr="00AC3771" w:rsidRDefault="00DB7F76" w:rsidP="006C25A3">
            <w:pPr>
              <w:rPr>
                <w:rFonts w:cstheme="minorHAnsi"/>
              </w:rPr>
            </w:pPr>
            <w:r w:rsidRPr="00AC3771">
              <w:rPr>
                <w:rFonts w:cstheme="minorHAnsi"/>
              </w:rPr>
              <w:t>Public-Private Partnership Program Mainstreaming Support</w:t>
            </w:r>
          </w:p>
        </w:tc>
      </w:tr>
      <w:tr w:rsidR="00DB7F76" w:rsidRPr="00216A71" w:rsidTr="00EC4A5D">
        <w:trPr>
          <w:trHeight w:val="300"/>
        </w:trPr>
        <w:tc>
          <w:tcPr>
            <w:tcW w:w="143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45341-002</w:t>
            </w:r>
          </w:p>
        </w:tc>
        <w:tc>
          <w:tcPr>
            <w:tcW w:w="1385"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India</w:t>
            </w:r>
          </w:p>
        </w:tc>
        <w:tc>
          <w:tcPr>
            <w:tcW w:w="883" w:type="dxa"/>
            <w:shd w:val="clear" w:color="auto" w:fill="auto"/>
            <w:noWrap/>
            <w:vAlign w:val="bottom"/>
            <w:hideMark/>
          </w:tcPr>
          <w:p w:rsidR="00DB7F76" w:rsidRPr="00216A71" w:rsidRDefault="00DB7F76" w:rsidP="006C25A3">
            <w:pPr>
              <w:jc w:val="right"/>
              <w:rPr>
                <w:rFonts w:cstheme="minorHAnsi"/>
                <w:color w:val="000000"/>
              </w:rPr>
            </w:pPr>
            <w:r w:rsidRPr="00216A71">
              <w:rPr>
                <w:rFonts w:cstheme="minorHAnsi"/>
                <w:color w:val="000000"/>
              </w:rPr>
              <w:t>350.0</w:t>
            </w:r>
          </w:p>
        </w:tc>
        <w:tc>
          <w:tcPr>
            <w:tcW w:w="1559"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Energy</w:t>
            </w:r>
          </w:p>
        </w:tc>
        <w:tc>
          <w:tcPr>
            <w:tcW w:w="4394" w:type="dxa"/>
            <w:shd w:val="clear" w:color="auto" w:fill="auto"/>
            <w:vAlign w:val="bottom"/>
            <w:hideMark/>
          </w:tcPr>
          <w:p w:rsidR="00DB7F76" w:rsidRPr="00AC3771" w:rsidRDefault="00DB7F76" w:rsidP="006C25A3">
            <w:pPr>
              <w:rPr>
                <w:rFonts w:cstheme="minorHAnsi"/>
              </w:rPr>
            </w:pPr>
            <w:r w:rsidRPr="00AC3771">
              <w:rPr>
                <w:rFonts w:cstheme="minorHAnsi"/>
              </w:rPr>
              <w:t>MFF</w:t>
            </w:r>
            <w:r w:rsidR="004045AD">
              <w:rPr>
                <w:rFonts w:cstheme="minorHAnsi"/>
              </w:rPr>
              <w:t xml:space="preserve"> – </w:t>
            </w:r>
            <w:r w:rsidRPr="00AC3771">
              <w:rPr>
                <w:rFonts w:cstheme="minorHAnsi"/>
              </w:rPr>
              <w:t>Maharashtra Solar Park Transmission and Green Grid Development Investment Program (Facility Concept)</w:t>
            </w:r>
          </w:p>
        </w:tc>
      </w:tr>
      <w:tr w:rsidR="00DB7F76" w:rsidRPr="00216A71" w:rsidTr="00EC4A5D">
        <w:trPr>
          <w:trHeight w:val="300"/>
        </w:trPr>
        <w:tc>
          <w:tcPr>
            <w:tcW w:w="143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45225-001</w:t>
            </w:r>
          </w:p>
        </w:tc>
        <w:tc>
          <w:tcPr>
            <w:tcW w:w="1385"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India</w:t>
            </w:r>
          </w:p>
        </w:tc>
        <w:tc>
          <w:tcPr>
            <w:tcW w:w="883" w:type="dxa"/>
            <w:shd w:val="clear" w:color="auto" w:fill="auto"/>
            <w:noWrap/>
            <w:vAlign w:val="bottom"/>
            <w:hideMark/>
          </w:tcPr>
          <w:p w:rsidR="00DB7F76" w:rsidRPr="00216A71" w:rsidRDefault="00DB7F76" w:rsidP="006C25A3">
            <w:pPr>
              <w:jc w:val="right"/>
              <w:rPr>
                <w:rFonts w:cstheme="minorHAnsi"/>
                <w:color w:val="000000"/>
              </w:rPr>
            </w:pPr>
            <w:r w:rsidRPr="00216A71">
              <w:rPr>
                <w:rFonts w:cstheme="minorHAnsi"/>
                <w:color w:val="000000"/>
              </w:rPr>
              <w:t>162.0</w:t>
            </w:r>
          </w:p>
        </w:tc>
        <w:tc>
          <w:tcPr>
            <w:tcW w:w="1559"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Energy</w:t>
            </w:r>
          </w:p>
        </w:tc>
        <w:tc>
          <w:tcPr>
            <w:tcW w:w="4394" w:type="dxa"/>
            <w:shd w:val="clear" w:color="auto" w:fill="auto"/>
            <w:vAlign w:val="bottom"/>
            <w:hideMark/>
          </w:tcPr>
          <w:p w:rsidR="00DB7F76" w:rsidRPr="00AC3771" w:rsidRDefault="00DB7F76" w:rsidP="006C25A3">
            <w:pPr>
              <w:rPr>
                <w:rFonts w:cstheme="minorHAnsi"/>
              </w:rPr>
            </w:pPr>
            <w:r w:rsidRPr="00AC3771">
              <w:rPr>
                <w:rFonts w:cstheme="minorHAnsi"/>
              </w:rPr>
              <w:t>Concentrated Solar Power Project</w:t>
            </w:r>
          </w:p>
        </w:tc>
      </w:tr>
      <w:tr w:rsidR="00DB7F76" w:rsidRPr="00216A71" w:rsidTr="00EC4A5D">
        <w:trPr>
          <w:trHeight w:val="300"/>
        </w:trPr>
        <w:tc>
          <w:tcPr>
            <w:tcW w:w="143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43253-024</w:t>
            </w:r>
          </w:p>
        </w:tc>
        <w:tc>
          <w:tcPr>
            <w:tcW w:w="1385"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India</w:t>
            </w:r>
          </w:p>
        </w:tc>
        <w:tc>
          <w:tcPr>
            <w:tcW w:w="883" w:type="dxa"/>
            <w:shd w:val="clear" w:color="auto" w:fill="auto"/>
            <w:noWrap/>
            <w:vAlign w:val="bottom"/>
            <w:hideMark/>
          </w:tcPr>
          <w:p w:rsidR="00DB7F76" w:rsidRPr="00216A71" w:rsidRDefault="00DB7F76" w:rsidP="006C25A3">
            <w:pPr>
              <w:jc w:val="right"/>
              <w:rPr>
                <w:rFonts w:cstheme="minorHAnsi"/>
                <w:color w:val="000000"/>
              </w:rPr>
            </w:pPr>
            <w:r w:rsidRPr="00216A71">
              <w:rPr>
                <w:rFonts w:cstheme="minorHAnsi"/>
                <w:color w:val="000000"/>
              </w:rPr>
              <w:t>150.0</w:t>
            </w:r>
          </w:p>
        </w:tc>
        <w:tc>
          <w:tcPr>
            <w:tcW w:w="1559" w:type="dxa"/>
            <w:shd w:val="clear" w:color="auto" w:fill="auto"/>
            <w:noWrap/>
            <w:vAlign w:val="bottom"/>
            <w:hideMark/>
          </w:tcPr>
          <w:p w:rsidR="00DB7F76" w:rsidRPr="00216A71" w:rsidRDefault="00DB7F76">
            <w:pPr>
              <w:rPr>
                <w:rFonts w:cstheme="minorHAnsi"/>
                <w:color w:val="000000"/>
              </w:rPr>
            </w:pPr>
            <w:r w:rsidRPr="00216A71">
              <w:rPr>
                <w:rFonts w:cstheme="minorHAnsi"/>
                <w:color w:val="000000"/>
              </w:rPr>
              <w:t xml:space="preserve">Water </w:t>
            </w:r>
          </w:p>
        </w:tc>
        <w:tc>
          <w:tcPr>
            <w:tcW w:w="4394" w:type="dxa"/>
            <w:shd w:val="clear" w:color="auto" w:fill="auto"/>
            <w:vAlign w:val="bottom"/>
            <w:hideMark/>
          </w:tcPr>
          <w:p w:rsidR="00DB7F76" w:rsidRPr="00AC3771" w:rsidRDefault="00DB7F76">
            <w:pPr>
              <w:rPr>
                <w:rFonts w:cstheme="minorHAnsi"/>
              </w:rPr>
            </w:pPr>
            <w:r w:rsidRPr="00AC3771">
              <w:rPr>
                <w:rFonts w:cstheme="minorHAnsi"/>
              </w:rPr>
              <w:t>Karnataka Integrated Urban Water Management Investment (Facility Concept)</w:t>
            </w:r>
          </w:p>
        </w:tc>
      </w:tr>
      <w:tr w:rsidR="00DB7F76" w:rsidRPr="00216A71" w:rsidTr="00EC4A5D">
        <w:trPr>
          <w:trHeight w:val="300"/>
        </w:trPr>
        <w:tc>
          <w:tcPr>
            <w:tcW w:w="143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43253-013</w:t>
            </w:r>
          </w:p>
        </w:tc>
        <w:tc>
          <w:tcPr>
            <w:tcW w:w="1385"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India</w:t>
            </w:r>
          </w:p>
        </w:tc>
        <w:tc>
          <w:tcPr>
            <w:tcW w:w="883" w:type="dxa"/>
            <w:shd w:val="clear" w:color="auto" w:fill="auto"/>
            <w:noWrap/>
            <w:vAlign w:val="bottom"/>
            <w:hideMark/>
          </w:tcPr>
          <w:p w:rsidR="00DB7F76" w:rsidRPr="00216A71" w:rsidRDefault="00DB7F76" w:rsidP="006C25A3">
            <w:pPr>
              <w:jc w:val="right"/>
              <w:rPr>
                <w:rFonts w:cstheme="minorHAnsi"/>
                <w:color w:val="000000"/>
              </w:rPr>
            </w:pPr>
            <w:r w:rsidRPr="00216A71">
              <w:rPr>
                <w:rFonts w:cstheme="minorHAnsi"/>
                <w:color w:val="000000"/>
              </w:rPr>
              <w:t>150.0</w:t>
            </w:r>
          </w:p>
        </w:tc>
        <w:tc>
          <w:tcPr>
            <w:tcW w:w="1559" w:type="dxa"/>
            <w:shd w:val="clear" w:color="auto" w:fill="auto"/>
            <w:noWrap/>
            <w:vAlign w:val="bottom"/>
            <w:hideMark/>
          </w:tcPr>
          <w:p w:rsidR="00DB7F76" w:rsidRPr="00216A71" w:rsidRDefault="00DB7F76">
            <w:pPr>
              <w:rPr>
                <w:rFonts w:cstheme="minorHAnsi"/>
                <w:color w:val="000000"/>
              </w:rPr>
            </w:pPr>
            <w:r w:rsidRPr="00216A71">
              <w:rPr>
                <w:rFonts w:cstheme="minorHAnsi"/>
                <w:color w:val="000000"/>
              </w:rPr>
              <w:t xml:space="preserve">Water </w:t>
            </w:r>
          </w:p>
        </w:tc>
        <w:tc>
          <w:tcPr>
            <w:tcW w:w="4394" w:type="dxa"/>
            <w:shd w:val="clear" w:color="auto" w:fill="auto"/>
            <w:vAlign w:val="bottom"/>
            <w:hideMark/>
          </w:tcPr>
          <w:p w:rsidR="00DB7F76" w:rsidRPr="00AC3771" w:rsidRDefault="00DB7F76">
            <w:pPr>
              <w:rPr>
                <w:rFonts w:cstheme="minorHAnsi"/>
              </w:rPr>
            </w:pPr>
            <w:r w:rsidRPr="00AC3771">
              <w:rPr>
                <w:rFonts w:cstheme="minorHAnsi"/>
              </w:rPr>
              <w:t>Karnataka Integrated and Sustainable Water Resources Management Investment (Facility)</w:t>
            </w:r>
          </w:p>
        </w:tc>
      </w:tr>
      <w:tr w:rsidR="00DB7F76" w:rsidRPr="00216A71" w:rsidTr="00EC4A5D">
        <w:trPr>
          <w:trHeight w:val="300"/>
        </w:trPr>
        <w:tc>
          <w:tcPr>
            <w:tcW w:w="143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44452-014</w:t>
            </w:r>
          </w:p>
        </w:tc>
        <w:tc>
          <w:tcPr>
            <w:tcW w:w="1385"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India</w:t>
            </w:r>
          </w:p>
        </w:tc>
        <w:tc>
          <w:tcPr>
            <w:tcW w:w="883" w:type="dxa"/>
            <w:shd w:val="clear" w:color="auto" w:fill="auto"/>
            <w:noWrap/>
            <w:vAlign w:val="bottom"/>
            <w:hideMark/>
          </w:tcPr>
          <w:p w:rsidR="00DB7F76" w:rsidRPr="00216A71" w:rsidRDefault="00DB7F76" w:rsidP="006C25A3">
            <w:pPr>
              <w:jc w:val="right"/>
              <w:rPr>
                <w:rFonts w:cstheme="minorHAnsi"/>
                <w:color w:val="000000"/>
              </w:rPr>
            </w:pPr>
            <w:r w:rsidRPr="00216A71">
              <w:rPr>
                <w:rFonts w:cstheme="minorHAnsi"/>
                <w:color w:val="000000"/>
              </w:rPr>
              <w:t>150.0</w:t>
            </w:r>
          </w:p>
        </w:tc>
        <w:tc>
          <w:tcPr>
            <w:tcW w:w="1559"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Finance</w:t>
            </w:r>
          </w:p>
        </w:tc>
        <w:tc>
          <w:tcPr>
            <w:tcW w:w="4394" w:type="dxa"/>
            <w:shd w:val="clear" w:color="auto" w:fill="auto"/>
            <w:vAlign w:val="bottom"/>
            <w:hideMark/>
          </w:tcPr>
          <w:p w:rsidR="00DB7F76" w:rsidRPr="00AC3771" w:rsidRDefault="00DB7F76" w:rsidP="006C25A3">
            <w:pPr>
              <w:rPr>
                <w:rFonts w:cstheme="minorHAnsi"/>
              </w:rPr>
            </w:pPr>
            <w:r w:rsidRPr="00AC3771">
              <w:rPr>
                <w:rFonts w:cstheme="minorHAnsi"/>
              </w:rPr>
              <w:t>Catalyzing Sustainable Finance Facility</w:t>
            </w:r>
          </w:p>
        </w:tc>
      </w:tr>
      <w:tr w:rsidR="00DB7F76" w:rsidRPr="00216A71" w:rsidTr="00EC4A5D">
        <w:trPr>
          <w:trHeight w:val="300"/>
        </w:trPr>
        <w:tc>
          <w:tcPr>
            <w:tcW w:w="143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44444-013</w:t>
            </w:r>
          </w:p>
        </w:tc>
        <w:tc>
          <w:tcPr>
            <w:tcW w:w="1385"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Bhutan</w:t>
            </w:r>
          </w:p>
        </w:tc>
        <w:tc>
          <w:tcPr>
            <w:tcW w:w="883" w:type="dxa"/>
            <w:shd w:val="clear" w:color="auto" w:fill="auto"/>
            <w:noWrap/>
            <w:vAlign w:val="bottom"/>
            <w:hideMark/>
          </w:tcPr>
          <w:p w:rsidR="00DB7F76" w:rsidRPr="00216A71" w:rsidRDefault="00DB7F76" w:rsidP="006C25A3">
            <w:pPr>
              <w:jc w:val="right"/>
              <w:rPr>
                <w:rFonts w:cstheme="minorHAnsi"/>
                <w:color w:val="000000"/>
              </w:rPr>
            </w:pPr>
            <w:r w:rsidRPr="00216A71">
              <w:rPr>
                <w:rFonts w:cstheme="minorHAnsi"/>
                <w:color w:val="000000"/>
              </w:rPr>
              <w:t>120.0</w:t>
            </w:r>
          </w:p>
        </w:tc>
        <w:tc>
          <w:tcPr>
            <w:tcW w:w="1559"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Energy</w:t>
            </w:r>
          </w:p>
        </w:tc>
        <w:tc>
          <w:tcPr>
            <w:tcW w:w="4394" w:type="dxa"/>
            <w:shd w:val="clear" w:color="auto" w:fill="auto"/>
            <w:vAlign w:val="bottom"/>
            <w:hideMark/>
          </w:tcPr>
          <w:p w:rsidR="00DB7F76" w:rsidRPr="00AC3771" w:rsidRDefault="00DB7F76" w:rsidP="006C25A3">
            <w:pPr>
              <w:rPr>
                <w:rFonts w:cstheme="minorHAnsi"/>
              </w:rPr>
            </w:pPr>
            <w:r w:rsidRPr="00AC3771">
              <w:rPr>
                <w:rFonts w:cstheme="minorHAnsi"/>
              </w:rPr>
              <w:t>Green Power Development Project II</w:t>
            </w:r>
          </w:p>
        </w:tc>
      </w:tr>
      <w:tr w:rsidR="00DB7F76" w:rsidRPr="00216A71" w:rsidTr="00EC4A5D">
        <w:trPr>
          <w:trHeight w:val="300"/>
        </w:trPr>
        <w:tc>
          <w:tcPr>
            <w:tcW w:w="1433"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47279-002</w:t>
            </w:r>
          </w:p>
        </w:tc>
        <w:tc>
          <w:tcPr>
            <w:tcW w:w="1385" w:type="dxa"/>
            <w:shd w:val="clear" w:color="auto" w:fill="auto"/>
            <w:noWrap/>
            <w:vAlign w:val="bottom"/>
            <w:hideMark/>
          </w:tcPr>
          <w:p w:rsidR="00DB7F76" w:rsidRPr="00216A71" w:rsidRDefault="00DB7F76" w:rsidP="006C25A3">
            <w:pPr>
              <w:rPr>
                <w:rFonts w:cstheme="minorHAnsi"/>
                <w:color w:val="000000"/>
              </w:rPr>
            </w:pPr>
            <w:r w:rsidRPr="00216A71">
              <w:rPr>
                <w:rFonts w:cstheme="minorHAnsi"/>
                <w:color w:val="000000"/>
              </w:rPr>
              <w:t>Pakistan</w:t>
            </w:r>
          </w:p>
        </w:tc>
        <w:tc>
          <w:tcPr>
            <w:tcW w:w="883" w:type="dxa"/>
            <w:shd w:val="clear" w:color="auto" w:fill="auto"/>
            <w:noWrap/>
            <w:vAlign w:val="bottom"/>
            <w:hideMark/>
          </w:tcPr>
          <w:p w:rsidR="00DB7F76" w:rsidRPr="00216A71" w:rsidRDefault="00DB7F76" w:rsidP="006C25A3">
            <w:pPr>
              <w:jc w:val="right"/>
              <w:rPr>
                <w:rFonts w:cstheme="minorHAnsi"/>
                <w:color w:val="000000"/>
              </w:rPr>
            </w:pPr>
            <w:r w:rsidRPr="00216A71">
              <w:rPr>
                <w:rFonts w:cstheme="minorHAnsi"/>
                <w:color w:val="000000"/>
              </w:rPr>
              <w:t>55.0</w:t>
            </w:r>
          </w:p>
        </w:tc>
        <w:tc>
          <w:tcPr>
            <w:tcW w:w="1559" w:type="dxa"/>
            <w:shd w:val="clear" w:color="auto" w:fill="auto"/>
            <w:noWrap/>
            <w:vAlign w:val="bottom"/>
            <w:hideMark/>
          </w:tcPr>
          <w:p w:rsidR="00DB7F76" w:rsidRPr="00216A71" w:rsidRDefault="00DB7F76">
            <w:pPr>
              <w:rPr>
                <w:rFonts w:cstheme="minorHAnsi"/>
                <w:color w:val="000000"/>
              </w:rPr>
            </w:pPr>
            <w:r w:rsidRPr="00216A71">
              <w:rPr>
                <w:rFonts w:cstheme="minorHAnsi"/>
                <w:color w:val="000000"/>
              </w:rPr>
              <w:t>Transport /ICT</w:t>
            </w:r>
          </w:p>
        </w:tc>
        <w:tc>
          <w:tcPr>
            <w:tcW w:w="4394" w:type="dxa"/>
            <w:shd w:val="clear" w:color="auto" w:fill="auto"/>
            <w:vAlign w:val="bottom"/>
            <w:hideMark/>
          </w:tcPr>
          <w:p w:rsidR="00DB7F76" w:rsidRPr="00AC3771" w:rsidRDefault="00DB7F76" w:rsidP="006C25A3">
            <w:pPr>
              <w:rPr>
                <w:rFonts w:cstheme="minorHAnsi"/>
              </w:rPr>
            </w:pPr>
            <w:r w:rsidRPr="00AC3771">
              <w:rPr>
                <w:rFonts w:cstheme="minorHAnsi"/>
              </w:rPr>
              <w:t>Karachi Bus Rapid Transit Project</w:t>
            </w:r>
          </w:p>
        </w:tc>
      </w:tr>
      <w:tr w:rsidR="00DB7F76" w:rsidRPr="00216A71" w:rsidTr="00EC4A5D">
        <w:trPr>
          <w:trHeight w:val="300"/>
        </w:trPr>
        <w:tc>
          <w:tcPr>
            <w:tcW w:w="1433" w:type="dxa"/>
            <w:shd w:val="clear" w:color="auto" w:fill="auto"/>
            <w:noWrap/>
            <w:vAlign w:val="bottom"/>
            <w:hideMark/>
          </w:tcPr>
          <w:p w:rsidR="00DB7F76" w:rsidRPr="00216A71" w:rsidRDefault="00DB7F76" w:rsidP="00DB7F76">
            <w:pPr>
              <w:rPr>
                <w:rFonts w:cstheme="minorHAnsi"/>
                <w:color w:val="000000"/>
              </w:rPr>
            </w:pPr>
            <w:r w:rsidRPr="00216A71">
              <w:rPr>
                <w:rFonts w:cstheme="minorHAnsi"/>
                <w:color w:val="000000"/>
              </w:rPr>
              <w:t>47091-001</w:t>
            </w:r>
          </w:p>
        </w:tc>
        <w:tc>
          <w:tcPr>
            <w:tcW w:w="1385" w:type="dxa"/>
            <w:shd w:val="clear" w:color="auto" w:fill="auto"/>
            <w:noWrap/>
            <w:vAlign w:val="bottom"/>
            <w:hideMark/>
          </w:tcPr>
          <w:p w:rsidR="00DB7F76" w:rsidRPr="00216A71" w:rsidRDefault="00DB7F76" w:rsidP="00DB7F76">
            <w:pPr>
              <w:rPr>
                <w:rFonts w:cstheme="minorHAnsi"/>
                <w:color w:val="000000"/>
              </w:rPr>
            </w:pPr>
            <w:r w:rsidRPr="00216A71">
              <w:rPr>
                <w:rFonts w:cstheme="minorHAnsi"/>
                <w:color w:val="000000"/>
              </w:rPr>
              <w:t>Mongolia</w:t>
            </w:r>
          </w:p>
        </w:tc>
        <w:tc>
          <w:tcPr>
            <w:tcW w:w="883" w:type="dxa"/>
            <w:shd w:val="clear" w:color="auto" w:fill="auto"/>
            <w:noWrap/>
            <w:vAlign w:val="bottom"/>
            <w:hideMark/>
          </w:tcPr>
          <w:p w:rsidR="00DB7F76" w:rsidRPr="00216A71" w:rsidRDefault="00DB7F76" w:rsidP="00DB7F76">
            <w:pPr>
              <w:jc w:val="right"/>
              <w:rPr>
                <w:rFonts w:cstheme="minorHAnsi"/>
                <w:color w:val="000000"/>
              </w:rPr>
            </w:pPr>
            <w:r w:rsidRPr="00216A71">
              <w:rPr>
                <w:rFonts w:cstheme="minorHAnsi"/>
                <w:color w:val="000000"/>
              </w:rPr>
              <w:t>1.2</w:t>
            </w:r>
          </w:p>
        </w:tc>
        <w:tc>
          <w:tcPr>
            <w:tcW w:w="1559" w:type="dxa"/>
            <w:shd w:val="clear" w:color="auto" w:fill="auto"/>
            <w:noWrap/>
            <w:vAlign w:val="bottom"/>
            <w:hideMark/>
          </w:tcPr>
          <w:p w:rsidR="00DB7F76" w:rsidRPr="00216A71" w:rsidRDefault="00DB7F76" w:rsidP="00DB7F76">
            <w:pPr>
              <w:rPr>
                <w:rFonts w:cstheme="minorHAnsi"/>
                <w:color w:val="000000"/>
              </w:rPr>
            </w:pPr>
            <w:r w:rsidRPr="00216A71">
              <w:rPr>
                <w:rFonts w:cstheme="minorHAnsi"/>
                <w:color w:val="000000"/>
              </w:rPr>
              <w:t>Energy</w:t>
            </w:r>
          </w:p>
        </w:tc>
        <w:tc>
          <w:tcPr>
            <w:tcW w:w="4394" w:type="dxa"/>
            <w:shd w:val="clear" w:color="auto" w:fill="auto"/>
            <w:vAlign w:val="bottom"/>
            <w:hideMark/>
          </w:tcPr>
          <w:p w:rsidR="00DB7F76" w:rsidRPr="00AC3771" w:rsidRDefault="00DB7F76" w:rsidP="00DB7F76">
            <w:pPr>
              <w:rPr>
                <w:rFonts w:cstheme="minorHAnsi"/>
              </w:rPr>
            </w:pPr>
            <w:r w:rsidRPr="00AC3771">
              <w:rPr>
                <w:rFonts w:cstheme="minorHAnsi"/>
              </w:rPr>
              <w:t>Transaction Advisory Services for the Combined Heat and Power Plant 5</w:t>
            </w:r>
          </w:p>
        </w:tc>
      </w:tr>
      <w:tr w:rsidR="00DB7F76" w:rsidRPr="00216A71" w:rsidTr="00EC4A5D">
        <w:trPr>
          <w:trHeight w:val="300"/>
        </w:trPr>
        <w:tc>
          <w:tcPr>
            <w:tcW w:w="1433" w:type="dxa"/>
            <w:shd w:val="clear" w:color="auto" w:fill="auto"/>
            <w:noWrap/>
            <w:vAlign w:val="bottom"/>
          </w:tcPr>
          <w:p w:rsidR="00DB7F76" w:rsidRPr="00216A71" w:rsidRDefault="00DB7F76" w:rsidP="006C25A3">
            <w:pPr>
              <w:rPr>
                <w:rFonts w:cstheme="minorHAnsi"/>
                <w:color w:val="000000"/>
              </w:rPr>
            </w:pPr>
            <w:r w:rsidRPr="00216A71">
              <w:rPr>
                <w:rFonts w:cstheme="minorHAnsi"/>
                <w:color w:val="000000"/>
              </w:rPr>
              <w:t>46493-001</w:t>
            </w:r>
          </w:p>
        </w:tc>
        <w:tc>
          <w:tcPr>
            <w:tcW w:w="1385" w:type="dxa"/>
            <w:shd w:val="clear" w:color="auto" w:fill="auto"/>
            <w:noWrap/>
            <w:vAlign w:val="bottom"/>
          </w:tcPr>
          <w:p w:rsidR="00DB7F76" w:rsidRPr="00216A71" w:rsidRDefault="00DB7F76" w:rsidP="006C25A3">
            <w:pPr>
              <w:rPr>
                <w:rFonts w:cstheme="minorHAnsi"/>
                <w:color w:val="000000"/>
              </w:rPr>
            </w:pPr>
            <w:r w:rsidRPr="00216A71">
              <w:rPr>
                <w:rFonts w:cstheme="minorHAnsi"/>
                <w:color w:val="000000"/>
              </w:rPr>
              <w:t>Cambodia</w:t>
            </w:r>
          </w:p>
        </w:tc>
        <w:tc>
          <w:tcPr>
            <w:tcW w:w="883" w:type="dxa"/>
            <w:shd w:val="clear" w:color="auto" w:fill="auto"/>
            <w:noWrap/>
            <w:vAlign w:val="bottom"/>
          </w:tcPr>
          <w:p w:rsidR="00DB7F76" w:rsidRPr="00216A71" w:rsidRDefault="00DB7F76" w:rsidP="006C25A3">
            <w:pPr>
              <w:jc w:val="right"/>
              <w:rPr>
                <w:rFonts w:cstheme="minorHAnsi"/>
                <w:color w:val="000000"/>
              </w:rPr>
            </w:pPr>
            <w:r w:rsidRPr="00216A71">
              <w:rPr>
                <w:rFonts w:cstheme="minorHAnsi"/>
                <w:color w:val="000000"/>
              </w:rPr>
              <w:t>0.9</w:t>
            </w:r>
          </w:p>
        </w:tc>
        <w:tc>
          <w:tcPr>
            <w:tcW w:w="1559" w:type="dxa"/>
            <w:shd w:val="clear" w:color="auto" w:fill="auto"/>
            <w:noWrap/>
            <w:vAlign w:val="bottom"/>
          </w:tcPr>
          <w:p w:rsidR="00DB7F76" w:rsidRPr="00216A71" w:rsidRDefault="00DB7F76" w:rsidP="006C25A3">
            <w:pPr>
              <w:rPr>
                <w:rFonts w:cstheme="minorHAnsi"/>
                <w:color w:val="000000"/>
              </w:rPr>
            </w:pPr>
            <w:r w:rsidRPr="00216A71">
              <w:rPr>
                <w:rFonts w:cstheme="minorHAnsi"/>
                <w:color w:val="000000"/>
              </w:rPr>
              <w:t>unclassified</w:t>
            </w:r>
          </w:p>
        </w:tc>
        <w:tc>
          <w:tcPr>
            <w:tcW w:w="4394" w:type="dxa"/>
            <w:shd w:val="clear" w:color="auto" w:fill="auto"/>
            <w:vAlign w:val="bottom"/>
          </w:tcPr>
          <w:p w:rsidR="00DB7F76" w:rsidRPr="00AC3771" w:rsidRDefault="00DB7F76" w:rsidP="006C25A3">
            <w:pPr>
              <w:rPr>
                <w:rFonts w:cstheme="minorHAnsi"/>
              </w:rPr>
            </w:pPr>
            <w:r w:rsidRPr="00AC3771">
              <w:rPr>
                <w:rFonts w:cstheme="minorHAnsi"/>
              </w:rPr>
              <w:t>Public-Private Partnership Development Project</w:t>
            </w:r>
          </w:p>
        </w:tc>
      </w:tr>
      <w:tr w:rsidR="00DB7F76" w:rsidRPr="00216A71" w:rsidTr="00EC4A5D">
        <w:trPr>
          <w:trHeight w:val="300"/>
        </w:trPr>
        <w:tc>
          <w:tcPr>
            <w:tcW w:w="1433" w:type="dxa"/>
            <w:shd w:val="clear" w:color="auto" w:fill="auto"/>
            <w:noWrap/>
            <w:vAlign w:val="bottom"/>
          </w:tcPr>
          <w:p w:rsidR="00DB7F76" w:rsidRPr="00216A71" w:rsidRDefault="00DB7F76" w:rsidP="006C25A3">
            <w:pPr>
              <w:rPr>
                <w:rFonts w:cstheme="minorHAnsi"/>
                <w:color w:val="000000"/>
              </w:rPr>
            </w:pPr>
            <w:r w:rsidRPr="00216A71">
              <w:rPr>
                <w:rFonts w:cstheme="minorHAnsi"/>
                <w:color w:val="000000"/>
              </w:rPr>
              <w:t>TOTAL proposed</w:t>
            </w:r>
          </w:p>
        </w:tc>
        <w:tc>
          <w:tcPr>
            <w:tcW w:w="1385" w:type="dxa"/>
            <w:shd w:val="clear" w:color="auto" w:fill="auto"/>
            <w:noWrap/>
            <w:vAlign w:val="bottom"/>
          </w:tcPr>
          <w:p w:rsidR="00DB7F76" w:rsidRPr="00216A71" w:rsidRDefault="00DB7F76" w:rsidP="006C25A3">
            <w:pPr>
              <w:rPr>
                <w:rFonts w:cstheme="minorHAnsi"/>
                <w:color w:val="000000"/>
              </w:rPr>
            </w:pPr>
          </w:p>
        </w:tc>
        <w:tc>
          <w:tcPr>
            <w:tcW w:w="883" w:type="dxa"/>
            <w:shd w:val="clear" w:color="auto" w:fill="auto"/>
            <w:noWrap/>
            <w:vAlign w:val="bottom"/>
          </w:tcPr>
          <w:p w:rsidR="00DB7F76" w:rsidRPr="00216A71" w:rsidRDefault="00DB7F76" w:rsidP="006C25A3">
            <w:pPr>
              <w:jc w:val="right"/>
              <w:rPr>
                <w:rFonts w:cstheme="minorHAnsi"/>
                <w:color w:val="000000"/>
              </w:rPr>
            </w:pPr>
            <w:r w:rsidRPr="00AC3771">
              <w:rPr>
                <w:rFonts w:cstheme="minorHAnsi"/>
                <w:b/>
                <w:bCs/>
              </w:rPr>
              <w:t>1138.2</w:t>
            </w:r>
          </w:p>
        </w:tc>
        <w:tc>
          <w:tcPr>
            <w:tcW w:w="1559" w:type="dxa"/>
            <w:shd w:val="clear" w:color="auto" w:fill="auto"/>
            <w:noWrap/>
            <w:vAlign w:val="bottom"/>
          </w:tcPr>
          <w:p w:rsidR="00DB7F76" w:rsidRPr="00216A71" w:rsidRDefault="00DB7F76" w:rsidP="006C25A3">
            <w:pPr>
              <w:rPr>
                <w:rFonts w:cstheme="minorHAnsi"/>
                <w:color w:val="000000"/>
              </w:rPr>
            </w:pPr>
          </w:p>
        </w:tc>
        <w:tc>
          <w:tcPr>
            <w:tcW w:w="4394" w:type="dxa"/>
            <w:shd w:val="clear" w:color="auto" w:fill="auto"/>
            <w:vAlign w:val="bottom"/>
          </w:tcPr>
          <w:p w:rsidR="00DB7F76" w:rsidRPr="00216A71" w:rsidRDefault="00DB7F76" w:rsidP="006C25A3">
            <w:pPr>
              <w:rPr>
                <w:rFonts w:cstheme="minorHAnsi"/>
                <w:color w:val="C00000"/>
              </w:rPr>
            </w:pPr>
          </w:p>
        </w:tc>
      </w:tr>
    </w:tbl>
    <w:p w:rsidR="006C25A3" w:rsidRPr="00216A71" w:rsidRDefault="006C25A3" w:rsidP="0029090A">
      <w:pPr>
        <w:rPr>
          <w:rFonts w:cstheme="minorHAnsi"/>
          <w:szCs w:val="20"/>
        </w:rPr>
      </w:pPr>
    </w:p>
    <w:p w:rsidR="000C629A" w:rsidRDefault="00EF04EF" w:rsidP="0029090A">
      <w:pPr>
        <w:rPr>
          <w:rFonts w:cstheme="minorHAnsi"/>
          <w:szCs w:val="20"/>
        </w:rPr>
      </w:pPr>
      <w:r w:rsidRPr="00216A71">
        <w:rPr>
          <w:rFonts w:cstheme="minorHAnsi"/>
          <w:szCs w:val="20"/>
        </w:rPr>
        <w:t>T</w:t>
      </w:r>
      <w:r w:rsidR="0029090A" w:rsidRPr="00216A71">
        <w:rPr>
          <w:rFonts w:cstheme="minorHAnsi"/>
          <w:szCs w:val="20"/>
        </w:rPr>
        <w:t>he I</w:t>
      </w:r>
      <w:r w:rsidR="00C01857">
        <w:rPr>
          <w:rFonts w:cstheme="minorHAnsi"/>
          <w:szCs w:val="20"/>
        </w:rPr>
        <w:t>nter-</w:t>
      </w:r>
      <w:r w:rsidR="0029090A" w:rsidRPr="00216A71">
        <w:rPr>
          <w:rFonts w:cstheme="minorHAnsi"/>
          <w:szCs w:val="20"/>
        </w:rPr>
        <w:t>A</w:t>
      </w:r>
      <w:r w:rsidR="00C01857">
        <w:rPr>
          <w:rFonts w:cstheme="minorHAnsi"/>
          <w:szCs w:val="20"/>
        </w:rPr>
        <w:t xml:space="preserve">merican </w:t>
      </w:r>
      <w:r w:rsidR="0029090A" w:rsidRPr="00216A71">
        <w:rPr>
          <w:rFonts w:cstheme="minorHAnsi"/>
          <w:szCs w:val="20"/>
        </w:rPr>
        <w:t>D</w:t>
      </w:r>
      <w:r w:rsidR="00C01857">
        <w:rPr>
          <w:rFonts w:cstheme="minorHAnsi"/>
          <w:szCs w:val="20"/>
        </w:rPr>
        <w:t xml:space="preserve">evelopment </w:t>
      </w:r>
      <w:r w:rsidR="0029090A" w:rsidRPr="00216A71">
        <w:rPr>
          <w:rFonts w:cstheme="minorHAnsi"/>
          <w:szCs w:val="20"/>
        </w:rPr>
        <w:t>B</w:t>
      </w:r>
      <w:r w:rsidR="00C01857">
        <w:rPr>
          <w:rFonts w:cstheme="minorHAnsi"/>
          <w:szCs w:val="20"/>
        </w:rPr>
        <w:t>ank (IADB)</w:t>
      </w:r>
      <w:r w:rsidR="0029090A" w:rsidRPr="00216A71">
        <w:rPr>
          <w:rFonts w:cstheme="minorHAnsi"/>
          <w:szCs w:val="20"/>
        </w:rPr>
        <w:t xml:space="preserve"> is </w:t>
      </w:r>
      <w:r w:rsidR="00335DD8" w:rsidRPr="00216A71">
        <w:rPr>
          <w:rFonts w:cstheme="minorHAnsi"/>
          <w:szCs w:val="20"/>
        </w:rPr>
        <w:t>also providing finance</w:t>
      </w:r>
      <w:r w:rsidR="004045AD">
        <w:rPr>
          <w:rFonts w:cstheme="minorHAnsi"/>
          <w:szCs w:val="20"/>
        </w:rPr>
        <w:t xml:space="preserve"> </w:t>
      </w:r>
      <w:r w:rsidR="0029090A" w:rsidRPr="00216A71">
        <w:rPr>
          <w:rFonts w:cstheme="minorHAnsi"/>
          <w:szCs w:val="20"/>
        </w:rPr>
        <w:t xml:space="preserve">to develop PPPs in general. </w:t>
      </w:r>
      <w:r w:rsidR="007C1B39" w:rsidRPr="00216A71">
        <w:rPr>
          <w:rFonts w:cstheme="minorHAnsi"/>
          <w:szCs w:val="20"/>
        </w:rPr>
        <w:t>I</w:t>
      </w:r>
      <w:r w:rsidR="0029090A" w:rsidRPr="00216A71">
        <w:rPr>
          <w:rFonts w:cstheme="minorHAnsi"/>
          <w:szCs w:val="20"/>
        </w:rPr>
        <w:t>t has agreed to give Colombia $25</w:t>
      </w:r>
      <w:r w:rsidR="00C01857">
        <w:rPr>
          <w:rFonts w:cstheme="minorHAnsi"/>
          <w:szCs w:val="20"/>
        </w:rPr>
        <w:t xml:space="preserve"> </w:t>
      </w:r>
      <w:r w:rsidR="0029090A" w:rsidRPr="00216A71">
        <w:rPr>
          <w:rFonts w:cstheme="minorHAnsi"/>
          <w:szCs w:val="20"/>
        </w:rPr>
        <w:t>million dollars, of which $21</w:t>
      </w:r>
      <w:r w:rsidR="00C01857">
        <w:rPr>
          <w:rFonts w:cstheme="minorHAnsi"/>
          <w:szCs w:val="20"/>
        </w:rPr>
        <w:t xml:space="preserve"> </w:t>
      </w:r>
      <w:r w:rsidR="0029090A" w:rsidRPr="00216A71">
        <w:rPr>
          <w:rFonts w:cstheme="minorHAnsi"/>
          <w:szCs w:val="20"/>
        </w:rPr>
        <w:t>million will be used for ‘promoting private participation’ at public expense through detailed market research and marketing: “the preparation of</w:t>
      </w:r>
      <w:r w:rsidR="004045AD">
        <w:rPr>
          <w:rFonts w:cstheme="minorHAnsi"/>
          <w:szCs w:val="20"/>
        </w:rPr>
        <w:t xml:space="preserve"> </w:t>
      </w:r>
      <w:r w:rsidR="0029090A" w:rsidRPr="00216A71">
        <w:rPr>
          <w:rFonts w:cstheme="minorHAnsi"/>
          <w:szCs w:val="20"/>
        </w:rPr>
        <w:t>studies to formulate and develop policies</w:t>
      </w:r>
      <w:r w:rsidR="004045AD">
        <w:rPr>
          <w:rFonts w:cstheme="minorHAnsi"/>
          <w:szCs w:val="20"/>
        </w:rPr>
        <w:t xml:space="preserve"> </w:t>
      </w:r>
      <w:r w:rsidR="0029090A" w:rsidRPr="00216A71">
        <w:rPr>
          <w:rFonts w:cstheme="minorHAnsi"/>
          <w:szCs w:val="20"/>
        </w:rPr>
        <w:t>and policy and/or regulatory frameworks in different infrastructure sectors showing</w:t>
      </w:r>
      <w:r w:rsidR="004045AD">
        <w:rPr>
          <w:rFonts w:cstheme="minorHAnsi"/>
          <w:szCs w:val="20"/>
        </w:rPr>
        <w:t xml:space="preserve"> </w:t>
      </w:r>
      <w:r w:rsidR="0029090A" w:rsidRPr="00216A71">
        <w:rPr>
          <w:rFonts w:cstheme="minorHAnsi"/>
          <w:szCs w:val="20"/>
        </w:rPr>
        <w:t>potential for private sector investment, at both the natio</w:t>
      </w:r>
      <w:r w:rsidR="000F2640" w:rsidRPr="00216A71">
        <w:rPr>
          <w:rFonts w:cstheme="minorHAnsi"/>
          <w:szCs w:val="20"/>
        </w:rPr>
        <w:t>nal and/or subnational levels a</w:t>
      </w:r>
      <w:r w:rsidR="0029090A" w:rsidRPr="00216A71">
        <w:rPr>
          <w:rFonts w:cstheme="minorHAnsi"/>
          <w:szCs w:val="20"/>
        </w:rPr>
        <w:t>nd</w:t>
      </w:r>
      <w:r w:rsidR="004045AD">
        <w:rPr>
          <w:rFonts w:cstheme="minorHAnsi"/>
          <w:szCs w:val="20"/>
        </w:rPr>
        <w:t xml:space="preserve"> </w:t>
      </w:r>
      <w:r w:rsidR="0029090A" w:rsidRPr="00216A71">
        <w:rPr>
          <w:rFonts w:cstheme="minorHAnsi"/>
          <w:szCs w:val="20"/>
        </w:rPr>
        <w:t>technical studies for the identification, conceptualization, pre</w:t>
      </w:r>
      <w:r w:rsidR="000F2640" w:rsidRPr="00216A71">
        <w:rPr>
          <w:rFonts w:cstheme="minorHAnsi"/>
          <w:szCs w:val="20"/>
        </w:rPr>
        <w:t>-</w:t>
      </w:r>
      <w:r w:rsidR="0029090A" w:rsidRPr="00216A71">
        <w:rPr>
          <w:rFonts w:cstheme="minorHAnsi"/>
          <w:szCs w:val="20"/>
        </w:rPr>
        <w:t>investment,</w:t>
      </w:r>
      <w:r w:rsidR="004045AD">
        <w:rPr>
          <w:rFonts w:cstheme="minorHAnsi"/>
          <w:szCs w:val="20"/>
        </w:rPr>
        <w:t xml:space="preserve"> </w:t>
      </w:r>
      <w:r w:rsidR="0029090A" w:rsidRPr="00216A71">
        <w:rPr>
          <w:rFonts w:cstheme="minorHAnsi"/>
          <w:szCs w:val="20"/>
        </w:rPr>
        <w:t>structuring, and</w:t>
      </w:r>
      <w:r w:rsidR="000F2640" w:rsidRPr="00216A71">
        <w:rPr>
          <w:rFonts w:cstheme="minorHAnsi"/>
          <w:szCs w:val="20"/>
        </w:rPr>
        <w:t xml:space="preserve">/or implementation of projects </w:t>
      </w:r>
      <w:r w:rsidR="0029090A" w:rsidRPr="00216A71">
        <w:rPr>
          <w:rFonts w:cstheme="minorHAnsi"/>
          <w:szCs w:val="20"/>
        </w:rPr>
        <w:t>involving the private sector</w:t>
      </w:r>
      <w:r w:rsidR="00C01857">
        <w:rPr>
          <w:rFonts w:cstheme="minorHAnsi"/>
          <w:szCs w:val="20"/>
        </w:rPr>
        <w:t>..</w:t>
      </w:r>
      <w:r w:rsidR="0029090A" w:rsidRPr="00216A71">
        <w:rPr>
          <w:rFonts w:cstheme="minorHAnsi"/>
          <w:szCs w:val="20"/>
        </w:rPr>
        <w:t>.. Private participation experiences will also be evaluated, and</w:t>
      </w:r>
      <w:r w:rsidR="004045AD">
        <w:rPr>
          <w:rFonts w:cstheme="minorHAnsi"/>
          <w:szCs w:val="20"/>
        </w:rPr>
        <w:t xml:space="preserve"> </w:t>
      </w:r>
      <w:r w:rsidR="0029090A" w:rsidRPr="00216A71">
        <w:rPr>
          <w:rFonts w:cstheme="minorHAnsi"/>
          <w:szCs w:val="20"/>
        </w:rPr>
        <w:t>activities will be</w:t>
      </w:r>
      <w:r w:rsidR="004045AD">
        <w:rPr>
          <w:rFonts w:cstheme="minorHAnsi"/>
          <w:szCs w:val="20"/>
        </w:rPr>
        <w:t xml:space="preserve"> </w:t>
      </w:r>
      <w:r w:rsidR="0029090A" w:rsidRPr="00216A71">
        <w:rPr>
          <w:rFonts w:cstheme="minorHAnsi"/>
          <w:szCs w:val="20"/>
        </w:rPr>
        <w:t>undertaken to promote, monitor, raise awareness, communicate, and disseminate structures for private participation, specific projects, and program</w:t>
      </w:r>
      <w:r w:rsidR="00C01857">
        <w:rPr>
          <w:rFonts w:cstheme="minorHAnsi"/>
          <w:szCs w:val="20"/>
        </w:rPr>
        <w:t>-</w:t>
      </w:r>
      <w:r w:rsidR="0029090A" w:rsidRPr="00216A71">
        <w:rPr>
          <w:rFonts w:cstheme="minorHAnsi"/>
          <w:szCs w:val="20"/>
        </w:rPr>
        <w:t>related information</w:t>
      </w:r>
      <w:r w:rsidR="00C01857">
        <w:rPr>
          <w:rFonts w:cstheme="minorHAnsi"/>
          <w:szCs w:val="20"/>
        </w:rPr>
        <w:t>.</w:t>
      </w:r>
      <w:r w:rsidR="0029090A" w:rsidRPr="00216A71">
        <w:rPr>
          <w:rFonts w:cstheme="minorHAnsi"/>
          <w:szCs w:val="20"/>
        </w:rPr>
        <w:t>”</w:t>
      </w:r>
      <w:r w:rsidR="0029090A" w:rsidRPr="00216A71">
        <w:rPr>
          <w:rStyle w:val="EndnoteReference"/>
          <w:rFonts w:cstheme="minorHAnsi"/>
          <w:szCs w:val="20"/>
        </w:rPr>
        <w:endnoteReference w:id="45"/>
      </w:r>
    </w:p>
    <w:p w:rsidR="000C629A" w:rsidRDefault="00335DD8" w:rsidP="0029090A">
      <w:pPr>
        <w:rPr>
          <w:rFonts w:cstheme="minorHAnsi"/>
          <w:szCs w:val="20"/>
        </w:rPr>
      </w:pPr>
      <w:r w:rsidRPr="00216A71">
        <w:rPr>
          <w:rFonts w:cstheme="minorHAnsi"/>
          <w:szCs w:val="20"/>
        </w:rPr>
        <w:t xml:space="preserve">The African Development Bank </w:t>
      </w:r>
      <w:r w:rsidR="00C01857">
        <w:rPr>
          <w:rFonts w:cstheme="minorHAnsi"/>
          <w:szCs w:val="20"/>
        </w:rPr>
        <w:t xml:space="preserve">(AfDB) </w:t>
      </w:r>
      <w:r w:rsidRPr="00216A71">
        <w:rPr>
          <w:rFonts w:cstheme="minorHAnsi"/>
          <w:szCs w:val="20"/>
        </w:rPr>
        <w:t xml:space="preserve">is also incorporating PPPs into its policies in all </w:t>
      </w:r>
      <w:r w:rsidR="00FF6D63" w:rsidRPr="00216A71">
        <w:rPr>
          <w:rFonts w:cstheme="minorHAnsi"/>
          <w:szCs w:val="20"/>
        </w:rPr>
        <w:t xml:space="preserve">sectors. </w:t>
      </w:r>
      <w:r w:rsidR="008600B4" w:rsidRPr="00216A71">
        <w:rPr>
          <w:rFonts w:cstheme="minorHAnsi"/>
          <w:szCs w:val="20"/>
        </w:rPr>
        <w:t>In 2011, two-thirds of its loans for infrastructure supported PPPs, mostly in a series of electricity generating projects, as well as roads</w:t>
      </w:r>
      <w:r w:rsidR="004045AD">
        <w:rPr>
          <w:rFonts w:cstheme="minorHAnsi"/>
          <w:szCs w:val="20"/>
        </w:rPr>
        <w:t xml:space="preserve"> </w:t>
      </w:r>
      <w:r w:rsidR="008600B4" w:rsidRPr="00216A71">
        <w:rPr>
          <w:rFonts w:cstheme="minorHAnsi"/>
          <w:szCs w:val="20"/>
        </w:rPr>
        <w:t>and</w:t>
      </w:r>
      <w:r w:rsidR="004045AD">
        <w:rPr>
          <w:rFonts w:cstheme="minorHAnsi"/>
          <w:szCs w:val="20"/>
        </w:rPr>
        <w:t xml:space="preserve"> </w:t>
      </w:r>
      <w:r w:rsidR="008600B4" w:rsidRPr="00216A71">
        <w:rPr>
          <w:rFonts w:cstheme="minorHAnsi"/>
          <w:szCs w:val="20"/>
        </w:rPr>
        <w:t>railways. It is supporting a new Africa Health Forum, described as ‘the first public-private forum on Africa’s health economy</w:t>
      </w:r>
      <w:r w:rsidR="00956D02">
        <w:rPr>
          <w:rFonts w:cstheme="minorHAnsi"/>
          <w:szCs w:val="20"/>
        </w:rPr>
        <w:t>,</w:t>
      </w:r>
      <w:r w:rsidR="008600B4" w:rsidRPr="00216A71">
        <w:rPr>
          <w:rFonts w:cstheme="minorHAnsi"/>
          <w:szCs w:val="20"/>
        </w:rPr>
        <w:t>’ to be held in Geneva, Switzerland.</w:t>
      </w:r>
      <w:r w:rsidR="00142F25" w:rsidRPr="00216A71">
        <w:rPr>
          <w:rFonts w:cstheme="minorHAnsi"/>
          <w:szCs w:val="20"/>
        </w:rPr>
        <w:t xml:space="preserve"> </w:t>
      </w:r>
      <w:r w:rsidR="008600B4" w:rsidRPr="00216A71">
        <w:rPr>
          <w:rStyle w:val="EndnoteReference"/>
          <w:rFonts w:cstheme="minorHAnsi"/>
          <w:szCs w:val="20"/>
        </w:rPr>
        <w:endnoteReference w:id="46"/>
      </w:r>
    </w:p>
    <w:p w:rsidR="0078248B" w:rsidRPr="00216A71" w:rsidRDefault="0078248B" w:rsidP="00EC4A5D">
      <w:pPr>
        <w:pStyle w:val="Heading2"/>
        <w:rPr>
          <w:rFonts w:asciiTheme="minorHAnsi" w:hAnsiTheme="minorHAnsi" w:cstheme="minorHAnsi"/>
        </w:rPr>
      </w:pPr>
      <w:bookmarkStart w:id="14" w:name="_Toc392857526"/>
      <w:r w:rsidRPr="00216A71">
        <w:rPr>
          <w:rFonts w:asciiTheme="minorHAnsi" w:hAnsiTheme="minorHAnsi" w:cstheme="minorHAnsi"/>
        </w:rPr>
        <w:t>Other global bodies: WEF, G20, OECD, UN bodies</w:t>
      </w:r>
      <w:bookmarkEnd w:id="14"/>
    </w:p>
    <w:p w:rsidR="00835BC3" w:rsidRPr="00216A71" w:rsidRDefault="00835BC3" w:rsidP="00835BC3">
      <w:pPr>
        <w:pStyle w:val="Heading3"/>
        <w:rPr>
          <w:rFonts w:asciiTheme="minorHAnsi" w:hAnsiTheme="minorHAnsi" w:cstheme="minorHAnsi"/>
          <w:szCs w:val="20"/>
        </w:rPr>
      </w:pPr>
      <w:r w:rsidRPr="00216A71">
        <w:rPr>
          <w:rFonts w:asciiTheme="minorHAnsi" w:hAnsiTheme="minorHAnsi" w:cstheme="minorHAnsi"/>
          <w:szCs w:val="20"/>
        </w:rPr>
        <w:t>WEF</w:t>
      </w:r>
    </w:p>
    <w:p w:rsidR="000C629A" w:rsidRDefault="00835BC3" w:rsidP="00835BC3">
      <w:pPr>
        <w:rPr>
          <w:rFonts w:cstheme="minorHAnsi"/>
          <w:szCs w:val="20"/>
        </w:rPr>
      </w:pPr>
      <w:r w:rsidRPr="00216A71">
        <w:rPr>
          <w:rFonts w:cstheme="minorHAnsi"/>
          <w:szCs w:val="20"/>
        </w:rPr>
        <w:t xml:space="preserve">The World Economic Forum (WEF) is an annual event held at the ski resort of Davos, in Switzerland, at which international corporations and consultants develop policy ideas with governments and international organisations. </w:t>
      </w:r>
    </w:p>
    <w:p w:rsidR="000C629A" w:rsidRDefault="00835BC3" w:rsidP="00835BC3">
      <w:pPr>
        <w:rPr>
          <w:rFonts w:cstheme="minorHAnsi"/>
          <w:szCs w:val="20"/>
        </w:rPr>
      </w:pPr>
      <w:r w:rsidRPr="00216A71">
        <w:rPr>
          <w:rFonts w:cstheme="minorHAnsi"/>
          <w:szCs w:val="20"/>
        </w:rPr>
        <w:t xml:space="preserve">In 2013 the WEF produced reports promoting PPPs in general </w:t>
      </w:r>
      <w:hyperlink r:id="rId72" w:history="1">
        <w:r w:rsidRPr="00216A71">
          <w:rPr>
            <w:rStyle w:val="Hyperlink"/>
            <w:rFonts w:cstheme="minorHAnsi"/>
            <w:szCs w:val="20"/>
          </w:rPr>
          <w:t>Strategic Infrastructure Steps to Prepare and Accelerate PPPs (2013)</w:t>
        </w:r>
      </w:hyperlink>
      <w:r w:rsidR="004045AD">
        <w:rPr>
          <w:rFonts w:cstheme="minorHAnsi"/>
          <w:szCs w:val="20"/>
        </w:rPr>
        <w:t xml:space="preserve"> </w:t>
      </w:r>
      <w:r w:rsidRPr="00216A71">
        <w:rPr>
          <w:rFonts w:cstheme="minorHAnsi"/>
          <w:szCs w:val="20"/>
        </w:rPr>
        <w:t xml:space="preserve">and in specific regions: </w:t>
      </w:r>
      <w:hyperlink r:id="rId73" w:history="1">
        <w:r w:rsidRPr="00216A71">
          <w:rPr>
            <w:rStyle w:val="Hyperlink"/>
            <w:rFonts w:cstheme="minorHAnsi"/>
            <w:szCs w:val="20"/>
          </w:rPr>
          <w:t>Strategic Infrastructure in Africa: A business approach to project acceleration (2013)</w:t>
        </w:r>
      </w:hyperlink>
      <w:r w:rsidRPr="00216A71">
        <w:rPr>
          <w:rStyle w:val="js-wrap"/>
          <w:rFonts w:cstheme="minorHAnsi"/>
          <w:szCs w:val="20"/>
        </w:rPr>
        <w:t>.</w:t>
      </w:r>
      <w:r w:rsidR="004045AD">
        <w:rPr>
          <w:rStyle w:val="js-wrap"/>
          <w:rFonts w:cstheme="minorHAnsi"/>
          <w:szCs w:val="20"/>
        </w:rPr>
        <w:t xml:space="preserve"> </w:t>
      </w:r>
      <w:r w:rsidRPr="00216A71">
        <w:rPr>
          <w:rFonts w:cstheme="minorHAnsi"/>
          <w:szCs w:val="20"/>
        </w:rPr>
        <w:t>It has also produced a series of reports on specific sectors,</w:t>
      </w:r>
      <w:r w:rsidR="004045AD">
        <w:rPr>
          <w:rFonts w:cstheme="minorHAnsi"/>
          <w:szCs w:val="20"/>
        </w:rPr>
        <w:t xml:space="preserve"> </w:t>
      </w:r>
      <w:r w:rsidRPr="00216A71">
        <w:rPr>
          <w:rFonts w:cstheme="minorHAnsi"/>
          <w:szCs w:val="20"/>
        </w:rPr>
        <w:t>including especially on water:</w:t>
      </w:r>
      <w:r w:rsidR="004045AD">
        <w:rPr>
          <w:rFonts w:cstheme="minorHAnsi"/>
          <w:szCs w:val="20"/>
        </w:rPr>
        <w:t xml:space="preserve"> </w:t>
      </w:r>
      <w:hyperlink r:id="rId74" w:history="1">
        <w:r w:rsidRPr="00216A71">
          <w:rPr>
            <w:rStyle w:val="Hyperlink"/>
            <w:rFonts w:cstheme="minorHAnsi"/>
            <w:szCs w:val="20"/>
          </w:rPr>
          <w:t xml:space="preserve">Water Security (2012) </w:t>
        </w:r>
      </w:hyperlink>
      <w:r w:rsidRPr="00216A71">
        <w:rPr>
          <w:rFonts w:cstheme="minorHAnsi"/>
          <w:szCs w:val="20"/>
        </w:rPr>
        <w:t xml:space="preserve"> </w:t>
      </w:r>
      <w:hyperlink r:id="rId75" w:history="1">
        <w:r w:rsidRPr="00216A71">
          <w:rPr>
            <w:rStyle w:val="Hyperlink"/>
            <w:rFonts w:cstheme="minorHAnsi"/>
            <w:szCs w:val="20"/>
          </w:rPr>
          <w:t>water resources (2012)</w:t>
        </w:r>
      </w:hyperlink>
      <w:r w:rsidRPr="00216A71">
        <w:rPr>
          <w:rFonts w:cstheme="minorHAnsi"/>
          <w:szCs w:val="20"/>
        </w:rPr>
        <w:t xml:space="preserve"> </w:t>
      </w:r>
      <w:hyperlink r:id="rId76" w:history="1">
        <w:r w:rsidRPr="00216A71">
          <w:rPr>
            <w:rStyle w:val="Hyperlink"/>
            <w:rFonts w:cstheme="minorHAnsi"/>
            <w:szCs w:val="20"/>
          </w:rPr>
          <w:t>Charting our Water Future (2009)</w:t>
        </w:r>
      </w:hyperlink>
      <w:r w:rsidR="004045AD">
        <w:rPr>
          <w:rFonts w:cstheme="minorHAnsi"/>
          <w:szCs w:val="20"/>
        </w:rPr>
        <w:t xml:space="preserve"> </w:t>
      </w:r>
      <w:hyperlink r:id="rId77" w:history="1">
        <w:r w:rsidRPr="00216A71">
          <w:rPr>
            <w:rStyle w:val="Hyperlink"/>
            <w:rFonts w:cstheme="minorHAnsi"/>
            <w:szCs w:val="20"/>
          </w:rPr>
          <w:t>Realizing the Potential of PPP projects in Water (2008)</w:t>
        </w:r>
      </w:hyperlink>
      <w:r w:rsidRPr="00216A71">
        <w:rPr>
          <w:rFonts w:cstheme="minorHAnsi"/>
          <w:szCs w:val="20"/>
        </w:rPr>
        <w:t xml:space="preserve">, ‘Development-Driven PPPs’ in </w:t>
      </w:r>
      <w:hyperlink r:id="rId78" w:history="1">
        <w:r w:rsidRPr="00216A71">
          <w:rPr>
            <w:rStyle w:val="Hyperlink"/>
            <w:rFonts w:cstheme="minorHAnsi"/>
            <w:szCs w:val="20"/>
          </w:rPr>
          <w:t>Education (2005)</w:t>
        </w:r>
      </w:hyperlink>
      <w:r w:rsidRPr="00216A71">
        <w:rPr>
          <w:rFonts w:cstheme="minorHAnsi"/>
          <w:szCs w:val="20"/>
        </w:rPr>
        <w:t>, Health (2005)</w:t>
      </w:r>
      <w:r w:rsidR="004045AD">
        <w:rPr>
          <w:rFonts w:cstheme="minorHAnsi"/>
          <w:szCs w:val="20"/>
        </w:rPr>
        <w:t xml:space="preserve"> </w:t>
      </w:r>
      <w:r w:rsidRPr="00216A71">
        <w:rPr>
          <w:rFonts w:cstheme="minorHAnsi"/>
          <w:szCs w:val="20"/>
        </w:rPr>
        <w:t xml:space="preserve">, </w:t>
      </w:r>
      <w:hyperlink r:id="rId79" w:history="1">
        <w:r w:rsidRPr="00216A71">
          <w:rPr>
            <w:rStyle w:val="Hyperlink"/>
            <w:rFonts w:cstheme="minorHAnsi"/>
            <w:szCs w:val="20"/>
          </w:rPr>
          <w:t>PPPs in Health (2008)</w:t>
        </w:r>
      </w:hyperlink>
      <w:r w:rsidRPr="00216A71">
        <w:rPr>
          <w:rFonts w:cstheme="minorHAnsi"/>
          <w:szCs w:val="20"/>
        </w:rPr>
        <w:t>, and a series of reports on water:</w:t>
      </w:r>
      <w:r w:rsidR="004045AD">
        <w:rPr>
          <w:rFonts w:cstheme="minorHAnsi"/>
          <w:szCs w:val="20"/>
        </w:rPr>
        <w:t xml:space="preserve"> </w:t>
      </w:r>
      <w:hyperlink r:id="rId80" w:history="1">
        <w:r w:rsidRPr="00216A71">
          <w:rPr>
            <w:rStyle w:val="Hyperlink"/>
            <w:rFonts w:cstheme="minorHAnsi"/>
            <w:szCs w:val="20"/>
          </w:rPr>
          <w:t>water partnerships (2011)</w:t>
        </w:r>
      </w:hyperlink>
      <w:r w:rsidRPr="00216A71">
        <w:rPr>
          <w:rFonts w:cstheme="minorHAnsi"/>
          <w:szCs w:val="20"/>
        </w:rPr>
        <w:t>,</w:t>
      </w:r>
      <w:r w:rsidR="004045AD">
        <w:rPr>
          <w:rFonts w:cstheme="minorHAnsi"/>
          <w:szCs w:val="20"/>
        </w:rPr>
        <w:t xml:space="preserve"> </w:t>
      </w:r>
      <w:r w:rsidRPr="00216A71">
        <w:rPr>
          <w:rFonts w:cstheme="minorHAnsi"/>
          <w:szCs w:val="20"/>
        </w:rPr>
        <w:t xml:space="preserve">water </w:t>
      </w:r>
      <w:r w:rsidR="00FF6D63" w:rsidRPr="00216A71">
        <w:rPr>
          <w:rFonts w:cstheme="minorHAnsi"/>
          <w:szCs w:val="20"/>
        </w:rPr>
        <w:t>resources and</w:t>
      </w:r>
      <w:r w:rsidRPr="00216A71">
        <w:rPr>
          <w:rFonts w:cstheme="minorHAnsi"/>
          <w:szCs w:val="20"/>
        </w:rPr>
        <w:t xml:space="preserve"> a report on </w:t>
      </w:r>
      <w:hyperlink r:id="rId81" w:history="1">
        <w:r w:rsidRPr="00216A71">
          <w:rPr>
            <w:rStyle w:val="Hyperlink"/>
            <w:rFonts w:cstheme="minorHAnsi"/>
            <w:szCs w:val="20"/>
          </w:rPr>
          <w:t>water security (2012)</w:t>
        </w:r>
      </w:hyperlink>
      <w:r w:rsidRPr="00216A71">
        <w:rPr>
          <w:rFonts w:cstheme="minorHAnsi"/>
          <w:szCs w:val="20"/>
        </w:rPr>
        <w:t xml:space="preserve"> a</w:t>
      </w:r>
      <w:r w:rsidR="000F2640" w:rsidRPr="00216A71">
        <w:rPr>
          <w:rFonts w:cstheme="minorHAnsi"/>
          <w:szCs w:val="20"/>
        </w:rPr>
        <w:t>s part of the water-food-energy</w:t>
      </w:r>
      <w:r w:rsidRPr="00216A71">
        <w:rPr>
          <w:rFonts w:cstheme="minorHAnsi"/>
          <w:szCs w:val="20"/>
        </w:rPr>
        <w:t xml:space="preserve"> nexus theme. </w:t>
      </w:r>
    </w:p>
    <w:p w:rsidR="000C629A" w:rsidRDefault="00835BC3" w:rsidP="00835BC3">
      <w:pPr>
        <w:rPr>
          <w:rFonts w:cstheme="minorHAnsi"/>
          <w:szCs w:val="20"/>
        </w:rPr>
      </w:pPr>
      <w:r w:rsidRPr="00216A71">
        <w:rPr>
          <w:rFonts w:cstheme="minorHAnsi"/>
          <w:szCs w:val="20"/>
        </w:rPr>
        <w:t xml:space="preserve">The WEF has also created a network of permanent </w:t>
      </w:r>
      <w:hyperlink r:id="rId82" w:history="1">
        <w:r w:rsidRPr="00216A71">
          <w:rPr>
            <w:rStyle w:val="Hyperlink"/>
            <w:rFonts w:cstheme="minorHAnsi"/>
            <w:szCs w:val="20"/>
          </w:rPr>
          <w:t>‘Global Agenda Councils’</w:t>
        </w:r>
      </w:hyperlink>
      <w:r w:rsidRPr="00216A71">
        <w:rPr>
          <w:rFonts w:cstheme="minorHAnsi"/>
          <w:szCs w:val="20"/>
        </w:rPr>
        <w:t xml:space="preserve"> (GACs)</w:t>
      </w:r>
      <w:r w:rsidR="000F2640" w:rsidRPr="00216A71">
        <w:rPr>
          <w:rFonts w:cstheme="minorHAnsi"/>
          <w:szCs w:val="20"/>
        </w:rPr>
        <w:t xml:space="preserve"> </w:t>
      </w:r>
      <w:r w:rsidRPr="00216A71">
        <w:rPr>
          <w:rFonts w:cstheme="minorHAnsi"/>
          <w:szCs w:val="20"/>
        </w:rPr>
        <w:t>which it describes as ‘thought leaders</w:t>
      </w:r>
      <w:r w:rsidR="00956D02">
        <w:rPr>
          <w:rFonts w:cstheme="minorHAnsi"/>
          <w:szCs w:val="20"/>
        </w:rPr>
        <w:t>:</w:t>
      </w:r>
      <w:r w:rsidRPr="00216A71">
        <w:rPr>
          <w:rFonts w:cstheme="minorHAnsi"/>
          <w:szCs w:val="20"/>
        </w:rPr>
        <w:t>’ “a community of more than 1,600 thought leaders drawn from academia, business,</w:t>
      </w:r>
      <w:r w:rsidR="004045AD">
        <w:rPr>
          <w:rFonts w:cstheme="minorHAnsi"/>
          <w:szCs w:val="20"/>
        </w:rPr>
        <w:t xml:space="preserve"> </w:t>
      </w:r>
      <w:r w:rsidRPr="00216A71">
        <w:rPr>
          <w:rFonts w:cstheme="minorHAnsi"/>
          <w:szCs w:val="20"/>
        </w:rPr>
        <w:lastRenderedPageBreak/>
        <w:t>government, international organizations and society who are the foremost experts in their fields. Grouped into 88 Councils</w:t>
      </w:r>
      <w:r w:rsidR="00956D02">
        <w:rPr>
          <w:rFonts w:cstheme="minorHAnsi"/>
          <w:szCs w:val="20"/>
        </w:rPr>
        <w:t xml:space="preserve">… </w:t>
      </w:r>
      <w:r w:rsidRPr="00216A71">
        <w:rPr>
          <w:rFonts w:cstheme="minorHAnsi"/>
          <w:szCs w:val="20"/>
        </w:rPr>
        <w:t>we believe it has become the world’s foremost intellectual network</w:t>
      </w:r>
      <w:r w:rsidR="00956D02">
        <w:rPr>
          <w:rFonts w:cstheme="minorHAnsi"/>
          <w:szCs w:val="20"/>
        </w:rPr>
        <w:t>…</w:t>
      </w:r>
      <w:r w:rsidRPr="00216A71">
        <w:rPr>
          <w:rFonts w:cstheme="minorHAnsi"/>
          <w:szCs w:val="20"/>
        </w:rPr>
        <w:t xml:space="preserve">. </w:t>
      </w:r>
      <w:r w:rsidR="00956D02">
        <w:rPr>
          <w:rFonts w:cstheme="minorHAnsi"/>
          <w:szCs w:val="20"/>
        </w:rPr>
        <w:t>T</w:t>
      </w:r>
      <w:r w:rsidRPr="00216A71">
        <w:rPr>
          <w:rFonts w:cstheme="minorHAnsi"/>
          <w:szCs w:val="20"/>
        </w:rPr>
        <w:t>hey are creating engaging thought-leadership, including policy papers, journal articles, op-eds, blogs and other content that influences global public policy.” There is no GAC devoted specifically to PPPs, but there are GACs on Fiscal Sustainability, Infrastructure, Climate Change,</w:t>
      </w:r>
      <w:r w:rsidR="004045AD">
        <w:rPr>
          <w:rFonts w:cstheme="minorHAnsi"/>
          <w:szCs w:val="20"/>
        </w:rPr>
        <w:t xml:space="preserve"> </w:t>
      </w:r>
      <w:r w:rsidRPr="00216A71">
        <w:rPr>
          <w:rFonts w:cstheme="minorHAnsi"/>
          <w:szCs w:val="20"/>
        </w:rPr>
        <w:t>Water Security, Catastrophic Risks, Education and Skills, Digital Health, and, alarmingly, ‘the Future of Government</w:t>
      </w:r>
      <w:r w:rsidR="00956D02">
        <w:rPr>
          <w:rFonts w:cstheme="minorHAnsi"/>
          <w:szCs w:val="20"/>
        </w:rPr>
        <w:t>.</w:t>
      </w:r>
      <w:r w:rsidRPr="00216A71">
        <w:rPr>
          <w:rFonts w:cstheme="minorHAnsi"/>
          <w:szCs w:val="20"/>
        </w:rPr>
        <w:t xml:space="preserve">’ The WEF has also promoted the idea of the </w:t>
      </w:r>
      <w:hyperlink r:id="rId83" w:history="1">
        <w:r w:rsidRPr="00216A71">
          <w:rPr>
            <w:rStyle w:val="Hyperlink"/>
            <w:rFonts w:cstheme="minorHAnsi"/>
            <w:szCs w:val="20"/>
          </w:rPr>
          <w:t>‘water-food-energy-climate nexus’</w:t>
        </w:r>
      </w:hyperlink>
      <w:r w:rsidRPr="00216A71">
        <w:rPr>
          <w:rFonts w:cstheme="minorHAnsi"/>
          <w:szCs w:val="20"/>
        </w:rPr>
        <w:t xml:space="preserve"> which sets out a framework of market-based planning in these sectors in a report from McKinsey.</w:t>
      </w:r>
      <w:r w:rsidRPr="00216A71">
        <w:rPr>
          <w:rStyle w:val="EndnoteReference"/>
          <w:rFonts w:cstheme="minorHAnsi"/>
          <w:szCs w:val="20"/>
        </w:rPr>
        <w:t xml:space="preserve"> </w:t>
      </w:r>
      <w:r w:rsidRPr="00216A71">
        <w:rPr>
          <w:rStyle w:val="EndnoteReference"/>
          <w:rFonts w:cstheme="minorHAnsi"/>
          <w:szCs w:val="20"/>
        </w:rPr>
        <w:endnoteReference w:id="47"/>
      </w:r>
    </w:p>
    <w:p w:rsidR="00835BC3" w:rsidRPr="00216A71" w:rsidRDefault="00835BC3" w:rsidP="00835BC3">
      <w:pPr>
        <w:pStyle w:val="Heading3"/>
        <w:rPr>
          <w:rFonts w:asciiTheme="minorHAnsi" w:hAnsiTheme="minorHAnsi" w:cstheme="minorHAnsi"/>
          <w:szCs w:val="20"/>
        </w:rPr>
      </w:pPr>
      <w:r w:rsidRPr="00216A71">
        <w:rPr>
          <w:rFonts w:asciiTheme="minorHAnsi" w:hAnsiTheme="minorHAnsi" w:cstheme="minorHAnsi"/>
          <w:szCs w:val="20"/>
        </w:rPr>
        <w:t>G20</w:t>
      </w:r>
    </w:p>
    <w:p w:rsidR="000C629A" w:rsidRDefault="00835BC3" w:rsidP="00835BC3">
      <w:pPr>
        <w:rPr>
          <w:rFonts w:cstheme="minorHAnsi"/>
          <w:szCs w:val="20"/>
        </w:rPr>
      </w:pPr>
      <w:r w:rsidRPr="00216A71">
        <w:rPr>
          <w:rFonts w:cstheme="minorHAnsi"/>
          <w:szCs w:val="20"/>
        </w:rPr>
        <w:t>The G20 has steadily promoted PPPs since 2010</w:t>
      </w:r>
      <w:r w:rsidR="00956D02">
        <w:rPr>
          <w:rFonts w:cstheme="minorHAnsi"/>
          <w:szCs w:val="20"/>
        </w:rPr>
        <w:t>.</w:t>
      </w:r>
      <w:r w:rsidRPr="00216A71">
        <w:rPr>
          <w:rFonts w:cstheme="minorHAnsi"/>
          <w:szCs w:val="20"/>
        </w:rPr>
        <w:t xml:space="preserve"> </w:t>
      </w:r>
      <w:r w:rsidR="00956D02">
        <w:rPr>
          <w:rFonts w:cstheme="minorHAnsi"/>
          <w:szCs w:val="20"/>
        </w:rPr>
        <w:t>I</w:t>
      </w:r>
      <w:r w:rsidRPr="00216A71">
        <w:rPr>
          <w:rFonts w:cstheme="minorHAnsi"/>
          <w:szCs w:val="20"/>
        </w:rPr>
        <w:t>n 2013, ‘Financing for investment’ was a central part of its policy programme, and PPPs were at the centre of this. The 2013 umbrella policy paper was also an exercise in global policy coordination</w:t>
      </w:r>
      <w:r w:rsidR="00956D02">
        <w:rPr>
          <w:rFonts w:cstheme="minorHAnsi"/>
          <w:szCs w:val="20"/>
        </w:rPr>
        <w:t>.</w:t>
      </w:r>
      <w:r w:rsidRPr="00216A71">
        <w:rPr>
          <w:rFonts w:cstheme="minorHAnsi"/>
          <w:szCs w:val="20"/>
        </w:rPr>
        <w:t xml:space="preserve"> </w:t>
      </w:r>
      <w:r w:rsidR="00956D02">
        <w:rPr>
          <w:rFonts w:cstheme="minorHAnsi"/>
          <w:szCs w:val="20"/>
        </w:rPr>
        <w:t>I</w:t>
      </w:r>
      <w:r w:rsidRPr="00216A71">
        <w:rPr>
          <w:rFonts w:cstheme="minorHAnsi"/>
          <w:szCs w:val="20"/>
        </w:rPr>
        <w:t xml:space="preserve">t was jointly prepared by the G20, World Bank, OECD, IMF, UNCTAD, and UN-DESA. </w:t>
      </w:r>
    </w:p>
    <w:p w:rsidR="00835BC3" w:rsidRPr="00216A71" w:rsidRDefault="00835BC3" w:rsidP="00835BC3">
      <w:pPr>
        <w:rPr>
          <w:rFonts w:cstheme="minorHAnsi"/>
          <w:szCs w:val="20"/>
        </w:rPr>
      </w:pPr>
      <w:r w:rsidRPr="00216A71">
        <w:rPr>
          <w:rFonts w:cstheme="minorHAnsi"/>
          <w:szCs w:val="20"/>
        </w:rPr>
        <w:t>The paper argued that:</w:t>
      </w:r>
    </w:p>
    <w:p w:rsidR="00835BC3" w:rsidRPr="00216A71" w:rsidRDefault="00835BC3" w:rsidP="00781FBC">
      <w:pPr>
        <w:pStyle w:val="ListParagraph"/>
        <w:numPr>
          <w:ilvl w:val="0"/>
          <w:numId w:val="41"/>
        </w:numPr>
        <w:rPr>
          <w:rFonts w:cstheme="minorHAnsi"/>
          <w:szCs w:val="20"/>
        </w:rPr>
      </w:pPr>
      <w:r w:rsidRPr="00216A71">
        <w:rPr>
          <w:rFonts w:cstheme="minorHAnsi"/>
          <w:szCs w:val="20"/>
        </w:rPr>
        <w:t>PPPs have to be central to financing infrastructure because austerity limits public borrowing and IFIs have limited funds, so: “The bleak outlook for traditional financing means that governments must consider alternative financing models to leverage private capital into infrastructure.”</w:t>
      </w:r>
    </w:p>
    <w:p w:rsidR="00835BC3" w:rsidRPr="00216A71" w:rsidRDefault="00835BC3" w:rsidP="00781FBC">
      <w:pPr>
        <w:pStyle w:val="ListParagraph"/>
        <w:numPr>
          <w:ilvl w:val="0"/>
          <w:numId w:val="41"/>
        </w:numPr>
        <w:rPr>
          <w:rFonts w:cstheme="minorHAnsi"/>
          <w:szCs w:val="20"/>
        </w:rPr>
      </w:pPr>
      <w:r w:rsidRPr="00216A71">
        <w:rPr>
          <w:rFonts w:cstheme="minorHAnsi"/>
          <w:szCs w:val="20"/>
        </w:rPr>
        <w:t>Governments have to make their laws and institutions more friendly to PPPs</w:t>
      </w:r>
      <w:r w:rsidR="00956D02">
        <w:rPr>
          <w:rFonts w:cstheme="minorHAnsi"/>
          <w:szCs w:val="20"/>
        </w:rPr>
        <w:t>.</w:t>
      </w:r>
    </w:p>
    <w:p w:rsidR="000C629A" w:rsidRDefault="00835BC3" w:rsidP="00781FBC">
      <w:pPr>
        <w:pStyle w:val="ListParagraph"/>
        <w:numPr>
          <w:ilvl w:val="0"/>
          <w:numId w:val="41"/>
        </w:numPr>
        <w:rPr>
          <w:rFonts w:cstheme="minorHAnsi"/>
          <w:szCs w:val="20"/>
        </w:rPr>
      </w:pPr>
      <w:r w:rsidRPr="00216A71">
        <w:rPr>
          <w:rFonts w:cstheme="minorHAnsi"/>
          <w:szCs w:val="20"/>
        </w:rPr>
        <w:t>Pension funds and insurance companies are “a major additional source of long-term capital</w:t>
      </w:r>
      <w:r w:rsidR="00956D02">
        <w:rPr>
          <w:rFonts w:cstheme="minorHAnsi"/>
          <w:szCs w:val="20"/>
        </w:rPr>
        <w:t>,</w:t>
      </w:r>
      <w:r w:rsidRPr="00216A71">
        <w:rPr>
          <w:rFonts w:cstheme="minorHAnsi"/>
          <w:szCs w:val="20"/>
        </w:rPr>
        <w:t>” and so a key source of funds for private finance in infrastructure</w:t>
      </w:r>
      <w:r w:rsidR="00956D02">
        <w:rPr>
          <w:rFonts w:cstheme="minorHAnsi"/>
          <w:szCs w:val="20"/>
        </w:rPr>
        <w:t>.</w:t>
      </w:r>
      <w:r w:rsidRPr="00216A71">
        <w:rPr>
          <w:rStyle w:val="EndnoteReference"/>
          <w:rFonts w:cstheme="minorHAnsi"/>
          <w:szCs w:val="20"/>
        </w:rPr>
        <w:endnoteReference w:id="48"/>
      </w:r>
    </w:p>
    <w:p w:rsidR="000C629A" w:rsidRDefault="00835BC3" w:rsidP="00835BC3">
      <w:pPr>
        <w:rPr>
          <w:rFonts w:cstheme="minorHAnsi"/>
          <w:szCs w:val="20"/>
        </w:rPr>
      </w:pPr>
      <w:r w:rsidRPr="00216A71">
        <w:rPr>
          <w:rFonts w:cstheme="minorHAnsi"/>
          <w:szCs w:val="20"/>
        </w:rPr>
        <w:t>The support for PPPs was strongly challenged at the 2013 summit by civil society groups, who supported</w:t>
      </w:r>
      <w:r w:rsidR="004045AD">
        <w:rPr>
          <w:rFonts w:cstheme="minorHAnsi"/>
          <w:szCs w:val="20"/>
        </w:rPr>
        <w:t xml:space="preserve"> </w:t>
      </w:r>
      <w:r w:rsidRPr="00216A71">
        <w:rPr>
          <w:rFonts w:cstheme="minorHAnsi"/>
          <w:szCs w:val="20"/>
        </w:rPr>
        <w:t>democratically-led infrastructure development which delivered best value-for-money on economic, environmental and social co-benefits</w:t>
      </w:r>
      <w:r w:rsidR="00956D02">
        <w:rPr>
          <w:rFonts w:cstheme="minorHAnsi"/>
          <w:szCs w:val="20"/>
        </w:rPr>
        <w:t>.</w:t>
      </w:r>
      <w:r w:rsidRPr="00216A71">
        <w:rPr>
          <w:rFonts w:cstheme="minorHAnsi"/>
          <w:szCs w:val="20"/>
        </w:rPr>
        <w:t xml:space="preserve"> </w:t>
      </w:r>
      <w:r w:rsidR="00956D02">
        <w:rPr>
          <w:rFonts w:cstheme="minorHAnsi"/>
          <w:szCs w:val="20"/>
        </w:rPr>
        <w:t xml:space="preserve">They </w:t>
      </w:r>
      <w:r w:rsidRPr="00216A71">
        <w:rPr>
          <w:rFonts w:cstheme="minorHAnsi"/>
          <w:szCs w:val="20"/>
        </w:rPr>
        <w:t>argued that “the VFM approach would require the G20 to relinquish its bias in favour of PPPs</w:t>
      </w:r>
      <w:r w:rsidR="00956D02">
        <w:rPr>
          <w:rFonts w:cstheme="minorHAnsi"/>
          <w:szCs w:val="20"/>
        </w:rPr>
        <w:t>.</w:t>
      </w:r>
      <w:r w:rsidRPr="00216A71">
        <w:rPr>
          <w:rFonts w:cstheme="minorHAnsi"/>
          <w:szCs w:val="20"/>
        </w:rPr>
        <w:t>”</w:t>
      </w:r>
      <w:r w:rsidRPr="00216A71">
        <w:rPr>
          <w:rStyle w:val="EndnoteReference"/>
          <w:rFonts w:cstheme="minorHAnsi"/>
          <w:szCs w:val="20"/>
        </w:rPr>
        <w:endnoteReference w:id="49"/>
      </w:r>
    </w:p>
    <w:p w:rsidR="00835BC3" w:rsidRPr="00216A71" w:rsidRDefault="00835BC3" w:rsidP="00835BC3">
      <w:pPr>
        <w:rPr>
          <w:rFonts w:cstheme="minorHAnsi"/>
          <w:szCs w:val="20"/>
        </w:rPr>
      </w:pPr>
      <w:r w:rsidRPr="00216A71">
        <w:rPr>
          <w:rFonts w:cstheme="minorHAnsi"/>
          <w:szCs w:val="20"/>
        </w:rPr>
        <w:t>The Australian government which is hosting the 2014 G20 continues to promote this same line, asserting that the scale of infrastructure needs means that “Funding requirements of that size demand that governments work with the private sector. But the private sector will only become involved if projects are economically and financially viable. Working together to improve investment environments in G20 countries through a package of collective and individual actions will make it easier to get infrastructure projects off</w:t>
      </w:r>
      <w:r w:rsidR="004045AD">
        <w:rPr>
          <w:rFonts w:cstheme="minorHAnsi"/>
          <w:szCs w:val="20"/>
        </w:rPr>
        <w:t xml:space="preserve"> </w:t>
      </w:r>
      <w:r w:rsidRPr="00216A71">
        <w:rPr>
          <w:rFonts w:cstheme="minorHAnsi"/>
          <w:szCs w:val="20"/>
        </w:rPr>
        <w:t>the ground.”</w:t>
      </w:r>
      <w:r w:rsidRPr="00216A71">
        <w:rPr>
          <w:rStyle w:val="EndnoteReference"/>
          <w:rFonts w:cstheme="minorHAnsi"/>
          <w:szCs w:val="20"/>
        </w:rPr>
        <w:endnoteReference w:id="50"/>
      </w:r>
    </w:p>
    <w:p w:rsidR="00835BC3" w:rsidRPr="00216A71" w:rsidRDefault="00835BC3" w:rsidP="0080036E">
      <w:pPr>
        <w:pStyle w:val="Heading6"/>
        <w:rPr>
          <w:rFonts w:cstheme="minorHAnsi"/>
          <w:szCs w:val="20"/>
        </w:rPr>
      </w:pPr>
      <w:r w:rsidRPr="00216A71">
        <w:rPr>
          <w:rFonts w:cstheme="minorHAnsi"/>
          <w:szCs w:val="20"/>
        </w:rPr>
        <w:t>Challenging the G20</w:t>
      </w:r>
      <w:r w:rsidR="004045AD">
        <w:rPr>
          <w:rFonts w:cstheme="minorHAnsi"/>
          <w:szCs w:val="20"/>
        </w:rPr>
        <w:t xml:space="preserve"> </w:t>
      </w:r>
      <w:r w:rsidRPr="00216A71">
        <w:rPr>
          <w:rFonts w:cstheme="minorHAnsi"/>
          <w:szCs w:val="20"/>
        </w:rPr>
        <w:t xml:space="preserve">position on PPPs and infrastructure </w:t>
      </w:r>
    </w:p>
    <w:p w:rsidR="000C629A" w:rsidRDefault="00835BC3" w:rsidP="00835BC3">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The G20 studies centre at the Lowy Institute in Australia – responsible for co-ordinating academic inputs for Australia’s 2014 presidency of the G20</w:t>
      </w:r>
      <w:r w:rsidR="004045AD">
        <w:rPr>
          <w:rFonts w:cstheme="minorHAnsi"/>
          <w:szCs w:val="20"/>
        </w:rPr>
        <w:t xml:space="preserve"> – </w:t>
      </w:r>
      <w:r w:rsidRPr="00216A71">
        <w:rPr>
          <w:rFonts w:cstheme="minorHAnsi"/>
          <w:szCs w:val="20"/>
        </w:rPr>
        <w:t>has produced some challenges to the G20s uncritical promotion of PPPs. Its ‘Think Papers’ for the 2014 G20 summit point out that the G20’s obsession with austerity distorts policy discussion, refusing to consider public financing of infrastructure even though the private sector’s focus on high short term profitability means that “it does not seem to make much sense to emphasise public–private partnership (PPPs) so much</w:t>
      </w:r>
      <w:r w:rsidR="00956D02">
        <w:rPr>
          <w:rFonts w:cstheme="minorHAnsi"/>
          <w:szCs w:val="20"/>
        </w:rPr>
        <w:t>.</w:t>
      </w:r>
      <w:r w:rsidRPr="00216A71">
        <w:rPr>
          <w:rFonts w:cstheme="minorHAnsi"/>
          <w:szCs w:val="20"/>
        </w:rPr>
        <w:t>”</w:t>
      </w:r>
      <w:r w:rsidRPr="00216A71">
        <w:rPr>
          <w:rStyle w:val="EndnoteReference"/>
          <w:rFonts w:cstheme="minorHAnsi"/>
          <w:szCs w:val="20"/>
        </w:rPr>
        <w:endnoteReference w:id="51"/>
      </w:r>
      <w:r w:rsidRPr="00216A71">
        <w:rPr>
          <w:rFonts w:cstheme="minorHAnsi"/>
          <w:szCs w:val="20"/>
        </w:rPr>
        <w:t xml:space="preserve"> </w:t>
      </w:r>
    </w:p>
    <w:p w:rsidR="000C629A" w:rsidRDefault="00835BC3" w:rsidP="00835BC3">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Other articles</w:t>
      </w:r>
      <w:r w:rsidR="004045AD">
        <w:rPr>
          <w:rFonts w:cstheme="minorHAnsi"/>
          <w:szCs w:val="20"/>
        </w:rPr>
        <w:t xml:space="preserve"> </w:t>
      </w:r>
      <w:r w:rsidRPr="00216A71">
        <w:rPr>
          <w:rFonts w:cstheme="minorHAnsi"/>
          <w:szCs w:val="20"/>
        </w:rPr>
        <w:t>published by the centre argue that PPPs are especially bad ways of financing investment, because they are more expensive than public funding, and the notion of risk transfer is a myth</w:t>
      </w:r>
      <w:r w:rsidR="00956D02">
        <w:rPr>
          <w:rFonts w:cstheme="minorHAnsi"/>
          <w:szCs w:val="20"/>
        </w:rPr>
        <w:t>.</w:t>
      </w:r>
      <w:r w:rsidRPr="00216A71">
        <w:rPr>
          <w:rFonts w:cstheme="minorHAnsi"/>
          <w:szCs w:val="20"/>
        </w:rPr>
        <w:t xml:space="preserve"> “</w:t>
      </w:r>
      <w:r w:rsidR="00956D02">
        <w:rPr>
          <w:rFonts w:cstheme="minorHAnsi"/>
          <w:szCs w:val="20"/>
        </w:rPr>
        <w:t>T</w:t>
      </w:r>
      <w:r w:rsidRPr="00216A71">
        <w:rPr>
          <w:rFonts w:cstheme="minorHAnsi"/>
          <w:szCs w:val="20"/>
        </w:rPr>
        <w:t>he universal experience is that the private sector is particularly skilled at shifting residual risk to the public sector. When, after long experience, risk transfer was more firmly tied down (the Sydney cross-city and Lane Cove tunnels, for example) the experience led the private sector to withdraw from this PPP model.”</w:t>
      </w:r>
      <w:r w:rsidR="004045AD">
        <w:rPr>
          <w:rFonts w:cstheme="minorHAnsi"/>
          <w:szCs w:val="20"/>
        </w:rPr>
        <w:t xml:space="preserve"> </w:t>
      </w:r>
      <w:r w:rsidRPr="00216A71">
        <w:rPr>
          <w:rFonts w:cstheme="minorHAnsi"/>
          <w:szCs w:val="20"/>
        </w:rPr>
        <w:t>Private sector operation also makes projects more expensive</w:t>
      </w:r>
      <w:r w:rsidR="00956D02">
        <w:rPr>
          <w:rFonts w:cstheme="minorHAnsi"/>
          <w:szCs w:val="20"/>
        </w:rPr>
        <w:t>.</w:t>
      </w:r>
      <w:r w:rsidRPr="00216A71">
        <w:rPr>
          <w:rFonts w:cstheme="minorHAnsi"/>
          <w:szCs w:val="20"/>
        </w:rPr>
        <w:t xml:space="preserve"> “</w:t>
      </w:r>
      <w:r w:rsidR="00956D02">
        <w:rPr>
          <w:rFonts w:cstheme="minorHAnsi"/>
          <w:szCs w:val="20"/>
        </w:rPr>
        <w:t>T</w:t>
      </w:r>
      <w:r w:rsidRPr="00216A71">
        <w:rPr>
          <w:rFonts w:cstheme="minorHAnsi"/>
          <w:szCs w:val="20"/>
        </w:rPr>
        <w:t>he funding cost for a risk-free project (eg. the Sydney desalination plant, which is already operating, has a take-or-pay contract) is around twice that of a simple bond issuance</w:t>
      </w:r>
      <w:r w:rsidR="00956D02">
        <w:rPr>
          <w:rFonts w:cstheme="minorHAnsi"/>
          <w:szCs w:val="20"/>
        </w:rPr>
        <w:t>.</w:t>
      </w:r>
      <w:r w:rsidRPr="00216A71">
        <w:rPr>
          <w:rFonts w:cstheme="minorHAnsi"/>
          <w:szCs w:val="20"/>
        </w:rPr>
        <w:t>”</w:t>
      </w:r>
      <w:r w:rsidRPr="00216A71">
        <w:rPr>
          <w:rStyle w:val="EndnoteReference"/>
          <w:rFonts w:cstheme="minorHAnsi"/>
          <w:szCs w:val="20"/>
        </w:rPr>
        <w:endnoteReference w:id="52"/>
      </w:r>
    </w:p>
    <w:p w:rsidR="000C629A" w:rsidRDefault="00835BC3" w:rsidP="00835BC3">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The obsession with austerity also means that “</w:t>
      </w:r>
      <w:r w:rsidRPr="00216A71">
        <w:rPr>
          <w:rFonts w:cstheme="minorHAnsi"/>
          <w:szCs w:val="20"/>
          <w:lang w:val="en-US"/>
        </w:rPr>
        <w:t>infrastructure has fallen victim to sovereign-debt phobia. In advanced countries viable infrastructure projects are either left unimplemented or funded with more expensive private borrowing. In emerging economies the result is a debilitating lack of vital infrastructure</w:t>
      </w:r>
      <w:r w:rsidR="00956D02">
        <w:rPr>
          <w:rFonts w:cstheme="minorHAnsi"/>
          <w:szCs w:val="20"/>
          <w:lang w:val="en-US"/>
        </w:rPr>
        <w:t>.</w:t>
      </w:r>
      <w:r w:rsidRPr="00216A71">
        <w:rPr>
          <w:rFonts w:cstheme="minorHAnsi"/>
          <w:szCs w:val="20"/>
          <w:lang w:val="en-US"/>
        </w:rPr>
        <w:t>”</w:t>
      </w:r>
      <w:r w:rsidR="00956D02">
        <w:rPr>
          <w:rFonts w:cstheme="minorHAnsi"/>
          <w:szCs w:val="20"/>
          <w:lang w:val="en-US"/>
        </w:rPr>
        <w:t xml:space="preserve"> The centre</w:t>
      </w:r>
      <w:r w:rsidRPr="00216A71">
        <w:rPr>
          <w:rFonts w:cstheme="minorHAnsi"/>
          <w:szCs w:val="20"/>
          <w:lang w:val="en-US"/>
        </w:rPr>
        <w:t xml:space="preserve"> calls for </w:t>
      </w:r>
      <w:r w:rsidRPr="00216A71">
        <w:rPr>
          <w:rFonts w:cstheme="minorHAnsi"/>
          <w:szCs w:val="20"/>
        </w:rPr>
        <w:t>a complete revision of this ‘sovereign-debt phobia’ by the IMF, credit rating agencies and others.</w:t>
      </w:r>
      <w:r w:rsidRPr="00216A71">
        <w:rPr>
          <w:rStyle w:val="EndnoteReference"/>
          <w:rFonts w:cstheme="minorHAnsi"/>
          <w:szCs w:val="20"/>
        </w:rPr>
        <w:endnoteReference w:id="53"/>
      </w:r>
    </w:p>
    <w:p w:rsidR="000C629A" w:rsidRDefault="00835BC3" w:rsidP="00835BC3">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lastRenderedPageBreak/>
        <w:t xml:space="preserve">Lowy Institute G20 Studies Centre </w:t>
      </w:r>
      <w:hyperlink r:id="rId84" w:history="1">
        <w:r w:rsidRPr="00216A71">
          <w:rPr>
            <w:rStyle w:val="Hyperlink"/>
            <w:rFonts w:cstheme="minorHAnsi"/>
            <w:szCs w:val="20"/>
          </w:rPr>
          <w:t>http://www.lowyinstitute.org/programs-and-projects/g20-studies-centre</w:t>
        </w:r>
      </w:hyperlink>
      <w:r w:rsidRPr="00216A71">
        <w:rPr>
          <w:rFonts w:cstheme="minorHAnsi"/>
          <w:szCs w:val="20"/>
        </w:rPr>
        <w:t xml:space="preserve"> </w:t>
      </w:r>
    </w:p>
    <w:p w:rsidR="00835BC3" w:rsidRPr="00216A71" w:rsidRDefault="00835BC3" w:rsidP="00835BC3">
      <w:pPr>
        <w:pStyle w:val="Heading3"/>
        <w:rPr>
          <w:rFonts w:asciiTheme="minorHAnsi" w:hAnsiTheme="minorHAnsi" w:cstheme="minorHAnsi"/>
          <w:szCs w:val="20"/>
        </w:rPr>
      </w:pPr>
      <w:r w:rsidRPr="00216A71">
        <w:rPr>
          <w:rFonts w:asciiTheme="minorHAnsi" w:hAnsiTheme="minorHAnsi" w:cstheme="minorHAnsi"/>
          <w:szCs w:val="20"/>
        </w:rPr>
        <w:t>Others: OECD, UNECE</w:t>
      </w:r>
      <w:r w:rsidR="009970FD" w:rsidRPr="00216A71">
        <w:rPr>
          <w:rFonts w:asciiTheme="minorHAnsi" w:hAnsiTheme="minorHAnsi" w:cstheme="minorHAnsi"/>
          <w:szCs w:val="20"/>
        </w:rPr>
        <w:t>, UNDP</w:t>
      </w:r>
    </w:p>
    <w:p w:rsidR="000C629A" w:rsidRDefault="00835BC3" w:rsidP="00835BC3">
      <w:pPr>
        <w:rPr>
          <w:rFonts w:cstheme="minorHAnsi"/>
          <w:szCs w:val="20"/>
        </w:rPr>
      </w:pPr>
      <w:r w:rsidRPr="00216A71">
        <w:rPr>
          <w:rFonts w:cstheme="minorHAnsi"/>
          <w:szCs w:val="20"/>
        </w:rPr>
        <w:t>The OECD</w:t>
      </w:r>
      <w:r w:rsidR="009970FD" w:rsidRPr="00216A71">
        <w:rPr>
          <w:rFonts w:cstheme="minorHAnsi"/>
          <w:szCs w:val="20"/>
        </w:rPr>
        <w:t xml:space="preserve"> and various UN agencies play a mixed role in respect of PPPs. </w:t>
      </w:r>
    </w:p>
    <w:p w:rsidR="000C629A" w:rsidRDefault="009970FD" w:rsidP="00835BC3">
      <w:pPr>
        <w:rPr>
          <w:rFonts w:cstheme="minorHAnsi"/>
          <w:szCs w:val="20"/>
        </w:rPr>
      </w:pPr>
      <w:r w:rsidRPr="00216A71">
        <w:rPr>
          <w:rFonts w:cstheme="minorHAnsi"/>
          <w:szCs w:val="20"/>
        </w:rPr>
        <w:t>The OECD</w:t>
      </w:r>
      <w:r w:rsidR="00835BC3" w:rsidRPr="00216A71">
        <w:rPr>
          <w:rFonts w:cstheme="minorHAnsi"/>
          <w:szCs w:val="20"/>
        </w:rPr>
        <w:t xml:space="preserve"> publishes a number of reports about PPPs and how they can be delivered</w:t>
      </w:r>
      <w:r w:rsidRPr="00216A71">
        <w:rPr>
          <w:rFonts w:cstheme="minorHAnsi"/>
          <w:szCs w:val="20"/>
        </w:rPr>
        <w:t>, and</w:t>
      </w:r>
      <w:r w:rsidR="004045AD">
        <w:rPr>
          <w:rFonts w:cstheme="minorHAnsi"/>
          <w:szCs w:val="20"/>
        </w:rPr>
        <w:t xml:space="preserve"> </w:t>
      </w:r>
      <w:r w:rsidR="00835BC3" w:rsidRPr="00216A71">
        <w:rPr>
          <w:rFonts w:cstheme="minorHAnsi"/>
          <w:szCs w:val="20"/>
        </w:rPr>
        <w:t>organises an annual meeting on PPPs to review progress and prospects</w:t>
      </w:r>
      <w:r w:rsidRPr="00216A71">
        <w:rPr>
          <w:rFonts w:cstheme="minorHAnsi"/>
          <w:szCs w:val="20"/>
        </w:rPr>
        <w:t xml:space="preserve"> for more PPPs (</w:t>
      </w:r>
      <w:r w:rsidR="00835BC3" w:rsidRPr="00216A71">
        <w:rPr>
          <w:rFonts w:cstheme="minorHAnsi"/>
          <w:szCs w:val="20"/>
        </w:rPr>
        <w:t>one of the few meetings at which trade unions are represented</w:t>
      </w:r>
      <w:r w:rsidRPr="00216A71">
        <w:rPr>
          <w:rFonts w:cstheme="minorHAnsi"/>
          <w:szCs w:val="20"/>
        </w:rPr>
        <w:t xml:space="preserve"> </w:t>
      </w:r>
      <w:r w:rsidR="00835BC3" w:rsidRPr="00216A71">
        <w:rPr>
          <w:rFonts w:cstheme="minorHAnsi"/>
          <w:szCs w:val="20"/>
        </w:rPr>
        <w:t>through the OECD’s trade union advisory committee</w:t>
      </w:r>
      <w:r w:rsidR="00956D02">
        <w:rPr>
          <w:rFonts w:cstheme="minorHAnsi"/>
          <w:szCs w:val="20"/>
        </w:rPr>
        <w:t>).</w:t>
      </w:r>
      <w:r w:rsidRPr="00216A71">
        <w:rPr>
          <w:rStyle w:val="EndnoteReference"/>
          <w:rFonts w:cstheme="minorHAnsi"/>
          <w:szCs w:val="20"/>
        </w:rPr>
        <w:endnoteReference w:id="54"/>
      </w:r>
      <w:r w:rsidR="004045AD">
        <w:rPr>
          <w:rFonts w:cstheme="minorHAnsi"/>
          <w:szCs w:val="20"/>
        </w:rPr>
        <w:t xml:space="preserve"> </w:t>
      </w:r>
      <w:r w:rsidRPr="00216A71">
        <w:rPr>
          <w:rFonts w:cstheme="minorHAnsi"/>
          <w:szCs w:val="20"/>
        </w:rPr>
        <w:t>It has however published guidelines on PPPs which clearly present some of the major problems, and it has agreed an official set of “Principles for Public Governance of PPPs” which include recommendations on disclosure of information an</w:t>
      </w:r>
      <w:r w:rsidR="00277AAA" w:rsidRPr="00216A71">
        <w:rPr>
          <w:rFonts w:cstheme="minorHAnsi"/>
          <w:szCs w:val="20"/>
        </w:rPr>
        <w:t xml:space="preserve">d focussing on value for money </w:t>
      </w:r>
      <w:r w:rsidRPr="00216A71">
        <w:rPr>
          <w:rFonts w:cstheme="minorHAnsi"/>
          <w:szCs w:val="20"/>
        </w:rPr>
        <w:t>(see annexe)</w:t>
      </w:r>
      <w:r w:rsidR="00277AAA" w:rsidRPr="00216A71">
        <w:rPr>
          <w:rFonts w:cstheme="minorHAnsi"/>
          <w:szCs w:val="20"/>
        </w:rPr>
        <w:t>.</w:t>
      </w:r>
    </w:p>
    <w:p w:rsidR="00835BC3" w:rsidRPr="00216A71" w:rsidRDefault="009F184B" w:rsidP="00835BC3">
      <w:pPr>
        <w:rPr>
          <w:rFonts w:cstheme="minorHAnsi"/>
          <w:szCs w:val="20"/>
        </w:rPr>
      </w:pPr>
      <w:r w:rsidRPr="00216A71">
        <w:rPr>
          <w:rFonts w:cstheme="minorHAnsi"/>
          <w:szCs w:val="20"/>
        </w:rPr>
        <w:t xml:space="preserve">The </w:t>
      </w:r>
      <w:r w:rsidR="00835BC3" w:rsidRPr="00216A71">
        <w:rPr>
          <w:rFonts w:cstheme="minorHAnsi"/>
          <w:szCs w:val="20"/>
        </w:rPr>
        <w:t xml:space="preserve">UN economic </w:t>
      </w:r>
      <w:r w:rsidRPr="00216A71">
        <w:rPr>
          <w:rFonts w:cstheme="minorHAnsi"/>
          <w:szCs w:val="20"/>
        </w:rPr>
        <w:t>co</w:t>
      </w:r>
      <w:r w:rsidR="00142F25" w:rsidRPr="00216A71">
        <w:rPr>
          <w:rFonts w:cstheme="minorHAnsi"/>
          <w:szCs w:val="20"/>
        </w:rPr>
        <w:t xml:space="preserve">mmission </w:t>
      </w:r>
      <w:r w:rsidRPr="00216A71">
        <w:rPr>
          <w:rFonts w:cstheme="minorHAnsi"/>
          <w:szCs w:val="20"/>
        </w:rPr>
        <w:t xml:space="preserve">for Europe (UNECE) </w:t>
      </w:r>
      <w:r w:rsidR="00835BC3" w:rsidRPr="00216A71">
        <w:rPr>
          <w:rFonts w:cstheme="minorHAnsi"/>
          <w:szCs w:val="20"/>
        </w:rPr>
        <w:t>has played an important role in the global promotion of PPPs since 2009, when it argued for a coordinated global promotion of PPP</w:t>
      </w:r>
      <w:r w:rsidR="00F12B0C">
        <w:rPr>
          <w:rFonts w:cstheme="minorHAnsi"/>
          <w:szCs w:val="20"/>
        </w:rPr>
        <w:t>s</w:t>
      </w:r>
      <w:r w:rsidR="00835BC3" w:rsidRPr="00216A71">
        <w:rPr>
          <w:rFonts w:cstheme="minorHAnsi"/>
          <w:szCs w:val="20"/>
        </w:rPr>
        <w:t xml:space="preserve"> at an international conference involving the World Bank, ADB, UNECE and various Asian governments – as noted at the end of the introduction.</w:t>
      </w:r>
      <w:r w:rsidR="004045AD">
        <w:rPr>
          <w:rFonts w:cstheme="minorHAnsi"/>
          <w:szCs w:val="20"/>
        </w:rPr>
        <w:t xml:space="preserve"> </w:t>
      </w:r>
      <w:r w:rsidR="00835BC3" w:rsidRPr="00216A71">
        <w:rPr>
          <w:rFonts w:cstheme="minorHAnsi"/>
          <w:szCs w:val="20"/>
        </w:rPr>
        <w:t>Since 2010, it has organised conferences to promote PPPs in Russia and central Asian countries, in Ukraine, and in South-east Europe.</w:t>
      </w:r>
      <w:r w:rsidR="00835BC3" w:rsidRPr="00216A71">
        <w:rPr>
          <w:rStyle w:val="EndnoteReference"/>
          <w:rFonts w:cstheme="minorHAnsi"/>
          <w:szCs w:val="20"/>
        </w:rPr>
        <w:endnoteReference w:id="55"/>
      </w:r>
      <w:r w:rsidR="00835BC3" w:rsidRPr="00216A71">
        <w:rPr>
          <w:rFonts w:cstheme="minorHAnsi"/>
          <w:szCs w:val="20"/>
        </w:rPr>
        <w:t xml:space="preserve"> </w:t>
      </w:r>
    </w:p>
    <w:p w:rsidR="000E505F" w:rsidRPr="00216A71" w:rsidRDefault="000E505F" w:rsidP="000E505F">
      <w:pPr>
        <w:pStyle w:val="Heading2"/>
        <w:rPr>
          <w:rFonts w:asciiTheme="minorHAnsi" w:hAnsiTheme="minorHAnsi" w:cstheme="minorHAnsi"/>
          <w:szCs w:val="20"/>
        </w:rPr>
      </w:pPr>
      <w:bookmarkStart w:id="15" w:name="_Toc392857527"/>
      <w:r w:rsidRPr="00216A71">
        <w:rPr>
          <w:rFonts w:asciiTheme="minorHAnsi" w:hAnsiTheme="minorHAnsi" w:cstheme="minorHAnsi"/>
          <w:szCs w:val="20"/>
        </w:rPr>
        <w:t>EU, Governments and austerity: subsidising/encouraging PPPs</w:t>
      </w:r>
      <w:bookmarkEnd w:id="15"/>
    </w:p>
    <w:p w:rsidR="007D6101" w:rsidRPr="00216A71" w:rsidRDefault="00825741" w:rsidP="00825741">
      <w:pPr>
        <w:pStyle w:val="Heading3"/>
        <w:rPr>
          <w:rFonts w:asciiTheme="minorHAnsi" w:hAnsiTheme="minorHAnsi" w:cstheme="minorHAnsi"/>
          <w:szCs w:val="20"/>
        </w:rPr>
      </w:pPr>
      <w:r w:rsidRPr="00216A71">
        <w:rPr>
          <w:rFonts w:asciiTheme="minorHAnsi" w:hAnsiTheme="minorHAnsi" w:cstheme="minorHAnsi"/>
          <w:szCs w:val="20"/>
        </w:rPr>
        <w:t xml:space="preserve">European </w:t>
      </w:r>
      <w:r w:rsidR="00A54D47" w:rsidRPr="00216A71">
        <w:rPr>
          <w:rFonts w:asciiTheme="minorHAnsi" w:hAnsiTheme="minorHAnsi" w:cstheme="minorHAnsi"/>
          <w:szCs w:val="20"/>
        </w:rPr>
        <w:t>Union</w:t>
      </w:r>
    </w:p>
    <w:p w:rsidR="000C629A" w:rsidRDefault="007D6101" w:rsidP="007D6101">
      <w:pPr>
        <w:rPr>
          <w:rFonts w:cstheme="minorHAnsi"/>
          <w:szCs w:val="20"/>
        </w:rPr>
      </w:pPr>
      <w:r w:rsidRPr="00216A71">
        <w:rPr>
          <w:rFonts w:cstheme="minorHAnsi"/>
          <w:bCs/>
          <w:szCs w:val="20"/>
        </w:rPr>
        <w:t>The European Commission is also actively promoting PPPs, despite the</w:t>
      </w:r>
      <w:r w:rsidR="000F2640" w:rsidRPr="00216A71">
        <w:rPr>
          <w:rFonts w:cstheme="minorHAnsi"/>
          <w:bCs/>
          <w:szCs w:val="20"/>
        </w:rPr>
        <w:t xml:space="preserve"> experience of Portugal and Cyp</w:t>
      </w:r>
      <w:r w:rsidRPr="00216A71">
        <w:rPr>
          <w:rFonts w:cstheme="minorHAnsi"/>
          <w:bCs/>
          <w:szCs w:val="20"/>
        </w:rPr>
        <w:t>rus where PPPs were identified as part of their fiscal problems.</w:t>
      </w:r>
      <w:r w:rsidR="004045AD">
        <w:rPr>
          <w:rFonts w:cstheme="minorHAnsi"/>
          <w:szCs w:val="20"/>
        </w:rPr>
        <w:t xml:space="preserve"> </w:t>
      </w:r>
      <w:r w:rsidR="002D465B" w:rsidRPr="00216A71">
        <w:rPr>
          <w:rFonts w:cstheme="minorHAnsi"/>
          <w:szCs w:val="20"/>
        </w:rPr>
        <w:t>This promotion and support includes:</w:t>
      </w:r>
    </w:p>
    <w:p w:rsidR="002D465B" w:rsidRPr="00216A71" w:rsidRDefault="00F12B0C" w:rsidP="00781FBC">
      <w:pPr>
        <w:pStyle w:val="ListParagraph"/>
        <w:numPr>
          <w:ilvl w:val="0"/>
          <w:numId w:val="40"/>
        </w:numPr>
        <w:rPr>
          <w:rFonts w:cstheme="minorHAnsi"/>
          <w:szCs w:val="20"/>
        </w:rPr>
      </w:pPr>
      <w:r>
        <w:rPr>
          <w:rFonts w:cstheme="minorHAnsi"/>
          <w:szCs w:val="20"/>
        </w:rPr>
        <w:t>T</w:t>
      </w:r>
      <w:r w:rsidR="002D465B" w:rsidRPr="00216A71">
        <w:rPr>
          <w:rFonts w:cstheme="minorHAnsi"/>
          <w:szCs w:val="20"/>
        </w:rPr>
        <w:t>he biggest attraction of PPPs for governments is that they can be classified as private not public debt, and the EU makes this easy by a Eurostat rule which</w:t>
      </w:r>
      <w:r w:rsidR="004045AD">
        <w:rPr>
          <w:rFonts w:cstheme="minorHAnsi"/>
          <w:szCs w:val="20"/>
        </w:rPr>
        <w:t xml:space="preserve"> </w:t>
      </w:r>
      <w:r w:rsidR="002D465B" w:rsidRPr="00216A71">
        <w:rPr>
          <w:rFonts w:cstheme="minorHAnsi"/>
          <w:szCs w:val="20"/>
        </w:rPr>
        <w:t>specifies that, as long as the private sector bears construction risk and availability risk, then the finance will not count as government debt. This is an easy test to meet, as the IMF has warned, and so PPPs are always attractive to governments as a way of hiding borrowing, even if they are providing</w:t>
      </w:r>
      <w:r w:rsidR="004045AD">
        <w:rPr>
          <w:rFonts w:cstheme="minorHAnsi"/>
          <w:szCs w:val="20"/>
        </w:rPr>
        <w:t xml:space="preserve"> </w:t>
      </w:r>
      <w:r w:rsidR="002D465B" w:rsidRPr="00216A71">
        <w:rPr>
          <w:rFonts w:cstheme="minorHAnsi"/>
          <w:szCs w:val="20"/>
        </w:rPr>
        <w:t>guarantees</w:t>
      </w:r>
      <w:r w:rsidR="00405159" w:rsidRPr="00216A71">
        <w:rPr>
          <w:rFonts w:cstheme="minorHAnsi"/>
          <w:szCs w:val="20"/>
        </w:rPr>
        <w:t xml:space="preserve"> (although the Eurostat now takes some account of such guarantees as well).</w:t>
      </w:r>
      <w:r w:rsidR="00405159" w:rsidRPr="00216A71">
        <w:rPr>
          <w:rStyle w:val="EndnoteReference"/>
          <w:rFonts w:cstheme="minorHAnsi"/>
          <w:szCs w:val="20"/>
        </w:rPr>
        <w:endnoteReference w:id="56"/>
      </w:r>
    </w:p>
    <w:p w:rsidR="00405159" w:rsidRPr="00216A71" w:rsidRDefault="00405159" w:rsidP="00781FBC">
      <w:pPr>
        <w:pStyle w:val="ListParagraph"/>
        <w:numPr>
          <w:ilvl w:val="0"/>
          <w:numId w:val="40"/>
        </w:numPr>
        <w:rPr>
          <w:rFonts w:cstheme="minorHAnsi"/>
          <w:szCs w:val="20"/>
        </w:rPr>
      </w:pPr>
      <w:r w:rsidRPr="00216A71">
        <w:rPr>
          <w:rFonts w:cstheme="minorHAnsi"/>
          <w:bCs/>
          <w:iCs/>
          <w:szCs w:val="20"/>
        </w:rPr>
        <w:t xml:space="preserve">Project bonds, which enable PPPs to raise finance underwritten by an EU/EIB guarantee, which effectively raise money </w:t>
      </w:r>
      <w:r w:rsidR="000F2640" w:rsidRPr="00216A71">
        <w:rPr>
          <w:rFonts w:cstheme="minorHAnsi"/>
          <w:bCs/>
          <w:iCs/>
          <w:szCs w:val="20"/>
        </w:rPr>
        <w:t xml:space="preserve">at </w:t>
      </w:r>
      <w:r w:rsidRPr="00216A71">
        <w:rPr>
          <w:rFonts w:cstheme="minorHAnsi"/>
          <w:bCs/>
          <w:iCs/>
          <w:szCs w:val="20"/>
        </w:rPr>
        <w:t xml:space="preserve">low-risk public finance rates </w:t>
      </w:r>
      <w:r w:rsidR="00C50D9C" w:rsidRPr="00216A71">
        <w:rPr>
          <w:rFonts w:cstheme="minorHAnsi"/>
          <w:bCs/>
          <w:iCs/>
          <w:szCs w:val="20"/>
        </w:rPr>
        <w:t>for</w:t>
      </w:r>
      <w:r w:rsidRPr="00216A71">
        <w:rPr>
          <w:rFonts w:cstheme="minorHAnsi"/>
          <w:bCs/>
          <w:iCs/>
          <w:szCs w:val="20"/>
        </w:rPr>
        <w:t xml:space="preserve"> private companies which could not raise such finance themselves.</w:t>
      </w:r>
      <w:r w:rsidR="00C50D9C" w:rsidRPr="00216A71">
        <w:rPr>
          <w:rFonts w:cstheme="minorHAnsi"/>
          <w:bCs/>
          <w:iCs/>
          <w:szCs w:val="20"/>
        </w:rPr>
        <w:t xml:space="preserve"> The stated aim is “to enhance the credit standing of private entities that need to raise private funds for the infrastr</w:t>
      </w:r>
      <w:r w:rsidR="00277AAA" w:rsidRPr="00216A71">
        <w:rPr>
          <w:rFonts w:cstheme="minorHAnsi"/>
          <w:bCs/>
          <w:iCs/>
          <w:szCs w:val="20"/>
        </w:rPr>
        <w:t>ucture projects they promote.”</w:t>
      </w:r>
      <w:r w:rsidR="00C50D9C" w:rsidRPr="00216A71">
        <w:rPr>
          <w:rStyle w:val="EndnoteReference"/>
          <w:rFonts w:cstheme="minorHAnsi"/>
          <w:bCs/>
          <w:iCs/>
          <w:szCs w:val="20"/>
        </w:rPr>
        <w:endnoteReference w:id="57"/>
      </w:r>
      <w:r w:rsidRPr="00216A71">
        <w:rPr>
          <w:rFonts w:cstheme="minorHAnsi"/>
          <w:bCs/>
          <w:iCs/>
          <w:szCs w:val="20"/>
        </w:rPr>
        <w:t xml:space="preserve"> </w:t>
      </w:r>
    </w:p>
    <w:p w:rsidR="00C50D9C" w:rsidRPr="00216A71" w:rsidRDefault="00405159" w:rsidP="00781FBC">
      <w:pPr>
        <w:pStyle w:val="ListParagraph"/>
        <w:numPr>
          <w:ilvl w:val="0"/>
          <w:numId w:val="40"/>
        </w:numPr>
        <w:rPr>
          <w:rFonts w:cstheme="minorHAnsi"/>
          <w:szCs w:val="20"/>
        </w:rPr>
      </w:pPr>
      <w:r w:rsidRPr="00216A71">
        <w:rPr>
          <w:rFonts w:cstheme="minorHAnsi"/>
          <w:bCs/>
          <w:iCs/>
          <w:szCs w:val="20"/>
        </w:rPr>
        <w:t xml:space="preserve">Further guarantees for transport projects which fit into the EU </w:t>
      </w:r>
      <w:r w:rsidR="00C50D9C" w:rsidRPr="00216A71">
        <w:rPr>
          <w:rFonts w:cstheme="minorHAnsi"/>
          <w:bCs/>
          <w:iCs/>
          <w:szCs w:val="20"/>
        </w:rPr>
        <w:t>transport or energy schemes (</w:t>
      </w:r>
      <w:r w:rsidRPr="00216A71">
        <w:rPr>
          <w:rFonts w:cstheme="minorHAnsi"/>
          <w:bCs/>
          <w:iCs/>
          <w:szCs w:val="20"/>
        </w:rPr>
        <w:t xml:space="preserve">TEN-T </w:t>
      </w:r>
      <w:r w:rsidR="00C50D9C" w:rsidRPr="00216A71">
        <w:rPr>
          <w:rFonts w:cstheme="minorHAnsi"/>
          <w:bCs/>
          <w:iCs/>
          <w:szCs w:val="20"/>
        </w:rPr>
        <w:t>or TEN-E)</w:t>
      </w:r>
      <w:r w:rsidRPr="00216A71">
        <w:rPr>
          <w:rFonts w:cstheme="minorHAnsi"/>
          <w:bCs/>
          <w:iCs/>
          <w:szCs w:val="20"/>
        </w:rPr>
        <w:t xml:space="preserve">, through Loan Guarantee Instrument for ten-T </w:t>
      </w:r>
      <w:r w:rsidR="00C50D9C" w:rsidRPr="00216A71">
        <w:rPr>
          <w:rFonts w:cstheme="minorHAnsi"/>
          <w:bCs/>
          <w:iCs/>
          <w:szCs w:val="20"/>
        </w:rPr>
        <w:t>Projects (LGTT)</w:t>
      </w:r>
      <w:r w:rsidR="00277AAA" w:rsidRPr="00216A71">
        <w:rPr>
          <w:rFonts w:cstheme="minorHAnsi"/>
          <w:bCs/>
          <w:iCs/>
          <w:szCs w:val="20"/>
        </w:rPr>
        <w:t>.</w:t>
      </w:r>
      <w:r w:rsidR="00C50D9C" w:rsidRPr="00216A71">
        <w:rPr>
          <w:rStyle w:val="EndnoteReference"/>
          <w:rFonts w:cstheme="minorHAnsi"/>
          <w:bCs/>
          <w:iCs/>
          <w:szCs w:val="20"/>
        </w:rPr>
        <w:t xml:space="preserve"> </w:t>
      </w:r>
      <w:r w:rsidR="00C50D9C" w:rsidRPr="00216A71">
        <w:rPr>
          <w:rStyle w:val="EndnoteReference"/>
          <w:rFonts w:cstheme="minorHAnsi"/>
          <w:bCs/>
          <w:iCs/>
          <w:szCs w:val="20"/>
        </w:rPr>
        <w:endnoteReference w:id="58"/>
      </w:r>
    </w:p>
    <w:p w:rsidR="00C50D9C" w:rsidRPr="00216A71" w:rsidRDefault="00C50D9C" w:rsidP="00781FBC">
      <w:pPr>
        <w:pStyle w:val="ListParagraph"/>
        <w:numPr>
          <w:ilvl w:val="0"/>
          <w:numId w:val="40"/>
        </w:numPr>
        <w:rPr>
          <w:rFonts w:cstheme="minorHAnsi"/>
          <w:szCs w:val="20"/>
        </w:rPr>
      </w:pPr>
      <w:r w:rsidRPr="00216A71">
        <w:rPr>
          <w:rFonts w:cstheme="minorHAnsi"/>
          <w:bCs/>
          <w:iCs/>
          <w:szCs w:val="20"/>
        </w:rPr>
        <w:t>Making it easier for PPPs to access €55</w:t>
      </w:r>
      <w:r w:rsidR="008F1153" w:rsidRPr="00216A71">
        <w:rPr>
          <w:rFonts w:cstheme="minorHAnsi"/>
          <w:bCs/>
          <w:iCs/>
          <w:szCs w:val="20"/>
        </w:rPr>
        <w:t xml:space="preserve"> </w:t>
      </w:r>
      <w:r w:rsidRPr="00216A71">
        <w:rPr>
          <w:rFonts w:cstheme="minorHAnsi"/>
          <w:bCs/>
          <w:iCs/>
          <w:szCs w:val="20"/>
        </w:rPr>
        <w:t>billion of EU structural funds, which are intended to help governments develop necessary infrastructure</w:t>
      </w:r>
      <w:r w:rsidR="00277AAA" w:rsidRPr="00216A71">
        <w:rPr>
          <w:rFonts w:cstheme="minorHAnsi"/>
          <w:bCs/>
          <w:iCs/>
          <w:szCs w:val="20"/>
        </w:rPr>
        <w:t>.</w:t>
      </w:r>
      <w:r w:rsidRPr="00216A71">
        <w:rPr>
          <w:rStyle w:val="EndnoteReference"/>
          <w:rFonts w:cstheme="minorHAnsi"/>
          <w:bCs/>
          <w:iCs/>
          <w:szCs w:val="20"/>
        </w:rPr>
        <w:endnoteReference w:id="59"/>
      </w:r>
    </w:p>
    <w:p w:rsidR="005C37EF" w:rsidRPr="00216A71" w:rsidRDefault="005C37EF" w:rsidP="00781FBC">
      <w:pPr>
        <w:pStyle w:val="ListParagraph"/>
        <w:numPr>
          <w:ilvl w:val="0"/>
          <w:numId w:val="40"/>
        </w:numPr>
        <w:rPr>
          <w:rFonts w:cstheme="minorHAnsi"/>
          <w:szCs w:val="20"/>
        </w:rPr>
      </w:pPr>
      <w:r w:rsidRPr="00216A71">
        <w:rPr>
          <w:rFonts w:cstheme="minorHAnsi"/>
          <w:bCs/>
          <w:iCs/>
          <w:szCs w:val="20"/>
        </w:rPr>
        <w:t>Increasing the capi</w:t>
      </w:r>
      <w:r w:rsidR="002A17DD" w:rsidRPr="00216A71">
        <w:rPr>
          <w:rFonts w:cstheme="minorHAnsi"/>
          <w:bCs/>
          <w:iCs/>
          <w:szCs w:val="20"/>
        </w:rPr>
        <w:t>t</w:t>
      </w:r>
      <w:r w:rsidRPr="00216A71">
        <w:rPr>
          <w:rFonts w:cstheme="minorHAnsi"/>
          <w:bCs/>
          <w:iCs/>
          <w:szCs w:val="20"/>
        </w:rPr>
        <w:t>al of the EIB by €10</w:t>
      </w:r>
      <w:r w:rsidR="008F1153" w:rsidRPr="00216A71">
        <w:rPr>
          <w:rFonts w:cstheme="minorHAnsi"/>
          <w:bCs/>
          <w:iCs/>
          <w:szCs w:val="20"/>
        </w:rPr>
        <w:t xml:space="preserve"> </w:t>
      </w:r>
      <w:r w:rsidRPr="00216A71">
        <w:rPr>
          <w:rFonts w:cstheme="minorHAnsi"/>
          <w:bCs/>
          <w:iCs/>
          <w:szCs w:val="20"/>
        </w:rPr>
        <w:t xml:space="preserve">billion to </w:t>
      </w:r>
      <w:r w:rsidR="00835BC3" w:rsidRPr="00216A71">
        <w:rPr>
          <w:rFonts w:cstheme="minorHAnsi"/>
          <w:bCs/>
          <w:iCs/>
          <w:szCs w:val="20"/>
        </w:rPr>
        <w:t>e</w:t>
      </w:r>
      <w:r w:rsidRPr="00216A71">
        <w:rPr>
          <w:rFonts w:cstheme="minorHAnsi"/>
          <w:bCs/>
          <w:iCs/>
          <w:szCs w:val="20"/>
        </w:rPr>
        <w:t>nable it to make more loans at low-interest public finance rates</w:t>
      </w:r>
      <w:r w:rsidR="00277AAA" w:rsidRPr="00216A71">
        <w:rPr>
          <w:rFonts w:cstheme="minorHAnsi"/>
          <w:bCs/>
          <w:iCs/>
          <w:szCs w:val="20"/>
        </w:rPr>
        <w:t>.</w:t>
      </w:r>
      <w:r w:rsidRPr="00216A71">
        <w:rPr>
          <w:rStyle w:val="EndnoteReference"/>
          <w:rFonts w:cstheme="minorHAnsi"/>
          <w:bCs/>
          <w:iCs/>
          <w:szCs w:val="20"/>
        </w:rPr>
        <w:endnoteReference w:id="60"/>
      </w:r>
    </w:p>
    <w:p w:rsidR="002D465B" w:rsidRPr="00216A71" w:rsidRDefault="00C50D9C" w:rsidP="00781FBC">
      <w:pPr>
        <w:pStyle w:val="ListParagraph"/>
        <w:numPr>
          <w:ilvl w:val="0"/>
          <w:numId w:val="40"/>
        </w:numPr>
        <w:rPr>
          <w:rFonts w:cstheme="minorHAnsi"/>
          <w:szCs w:val="20"/>
        </w:rPr>
      </w:pPr>
      <w:r w:rsidRPr="00216A71">
        <w:rPr>
          <w:rFonts w:cstheme="minorHAnsi"/>
          <w:bCs/>
          <w:iCs/>
          <w:szCs w:val="20"/>
        </w:rPr>
        <w:t>Grants for c</w:t>
      </w:r>
      <w:r w:rsidR="00405159" w:rsidRPr="00216A71">
        <w:rPr>
          <w:rFonts w:cstheme="minorHAnsi"/>
          <w:bCs/>
          <w:iCs/>
          <w:szCs w:val="20"/>
        </w:rPr>
        <w:t xml:space="preserve">onstruction cost </w:t>
      </w:r>
      <w:r w:rsidRPr="00216A71">
        <w:rPr>
          <w:rFonts w:cstheme="minorHAnsi"/>
          <w:bCs/>
          <w:iCs/>
          <w:szCs w:val="20"/>
        </w:rPr>
        <w:t>for projects which fit into the TEN-T or TEN-E schemes</w:t>
      </w:r>
      <w:r w:rsidR="00277AAA" w:rsidRPr="00216A71">
        <w:rPr>
          <w:rFonts w:cstheme="minorHAnsi"/>
          <w:bCs/>
          <w:iCs/>
          <w:szCs w:val="20"/>
        </w:rPr>
        <w:t>.</w:t>
      </w:r>
      <w:r w:rsidRPr="00216A71">
        <w:rPr>
          <w:rStyle w:val="EndnoteReference"/>
          <w:rFonts w:cstheme="minorHAnsi"/>
          <w:bCs/>
          <w:iCs/>
          <w:szCs w:val="20"/>
        </w:rPr>
        <w:endnoteReference w:id="61"/>
      </w:r>
      <w:r w:rsidRPr="00216A71">
        <w:rPr>
          <w:rFonts w:cstheme="minorHAnsi"/>
          <w:bCs/>
          <w:iCs/>
          <w:szCs w:val="20"/>
        </w:rPr>
        <w:t xml:space="preserve"> </w:t>
      </w:r>
    </w:p>
    <w:p w:rsidR="000C629A" w:rsidRDefault="001E6DEB" w:rsidP="00781FBC">
      <w:pPr>
        <w:pStyle w:val="ListParagraph"/>
        <w:numPr>
          <w:ilvl w:val="0"/>
          <w:numId w:val="40"/>
        </w:numPr>
        <w:rPr>
          <w:rFonts w:cstheme="minorHAnsi"/>
          <w:szCs w:val="20"/>
        </w:rPr>
      </w:pPr>
      <w:r w:rsidRPr="00216A71">
        <w:rPr>
          <w:rFonts w:cstheme="minorHAnsi"/>
          <w:szCs w:val="20"/>
        </w:rPr>
        <w:t xml:space="preserve">The EC and the EIB jointly fund the </w:t>
      </w:r>
      <w:hyperlink r:id="rId85" w:history="1">
        <w:r w:rsidRPr="00216A71">
          <w:rPr>
            <w:rStyle w:val="Hyperlink"/>
            <w:rFonts w:cstheme="minorHAnsi"/>
            <w:szCs w:val="20"/>
          </w:rPr>
          <w:t>European PPP Expertise Centre (</w:t>
        </w:r>
        <w:r w:rsidR="00FF6D63" w:rsidRPr="00216A71">
          <w:rPr>
            <w:rStyle w:val="Hyperlink"/>
            <w:rFonts w:cstheme="minorHAnsi"/>
            <w:szCs w:val="20"/>
          </w:rPr>
          <w:t>EPEC)</w:t>
        </w:r>
      </w:hyperlink>
      <w:r w:rsidRPr="00216A71">
        <w:rPr>
          <w:rFonts w:cstheme="minorHAnsi"/>
          <w:szCs w:val="20"/>
        </w:rPr>
        <w:t xml:space="preserve"> to advise on </w:t>
      </w:r>
      <w:r w:rsidR="00A54D47" w:rsidRPr="00216A71">
        <w:rPr>
          <w:rFonts w:cstheme="minorHAnsi"/>
          <w:szCs w:val="20"/>
        </w:rPr>
        <w:t xml:space="preserve">how to set up and implement </w:t>
      </w:r>
      <w:r w:rsidRPr="00216A71">
        <w:rPr>
          <w:rFonts w:cstheme="minorHAnsi"/>
          <w:szCs w:val="20"/>
        </w:rPr>
        <w:t>PPPs.</w:t>
      </w:r>
      <w:r w:rsidR="004045AD">
        <w:rPr>
          <w:rFonts w:cstheme="minorHAnsi"/>
          <w:szCs w:val="20"/>
        </w:rPr>
        <w:t xml:space="preserve"> </w:t>
      </w:r>
    </w:p>
    <w:p w:rsidR="000C629A" w:rsidRDefault="0078248B" w:rsidP="0078248B">
      <w:pPr>
        <w:pStyle w:val="Heading3"/>
        <w:rPr>
          <w:rFonts w:asciiTheme="minorHAnsi" w:hAnsiTheme="minorHAnsi" w:cstheme="minorHAnsi"/>
          <w:szCs w:val="20"/>
        </w:rPr>
      </w:pPr>
      <w:r w:rsidRPr="00216A71">
        <w:rPr>
          <w:rFonts w:asciiTheme="minorHAnsi" w:hAnsiTheme="minorHAnsi" w:cstheme="minorHAnsi"/>
          <w:szCs w:val="20"/>
        </w:rPr>
        <w:t>The EU development banks: EIB, EBRD</w:t>
      </w:r>
    </w:p>
    <w:p w:rsidR="000C629A" w:rsidRDefault="0078248B" w:rsidP="005C377E">
      <w:pPr>
        <w:rPr>
          <w:rFonts w:cstheme="minorHAnsi"/>
        </w:rPr>
      </w:pPr>
      <w:r w:rsidRPr="00216A71">
        <w:rPr>
          <w:rFonts w:cstheme="minorHAnsi"/>
          <w:bCs/>
          <w:szCs w:val="20"/>
        </w:rPr>
        <w:t>The European Investment Bank (EIB) is an EU-wide development bank, 100</w:t>
      </w:r>
      <w:r w:rsidR="00A42FDE">
        <w:rPr>
          <w:rFonts w:cstheme="minorHAnsi"/>
          <w:bCs/>
          <w:szCs w:val="20"/>
        </w:rPr>
        <w:t xml:space="preserve"> per cent</w:t>
      </w:r>
      <w:r w:rsidRPr="00216A71">
        <w:rPr>
          <w:rFonts w:cstheme="minorHAnsi"/>
          <w:bCs/>
          <w:szCs w:val="20"/>
        </w:rPr>
        <w:t xml:space="preserve"> owned and guaranteed by all the member states of the EU. It was created under the founding treaty of the EU, the Treaty of Rome, in 1958</w:t>
      </w:r>
      <w:r w:rsidR="00F12B0C">
        <w:rPr>
          <w:rFonts w:cstheme="minorHAnsi"/>
          <w:bCs/>
          <w:szCs w:val="20"/>
        </w:rPr>
        <w:t>. Its</w:t>
      </w:r>
      <w:r w:rsidRPr="00216A71">
        <w:rPr>
          <w:rFonts w:cstheme="minorHAnsi"/>
          <w:bCs/>
          <w:szCs w:val="20"/>
        </w:rPr>
        <w:t xml:space="preserve"> objective </w:t>
      </w:r>
      <w:r w:rsidR="00191F44">
        <w:rPr>
          <w:rFonts w:cstheme="minorHAnsi"/>
          <w:bCs/>
          <w:szCs w:val="20"/>
        </w:rPr>
        <w:t xml:space="preserve">is </w:t>
      </w:r>
      <w:r w:rsidRPr="00216A71">
        <w:rPr>
          <w:rFonts w:cstheme="minorHAnsi"/>
          <w:bCs/>
          <w:szCs w:val="20"/>
        </w:rPr>
        <w:t>“to contribute towards the integration, balanced development and economic and social cohesion of the EU Member States.” Thanks to its public sector ownership and guarantees, the EIB can raise funds at the lowest possible rates</w:t>
      </w:r>
      <w:r w:rsidR="00F12B0C">
        <w:rPr>
          <w:rFonts w:cstheme="minorHAnsi"/>
          <w:bCs/>
          <w:szCs w:val="20"/>
        </w:rPr>
        <w:t>.</w:t>
      </w:r>
      <w:r w:rsidRPr="00216A71">
        <w:rPr>
          <w:rFonts w:cstheme="minorHAnsi"/>
          <w:bCs/>
          <w:szCs w:val="20"/>
        </w:rPr>
        <w:t xml:space="preserve"> </w:t>
      </w:r>
      <w:r w:rsidR="00F12B0C">
        <w:rPr>
          <w:rFonts w:cstheme="minorHAnsi"/>
          <w:bCs/>
          <w:szCs w:val="20"/>
        </w:rPr>
        <w:t>B</w:t>
      </w:r>
      <w:r w:rsidRPr="00216A71">
        <w:rPr>
          <w:rFonts w:cstheme="minorHAnsi"/>
          <w:bCs/>
          <w:szCs w:val="20"/>
        </w:rPr>
        <w:t>ecause it does not try to maximise profits, it also lends at rates very close to its own cost of borrowing.</w:t>
      </w:r>
      <w:r w:rsidRPr="00216A71">
        <w:rPr>
          <w:rStyle w:val="EndnoteReference"/>
          <w:rFonts w:cstheme="minorHAnsi"/>
          <w:bCs/>
          <w:szCs w:val="20"/>
        </w:rPr>
        <w:endnoteReference w:id="62"/>
      </w:r>
      <w:r w:rsidR="005C377E" w:rsidRPr="00216A71">
        <w:rPr>
          <w:rFonts w:cstheme="minorHAnsi"/>
          <w:bCs/>
          <w:szCs w:val="20"/>
        </w:rPr>
        <w:t xml:space="preserve"> </w:t>
      </w:r>
      <w:r w:rsidRPr="00216A71">
        <w:rPr>
          <w:rFonts w:cstheme="minorHAnsi"/>
          <w:szCs w:val="20"/>
        </w:rPr>
        <w:t>The EIB now provides about 13</w:t>
      </w:r>
      <w:r w:rsidR="00A42FDE">
        <w:rPr>
          <w:rFonts w:cstheme="minorHAnsi"/>
          <w:szCs w:val="20"/>
        </w:rPr>
        <w:t xml:space="preserve"> per cent</w:t>
      </w:r>
      <w:r w:rsidRPr="00216A71">
        <w:rPr>
          <w:rFonts w:cstheme="minorHAnsi"/>
          <w:szCs w:val="20"/>
        </w:rPr>
        <w:t xml:space="preserve"> of all the finance for PPPs in Europe – as much as all the equity capital invested by the private partners themselves.</w:t>
      </w:r>
      <w:r w:rsidRPr="00216A71">
        <w:rPr>
          <w:rStyle w:val="EndnoteReference"/>
          <w:rFonts w:cstheme="minorHAnsi"/>
          <w:szCs w:val="20"/>
        </w:rPr>
        <w:endnoteReference w:id="63"/>
      </w:r>
      <w:r w:rsidR="004045AD">
        <w:rPr>
          <w:rFonts w:cstheme="minorHAnsi"/>
          <w:szCs w:val="20"/>
        </w:rPr>
        <w:t xml:space="preserve"> </w:t>
      </w:r>
      <w:r w:rsidRPr="00216A71">
        <w:rPr>
          <w:rFonts w:cstheme="minorHAnsi"/>
        </w:rPr>
        <w:t>The EIB is also a key vehicle for promoting and advising on PPPs</w:t>
      </w:r>
      <w:r w:rsidR="000D1F79" w:rsidRPr="00216A71">
        <w:rPr>
          <w:rFonts w:cstheme="minorHAnsi"/>
        </w:rPr>
        <w:t xml:space="preserve"> beyond the EU</w:t>
      </w:r>
      <w:r w:rsidR="005C377E" w:rsidRPr="00216A71">
        <w:rPr>
          <w:rFonts w:cstheme="minorHAnsi"/>
        </w:rPr>
        <w:t xml:space="preserve">, as shown in the case of North Africa (see below). </w:t>
      </w:r>
      <w:bookmarkStart w:id="16" w:name="_Toc304368809"/>
    </w:p>
    <w:p w:rsidR="0078248B" w:rsidRPr="00216A71" w:rsidRDefault="005C377E" w:rsidP="0078248B">
      <w:pPr>
        <w:rPr>
          <w:rFonts w:cstheme="minorHAnsi"/>
          <w:szCs w:val="20"/>
        </w:rPr>
      </w:pPr>
      <w:r w:rsidRPr="00216A71">
        <w:rPr>
          <w:rFonts w:cstheme="minorHAnsi"/>
        </w:rPr>
        <w:lastRenderedPageBreak/>
        <w:t>The European Bank for Reconstruction and Development (EBRD)</w:t>
      </w:r>
      <w:bookmarkEnd w:id="16"/>
      <w:r w:rsidRPr="00216A71">
        <w:rPr>
          <w:rFonts w:cstheme="minorHAnsi"/>
        </w:rPr>
        <w:t xml:space="preserve"> </w:t>
      </w:r>
      <w:r w:rsidRPr="00216A71">
        <w:rPr>
          <w:rFonts w:cstheme="minorHAnsi"/>
          <w:szCs w:val="20"/>
        </w:rPr>
        <w:t xml:space="preserve">was created to finance development in the former communist countries of </w:t>
      </w:r>
      <w:r w:rsidR="00191F44" w:rsidRPr="00216A71">
        <w:rPr>
          <w:rFonts w:cstheme="minorHAnsi"/>
          <w:szCs w:val="20"/>
        </w:rPr>
        <w:t>Eastern</w:t>
      </w:r>
      <w:r w:rsidRPr="00216A71">
        <w:rPr>
          <w:rFonts w:cstheme="minorHAnsi"/>
          <w:szCs w:val="20"/>
        </w:rPr>
        <w:t xml:space="preserve"> Europe</w:t>
      </w:r>
      <w:r w:rsidR="00F12B0C">
        <w:rPr>
          <w:rFonts w:cstheme="minorHAnsi"/>
          <w:szCs w:val="20"/>
        </w:rPr>
        <w:t>.</w:t>
      </w:r>
      <w:r w:rsidR="00142F25" w:rsidRPr="00216A71">
        <w:rPr>
          <w:rFonts w:cstheme="minorHAnsi"/>
          <w:szCs w:val="20"/>
        </w:rPr>
        <w:t xml:space="preserve"> </w:t>
      </w:r>
      <w:r w:rsidR="00F12B0C">
        <w:rPr>
          <w:rFonts w:cstheme="minorHAnsi"/>
          <w:szCs w:val="20"/>
        </w:rPr>
        <w:t>I</w:t>
      </w:r>
      <w:r w:rsidR="00142F25" w:rsidRPr="00216A71">
        <w:rPr>
          <w:rFonts w:cstheme="minorHAnsi"/>
          <w:szCs w:val="20"/>
        </w:rPr>
        <w:t xml:space="preserve">n 2011, in the wake of the Arab uprisings, its remit was specifically extended at the G8 meeting to include </w:t>
      </w:r>
      <w:r w:rsidR="00191F44" w:rsidRPr="00216A71">
        <w:rPr>
          <w:rFonts w:cstheme="minorHAnsi"/>
          <w:szCs w:val="20"/>
        </w:rPr>
        <w:t>North</w:t>
      </w:r>
      <w:r w:rsidR="00142F25" w:rsidRPr="00216A71">
        <w:rPr>
          <w:rFonts w:cstheme="minorHAnsi"/>
          <w:szCs w:val="20"/>
        </w:rPr>
        <w:t xml:space="preserve"> Africa.</w:t>
      </w:r>
      <w:r w:rsidRPr="00216A71">
        <w:rPr>
          <w:rFonts w:cstheme="minorHAnsi"/>
          <w:szCs w:val="20"/>
        </w:rPr>
        <w:t xml:space="preserve"> </w:t>
      </w:r>
      <w:r w:rsidR="00142F25" w:rsidRPr="00216A71">
        <w:rPr>
          <w:rFonts w:cstheme="minorHAnsi"/>
          <w:szCs w:val="20"/>
        </w:rPr>
        <w:t>The EBRD uses a set of indicators of development which are defined to show that privatisation or liberalisation is always beneficial</w:t>
      </w:r>
      <w:r w:rsidR="00F12B0C">
        <w:rPr>
          <w:rFonts w:cstheme="minorHAnsi"/>
          <w:szCs w:val="20"/>
        </w:rPr>
        <w:t>.</w:t>
      </w:r>
      <w:r w:rsidR="00142F25" w:rsidRPr="00216A71">
        <w:rPr>
          <w:rFonts w:cstheme="minorHAnsi"/>
          <w:szCs w:val="20"/>
        </w:rPr>
        <w:t xml:space="preserve"> </w:t>
      </w:r>
      <w:r w:rsidR="00F12B0C">
        <w:rPr>
          <w:rFonts w:cstheme="minorHAnsi"/>
          <w:szCs w:val="20"/>
        </w:rPr>
        <w:t>F</w:t>
      </w:r>
      <w:r w:rsidR="00142F25" w:rsidRPr="00216A71">
        <w:rPr>
          <w:rFonts w:cstheme="minorHAnsi"/>
          <w:szCs w:val="20"/>
        </w:rPr>
        <w:t xml:space="preserve">or example they assume that additional privatisation is always better; higher foreign ownership of banks is better; and price liberalisation is always better. </w:t>
      </w:r>
      <w:r w:rsidR="00201122" w:rsidRPr="00216A71">
        <w:rPr>
          <w:rFonts w:cstheme="minorHAnsi"/>
          <w:szCs w:val="20"/>
        </w:rPr>
        <w:t xml:space="preserve">It has funded many PPPs in central and </w:t>
      </w:r>
      <w:r w:rsidR="00191F44" w:rsidRPr="00216A71">
        <w:rPr>
          <w:rFonts w:cstheme="minorHAnsi"/>
          <w:szCs w:val="20"/>
        </w:rPr>
        <w:t>Eastern</w:t>
      </w:r>
      <w:r w:rsidR="00201122" w:rsidRPr="00216A71">
        <w:rPr>
          <w:rFonts w:cstheme="minorHAnsi"/>
          <w:szCs w:val="20"/>
        </w:rPr>
        <w:t xml:space="preserve"> Europe, and </w:t>
      </w:r>
      <w:r w:rsidR="00201122" w:rsidRPr="00216A71">
        <w:rPr>
          <w:rFonts w:cstheme="minorHAnsi"/>
        </w:rPr>
        <w:t>pressures countries into adopting PPPs</w:t>
      </w:r>
      <w:r w:rsidR="00F12B0C">
        <w:rPr>
          <w:rFonts w:cstheme="minorHAnsi"/>
        </w:rPr>
        <w:t>.</w:t>
      </w:r>
      <w:r w:rsidR="00201122" w:rsidRPr="00216A71">
        <w:rPr>
          <w:rFonts w:cstheme="minorHAnsi"/>
        </w:rPr>
        <w:t xml:space="preserve"> </w:t>
      </w:r>
      <w:r w:rsidR="00F12B0C">
        <w:rPr>
          <w:rFonts w:cstheme="minorHAnsi"/>
        </w:rPr>
        <w:t>I</w:t>
      </w:r>
      <w:r w:rsidR="00201122" w:rsidRPr="00216A71">
        <w:rPr>
          <w:rFonts w:cstheme="minorHAnsi"/>
        </w:rPr>
        <w:t>n 2005</w:t>
      </w:r>
      <w:r w:rsidR="00191F44">
        <w:rPr>
          <w:rFonts w:cstheme="minorHAnsi"/>
        </w:rPr>
        <w:t>,</w:t>
      </w:r>
      <w:r w:rsidR="00201122" w:rsidRPr="00216A71">
        <w:rPr>
          <w:rFonts w:cstheme="minorHAnsi"/>
        </w:rPr>
        <w:t xml:space="preserve"> it criticised transition countries for not adopting laws more favourable for PPPs, for using a standardised concession agreement – and for not providing sufficient state guarantees for PPPs.</w:t>
      </w:r>
      <w:r w:rsidR="00142F25" w:rsidRPr="00216A71">
        <w:rPr>
          <w:rFonts w:cstheme="minorHAnsi"/>
          <w:szCs w:val="20"/>
        </w:rPr>
        <w:t xml:space="preserve"> An EBRD-funded review of PPPs in 2013 found that </w:t>
      </w:r>
      <w:r w:rsidR="00182B4C" w:rsidRPr="00216A71">
        <w:rPr>
          <w:rFonts w:cstheme="minorHAnsi"/>
          <w:szCs w:val="20"/>
        </w:rPr>
        <w:t xml:space="preserve">they were </w:t>
      </w:r>
      <w:r w:rsidR="00F12B0C">
        <w:rPr>
          <w:rFonts w:cstheme="minorHAnsi"/>
          <w:szCs w:val="20"/>
        </w:rPr>
        <w:t>“</w:t>
      </w:r>
      <w:r w:rsidR="00182B4C" w:rsidRPr="00216A71">
        <w:rPr>
          <w:rFonts w:cstheme="minorHAnsi"/>
          <w:szCs w:val="20"/>
        </w:rPr>
        <w:t>pretty on paper, but poor in practice</w:t>
      </w:r>
      <w:r w:rsidR="00F12B0C">
        <w:rPr>
          <w:rFonts w:cstheme="minorHAnsi"/>
          <w:szCs w:val="20"/>
        </w:rPr>
        <w:t>.”</w:t>
      </w:r>
      <w:r w:rsidRPr="00216A71">
        <w:rPr>
          <w:rFonts w:cstheme="minorHAnsi"/>
          <w:szCs w:val="20"/>
          <w:vertAlign w:val="superscript"/>
        </w:rPr>
        <w:endnoteReference w:id="64"/>
      </w:r>
      <w:r w:rsidRPr="00216A71">
        <w:rPr>
          <w:rFonts w:cstheme="minorHAnsi"/>
          <w:szCs w:val="20"/>
        </w:rPr>
        <w:t xml:space="preserve"> </w:t>
      </w:r>
    </w:p>
    <w:p w:rsidR="002557B0" w:rsidRPr="00216A71" w:rsidRDefault="007D6101" w:rsidP="00EC4A5D">
      <w:pPr>
        <w:pStyle w:val="Heading2"/>
        <w:rPr>
          <w:rFonts w:asciiTheme="minorHAnsi" w:hAnsiTheme="minorHAnsi" w:cstheme="minorHAnsi"/>
        </w:rPr>
      </w:pPr>
      <w:bookmarkStart w:id="17" w:name="_Toc392857528"/>
      <w:r w:rsidRPr="00216A71">
        <w:rPr>
          <w:rFonts w:asciiTheme="minorHAnsi" w:hAnsiTheme="minorHAnsi" w:cstheme="minorHAnsi"/>
        </w:rPr>
        <w:t>Governments</w:t>
      </w:r>
      <w:r w:rsidR="00A54D47" w:rsidRPr="00216A71">
        <w:rPr>
          <w:rFonts w:asciiTheme="minorHAnsi" w:hAnsiTheme="minorHAnsi" w:cstheme="minorHAnsi"/>
        </w:rPr>
        <w:t xml:space="preserve"> and donors</w:t>
      </w:r>
      <w:bookmarkEnd w:id="17"/>
      <w:r w:rsidR="00A54D47" w:rsidRPr="00216A71">
        <w:rPr>
          <w:rFonts w:asciiTheme="minorHAnsi" w:hAnsiTheme="minorHAnsi" w:cstheme="minorHAnsi"/>
        </w:rPr>
        <w:t xml:space="preserve"> </w:t>
      </w:r>
    </w:p>
    <w:p w:rsidR="000C629A" w:rsidRDefault="00B61A94" w:rsidP="00A54D47">
      <w:pPr>
        <w:rPr>
          <w:rFonts w:cstheme="minorHAnsi"/>
          <w:bCs/>
          <w:szCs w:val="20"/>
        </w:rPr>
      </w:pPr>
      <w:r w:rsidRPr="00216A71">
        <w:rPr>
          <w:rFonts w:cstheme="minorHAnsi"/>
          <w:bCs/>
          <w:szCs w:val="20"/>
        </w:rPr>
        <w:t xml:space="preserve">Governments </w:t>
      </w:r>
      <w:r w:rsidR="00BA0051" w:rsidRPr="00216A71">
        <w:rPr>
          <w:rFonts w:cstheme="minorHAnsi"/>
          <w:bCs/>
          <w:szCs w:val="20"/>
        </w:rPr>
        <w:t xml:space="preserve">have also taken specific measures to promote, subsidise and facilitate PPPs. Their most obvious role is to introduce legislation </w:t>
      </w:r>
      <w:r w:rsidR="00732B04" w:rsidRPr="00216A71">
        <w:rPr>
          <w:rFonts w:cstheme="minorHAnsi"/>
          <w:bCs/>
          <w:szCs w:val="20"/>
        </w:rPr>
        <w:t>enabling PPPs</w:t>
      </w:r>
      <w:r w:rsidR="00BA0051" w:rsidRPr="00216A71">
        <w:rPr>
          <w:rFonts w:cstheme="minorHAnsi"/>
          <w:bCs/>
          <w:szCs w:val="20"/>
        </w:rPr>
        <w:t>, but they have also created PPP units as encouraged by the international institutions</w:t>
      </w:r>
      <w:r w:rsidR="00F12B0C">
        <w:rPr>
          <w:rFonts w:cstheme="minorHAnsi"/>
          <w:bCs/>
          <w:szCs w:val="20"/>
        </w:rPr>
        <w:t>.</w:t>
      </w:r>
      <w:r w:rsidR="00BA0051" w:rsidRPr="00216A71">
        <w:rPr>
          <w:rFonts w:cstheme="minorHAnsi"/>
          <w:bCs/>
          <w:szCs w:val="20"/>
        </w:rPr>
        <w:t xml:space="preserve"> </w:t>
      </w:r>
      <w:r w:rsidR="00F12B0C">
        <w:rPr>
          <w:rFonts w:cstheme="minorHAnsi"/>
          <w:bCs/>
          <w:szCs w:val="20"/>
        </w:rPr>
        <w:t>These</w:t>
      </w:r>
      <w:r w:rsidR="00BA0051" w:rsidRPr="00216A71">
        <w:rPr>
          <w:rFonts w:cstheme="minorHAnsi"/>
          <w:bCs/>
          <w:szCs w:val="20"/>
        </w:rPr>
        <w:t xml:space="preserve"> have played a key role as internal advisors to governments </w:t>
      </w:r>
      <w:r w:rsidR="00F12B0C">
        <w:rPr>
          <w:rFonts w:cstheme="minorHAnsi"/>
          <w:bCs/>
          <w:szCs w:val="20"/>
        </w:rPr>
        <w:t xml:space="preserve">and are </w:t>
      </w:r>
      <w:r w:rsidR="00BA0051" w:rsidRPr="00216A71">
        <w:rPr>
          <w:rFonts w:cstheme="minorHAnsi"/>
          <w:bCs/>
          <w:szCs w:val="20"/>
        </w:rPr>
        <w:t>able to use public resources to promote PPPs.</w:t>
      </w:r>
    </w:p>
    <w:p w:rsidR="000C629A" w:rsidRDefault="00732B04" w:rsidP="00A54D47">
      <w:pPr>
        <w:rPr>
          <w:rFonts w:cstheme="minorHAnsi"/>
          <w:bCs/>
          <w:szCs w:val="20"/>
        </w:rPr>
      </w:pPr>
      <w:r w:rsidRPr="00216A71">
        <w:rPr>
          <w:rFonts w:cstheme="minorHAnsi"/>
          <w:bCs/>
          <w:szCs w:val="20"/>
        </w:rPr>
        <w:t>PPP units invariably consist of private sector executives with a vested interest in promoting PPPs, usually with some civil servants, established inside governments. This enables them to have privileged access to government information, and privileged access to ministers and public officials for lobbying for profitable PPPs.</w:t>
      </w:r>
      <w:r w:rsidR="004045AD">
        <w:rPr>
          <w:rFonts w:cstheme="minorHAnsi"/>
          <w:bCs/>
          <w:szCs w:val="20"/>
        </w:rPr>
        <w:t xml:space="preserve"> </w:t>
      </w:r>
      <w:r w:rsidRPr="00216A71">
        <w:rPr>
          <w:rFonts w:cstheme="minorHAnsi"/>
          <w:bCs/>
          <w:szCs w:val="20"/>
        </w:rPr>
        <w:t>The World Bank publishes a global list of PPP units</w:t>
      </w:r>
      <w:r w:rsidR="000F2640" w:rsidRPr="00216A71">
        <w:rPr>
          <w:rFonts w:cstheme="minorHAnsi"/>
          <w:bCs/>
          <w:szCs w:val="20"/>
        </w:rPr>
        <w:t>.</w:t>
      </w:r>
      <w:r w:rsidRPr="00216A71">
        <w:rPr>
          <w:rFonts w:cstheme="minorHAnsi"/>
          <w:bCs/>
          <w:szCs w:val="20"/>
        </w:rPr>
        <w:t xml:space="preserve"> </w:t>
      </w:r>
    </w:p>
    <w:p w:rsidR="00693217" w:rsidRPr="00216A71" w:rsidRDefault="00BA0051" w:rsidP="00A54D47">
      <w:pPr>
        <w:rPr>
          <w:rFonts w:cstheme="minorHAnsi"/>
          <w:bCs/>
          <w:szCs w:val="20"/>
        </w:rPr>
      </w:pPr>
      <w:r w:rsidRPr="00216A71">
        <w:rPr>
          <w:rFonts w:cstheme="minorHAnsi"/>
          <w:bCs/>
          <w:szCs w:val="20"/>
        </w:rPr>
        <w:t xml:space="preserve">Governments have also </w:t>
      </w:r>
      <w:r w:rsidR="00B61A94" w:rsidRPr="00216A71">
        <w:rPr>
          <w:rFonts w:cstheme="minorHAnsi"/>
          <w:bCs/>
          <w:szCs w:val="20"/>
        </w:rPr>
        <w:t>started providing subsidies for PPPs</w:t>
      </w:r>
      <w:r w:rsidRPr="00216A71">
        <w:rPr>
          <w:rFonts w:cstheme="minorHAnsi"/>
          <w:bCs/>
          <w:szCs w:val="20"/>
        </w:rPr>
        <w:t>, mainly by lending public money at low rates of interest that the private sector could not otherwise obtain – despite the obv</w:t>
      </w:r>
      <w:r w:rsidR="002F3151" w:rsidRPr="00216A71">
        <w:rPr>
          <w:rFonts w:cstheme="minorHAnsi"/>
          <w:bCs/>
          <w:szCs w:val="20"/>
        </w:rPr>
        <w:t xml:space="preserve">ious intrinsic contradiction of using public finance to finance PPPs. </w:t>
      </w:r>
      <w:r w:rsidR="00A54D47" w:rsidRPr="00216A71">
        <w:rPr>
          <w:rFonts w:cstheme="minorHAnsi"/>
          <w:bCs/>
          <w:szCs w:val="20"/>
        </w:rPr>
        <w:t xml:space="preserve">The </w:t>
      </w:r>
      <w:r w:rsidR="002557B0" w:rsidRPr="00216A71">
        <w:rPr>
          <w:rFonts w:cstheme="minorHAnsi"/>
          <w:bCs/>
          <w:szCs w:val="20"/>
        </w:rPr>
        <w:t xml:space="preserve">UK, France, </w:t>
      </w:r>
      <w:r w:rsidR="002D458C" w:rsidRPr="00216A71">
        <w:rPr>
          <w:rFonts w:cstheme="minorHAnsi"/>
          <w:bCs/>
          <w:szCs w:val="20"/>
        </w:rPr>
        <w:t xml:space="preserve">Spain, </w:t>
      </w:r>
      <w:r w:rsidR="002557B0" w:rsidRPr="00216A71">
        <w:rPr>
          <w:rFonts w:cstheme="minorHAnsi"/>
          <w:bCs/>
          <w:szCs w:val="20"/>
        </w:rPr>
        <w:t>Portugal</w:t>
      </w:r>
      <w:r w:rsidR="002D458C" w:rsidRPr="00216A71">
        <w:rPr>
          <w:rFonts w:cstheme="minorHAnsi"/>
          <w:bCs/>
          <w:szCs w:val="20"/>
        </w:rPr>
        <w:t>, Australia, India</w:t>
      </w:r>
      <w:r w:rsidR="00FF53CA" w:rsidRPr="00216A71">
        <w:rPr>
          <w:rFonts w:cstheme="minorHAnsi"/>
          <w:bCs/>
          <w:szCs w:val="20"/>
        </w:rPr>
        <w:t xml:space="preserve">, South Korea </w:t>
      </w:r>
      <w:r w:rsidR="002D458C" w:rsidRPr="00216A71">
        <w:rPr>
          <w:rFonts w:cstheme="minorHAnsi"/>
          <w:bCs/>
          <w:szCs w:val="20"/>
        </w:rPr>
        <w:t>and Kazakhstan</w:t>
      </w:r>
      <w:r w:rsidR="002557B0" w:rsidRPr="00216A71">
        <w:rPr>
          <w:rFonts w:cstheme="minorHAnsi"/>
          <w:bCs/>
          <w:szCs w:val="20"/>
        </w:rPr>
        <w:t xml:space="preserve"> have already set up schemes which rescue PPPs through the simple device of providing government guarantees, or by government borrowing money at low rates and then lending it on to PPPs at similar rates</w:t>
      </w:r>
      <w:r w:rsidR="00F12B0C">
        <w:rPr>
          <w:rFonts w:cstheme="minorHAnsi"/>
          <w:bCs/>
          <w:szCs w:val="20"/>
        </w:rPr>
        <w:t>.</w:t>
      </w:r>
      <w:r w:rsidR="002557B0" w:rsidRPr="00216A71">
        <w:rPr>
          <w:rFonts w:cstheme="minorHAnsi"/>
          <w:bCs/>
          <w:szCs w:val="20"/>
        </w:rPr>
        <w:t xml:space="preserve"> </w:t>
      </w:r>
      <w:r w:rsidR="00F12B0C">
        <w:rPr>
          <w:rFonts w:cstheme="minorHAnsi"/>
          <w:bCs/>
          <w:szCs w:val="20"/>
        </w:rPr>
        <w:t xml:space="preserve">They </w:t>
      </w:r>
      <w:r w:rsidR="002557B0" w:rsidRPr="00216A71">
        <w:rPr>
          <w:rFonts w:cstheme="minorHAnsi"/>
          <w:bCs/>
          <w:szCs w:val="20"/>
        </w:rPr>
        <w:t xml:space="preserve">then pretend that this </w:t>
      </w:r>
      <w:r w:rsidR="000F2640" w:rsidRPr="00216A71">
        <w:rPr>
          <w:rFonts w:cstheme="minorHAnsi"/>
          <w:bCs/>
          <w:szCs w:val="20"/>
        </w:rPr>
        <w:t xml:space="preserve">is </w:t>
      </w:r>
      <w:r w:rsidR="002557B0" w:rsidRPr="00216A71">
        <w:rPr>
          <w:rFonts w:cstheme="minorHAnsi"/>
          <w:bCs/>
          <w:szCs w:val="20"/>
        </w:rPr>
        <w:t>‘private finance</w:t>
      </w:r>
      <w:r w:rsidR="00F12B0C">
        <w:rPr>
          <w:rFonts w:cstheme="minorHAnsi"/>
          <w:bCs/>
          <w:szCs w:val="20"/>
        </w:rPr>
        <w:t>.</w:t>
      </w:r>
      <w:r w:rsidR="002557B0" w:rsidRPr="00216A71">
        <w:rPr>
          <w:rFonts w:cstheme="minorHAnsi"/>
          <w:bCs/>
          <w:szCs w:val="20"/>
        </w:rPr>
        <w:t>’</w:t>
      </w:r>
      <w:r w:rsidR="002557B0" w:rsidRPr="00216A71">
        <w:rPr>
          <w:rStyle w:val="EndnoteReference"/>
          <w:rFonts w:cstheme="minorHAnsi"/>
          <w:bCs/>
          <w:szCs w:val="20"/>
        </w:rPr>
        <w:endnoteReference w:id="65"/>
      </w:r>
      <w:r w:rsidR="002557B0" w:rsidRPr="00216A71">
        <w:rPr>
          <w:rFonts w:cstheme="minorHAnsi"/>
          <w:bCs/>
          <w:szCs w:val="20"/>
        </w:rPr>
        <w:t xml:space="preserve"> </w:t>
      </w:r>
    </w:p>
    <w:p w:rsidR="00693217" w:rsidRPr="00216A71" w:rsidRDefault="00693217" w:rsidP="00693217">
      <w:pPr>
        <w:pStyle w:val="Heading6"/>
        <w:rPr>
          <w:rFonts w:cstheme="minorHAnsi"/>
          <w:szCs w:val="20"/>
        </w:rPr>
      </w:pPr>
      <w:r w:rsidRPr="00216A71">
        <w:rPr>
          <w:rFonts w:cstheme="minorHAnsi"/>
          <w:szCs w:val="20"/>
        </w:rPr>
        <w:t>Brazil:</w:t>
      </w:r>
      <w:r w:rsidR="004045AD">
        <w:rPr>
          <w:rFonts w:cstheme="minorHAnsi"/>
          <w:szCs w:val="20"/>
        </w:rPr>
        <w:t xml:space="preserve"> </w:t>
      </w:r>
      <w:r w:rsidRPr="00216A71">
        <w:rPr>
          <w:rFonts w:cstheme="minorHAnsi"/>
          <w:szCs w:val="20"/>
        </w:rPr>
        <w:t>states</w:t>
      </w:r>
      <w:r w:rsidR="00E87F01" w:rsidRPr="00216A71">
        <w:rPr>
          <w:rFonts w:cstheme="minorHAnsi"/>
          <w:szCs w:val="20"/>
        </w:rPr>
        <w:t xml:space="preserve"> provide </w:t>
      </w:r>
      <w:r w:rsidRPr="00216A71">
        <w:rPr>
          <w:rFonts w:cstheme="minorHAnsi"/>
          <w:szCs w:val="20"/>
        </w:rPr>
        <w:t>guarantees for PPPs</w:t>
      </w:r>
      <w:r w:rsidR="00781636" w:rsidRPr="00216A71">
        <w:rPr>
          <w:rFonts w:cstheme="minorHAnsi"/>
          <w:szCs w:val="20"/>
        </w:rPr>
        <w:t xml:space="preserve"> </w:t>
      </w:r>
    </w:p>
    <w:p w:rsidR="000C629A" w:rsidRDefault="00DE7343" w:rsidP="00E87F01">
      <w:pPr>
        <w:pBdr>
          <w:top w:val="single" w:sz="4" w:space="1" w:color="auto"/>
          <w:left w:val="single" w:sz="4" w:space="4" w:color="auto"/>
          <w:bottom w:val="single" w:sz="4" w:space="1" w:color="auto"/>
          <w:right w:val="single" w:sz="4" w:space="4" w:color="auto"/>
        </w:pBdr>
        <w:rPr>
          <w:rFonts w:cstheme="minorHAnsi"/>
          <w:szCs w:val="20"/>
          <w:lang w:val="en"/>
        </w:rPr>
      </w:pPr>
      <w:r w:rsidRPr="00216A71">
        <w:rPr>
          <w:rFonts w:cstheme="minorHAnsi"/>
          <w:szCs w:val="20"/>
          <w:lang w:val="en"/>
        </w:rPr>
        <w:t xml:space="preserve">Despite a </w:t>
      </w:r>
      <w:r w:rsidR="00F12B0C">
        <w:rPr>
          <w:rFonts w:cstheme="minorHAnsi"/>
          <w:szCs w:val="20"/>
          <w:lang w:val="en"/>
        </w:rPr>
        <w:t xml:space="preserve">2004 </w:t>
      </w:r>
      <w:r w:rsidRPr="00216A71">
        <w:rPr>
          <w:rFonts w:cstheme="minorHAnsi"/>
          <w:szCs w:val="20"/>
          <w:lang w:val="en"/>
        </w:rPr>
        <w:t>law enabling PPPs, by 2013 only 1</w:t>
      </w:r>
      <w:r w:rsidR="00DA7C49" w:rsidRPr="00216A71">
        <w:rPr>
          <w:rFonts w:cstheme="minorHAnsi"/>
          <w:szCs w:val="20"/>
          <w:lang w:val="en"/>
        </w:rPr>
        <w:t>1</w:t>
      </w:r>
      <w:r w:rsidRPr="00216A71">
        <w:rPr>
          <w:rFonts w:cstheme="minorHAnsi"/>
          <w:szCs w:val="20"/>
          <w:lang w:val="en"/>
        </w:rPr>
        <w:t xml:space="preserve"> PPP projec</w:t>
      </w:r>
      <w:r w:rsidR="00DA7C49" w:rsidRPr="00216A71">
        <w:rPr>
          <w:rFonts w:cstheme="minorHAnsi"/>
          <w:szCs w:val="20"/>
          <w:lang w:val="en"/>
        </w:rPr>
        <w:t xml:space="preserve">ts were in operation in Brazil – </w:t>
      </w:r>
      <w:r w:rsidR="00F12B0C">
        <w:rPr>
          <w:rFonts w:cstheme="minorHAnsi"/>
          <w:szCs w:val="20"/>
          <w:lang w:val="en"/>
        </w:rPr>
        <w:t>three</w:t>
      </w:r>
      <w:r w:rsidR="00DA7C49" w:rsidRPr="00216A71">
        <w:rPr>
          <w:rFonts w:cstheme="minorHAnsi"/>
          <w:szCs w:val="20"/>
          <w:lang w:val="en"/>
        </w:rPr>
        <w:t xml:space="preserve"> of them for world cup stadiums</w:t>
      </w:r>
      <w:r w:rsidR="00F12B0C">
        <w:rPr>
          <w:rFonts w:cstheme="minorHAnsi"/>
          <w:szCs w:val="20"/>
          <w:lang w:val="en"/>
        </w:rPr>
        <w:t>.</w:t>
      </w:r>
      <w:r w:rsidR="00DA7C49" w:rsidRPr="00216A71">
        <w:rPr>
          <w:rFonts w:cstheme="minorHAnsi"/>
          <w:szCs w:val="20"/>
          <w:lang w:val="en"/>
        </w:rPr>
        <w:t xml:space="preserve"> </w:t>
      </w:r>
      <w:r w:rsidR="00F12B0C">
        <w:rPr>
          <w:rFonts w:cstheme="minorHAnsi"/>
          <w:szCs w:val="20"/>
          <w:lang w:val="en"/>
        </w:rPr>
        <w:t>A</w:t>
      </w:r>
      <w:r w:rsidR="00DA7C49" w:rsidRPr="00216A71">
        <w:rPr>
          <w:rFonts w:cstheme="minorHAnsi"/>
          <w:szCs w:val="20"/>
          <w:lang w:val="en"/>
        </w:rPr>
        <w:t xml:space="preserve"> further 19 have been signed, of which </w:t>
      </w:r>
      <w:r w:rsidR="00F12B0C">
        <w:rPr>
          <w:rFonts w:cstheme="minorHAnsi"/>
          <w:szCs w:val="20"/>
          <w:lang w:val="en"/>
        </w:rPr>
        <w:t>five</w:t>
      </w:r>
      <w:r w:rsidR="00DA7C49" w:rsidRPr="00216A71">
        <w:rPr>
          <w:rFonts w:cstheme="minorHAnsi"/>
          <w:szCs w:val="20"/>
          <w:lang w:val="en"/>
        </w:rPr>
        <w:t xml:space="preserve"> are for stadiums.</w:t>
      </w:r>
      <w:r w:rsidR="004045AD">
        <w:rPr>
          <w:rFonts w:cstheme="minorHAnsi"/>
          <w:szCs w:val="20"/>
          <w:lang w:val="en"/>
        </w:rPr>
        <w:t xml:space="preserve"> </w:t>
      </w:r>
      <w:r w:rsidRPr="00216A71">
        <w:rPr>
          <w:rFonts w:cstheme="minorHAnsi"/>
          <w:szCs w:val="20"/>
          <w:lang w:val="en"/>
        </w:rPr>
        <w:t>Most of the</w:t>
      </w:r>
      <w:r w:rsidR="00DA7C49" w:rsidRPr="00216A71">
        <w:rPr>
          <w:rFonts w:cstheme="minorHAnsi"/>
          <w:szCs w:val="20"/>
          <w:lang w:val="en"/>
        </w:rPr>
        <w:t xml:space="preserve"> rest are </w:t>
      </w:r>
      <w:r w:rsidRPr="00216A71">
        <w:rPr>
          <w:rFonts w:cstheme="minorHAnsi"/>
          <w:szCs w:val="20"/>
          <w:lang w:val="en"/>
        </w:rPr>
        <w:t>in energy</w:t>
      </w:r>
      <w:r w:rsidR="00DA7C49" w:rsidRPr="00216A71">
        <w:rPr>
          <w:rFonts w:cstheme="minorHAnsi"/>
          <w:szCs w:val="20"/>
          <w:lang w:val="en"/>
        </w:rPr>
        <w:t xml:space="preserve"> or</w:t>
      </w:r>
      <w:r w:rsidRPr="00216A71">
        <w:rPr>
          <w:rFonts w:cstheme="minorHAnsi"/>
          <w:szCs w:val="20"/>
          <w:lang w:val="en"/>
        </w:rPr>
        <w:t xml:space="preserve"> </w:t>
      </w:r>
      <w:r w:rsidR="00BD6D9D" w:rsidRPr="00216A71">
        <w:rPr>
          <w:rFonts w:cstheme="minorHAnsi"/>
          <w:szCs w:val="20"/>
          <w:lang w:val="en"/>
        </w:rPr>
        <w:t xml:space="preserve">public </w:t>
      </w:r>
      <w:r w:rsidRPr="00216A71">
        <w:rPr>
          <w:rFonts w:cstheme="minorHAnsi"/>
          <w:szCs w:val="20"/>
          <w:lang w:val="en"/>
        </w:rPr>
        <w:t xml:space="preserve">transport, </w:t>
      </w:r>
      <w:r w:rsidR="00DA7C49" w:rsidRPr="00216A71">
        <w:rPr>
          <w:rFonts w:cstheme="minorHAnsi"/>
          <w:szCs w:val="20"/>
          <w:lang w:val="en"/>
        </w:rPr>
        <w:t xml:space="preserve">and President Roussef has announced plans for roads PPPs. </w:t>
      </w:r>
    </w:p>
    <w:p w:rsidR="000C629A" w:rsidRDefault="00DE7343" w:rsidP="00E87F01">
      <w:pPr>
        <w:pBdr>
          <w:top w:val="single" w:sz="4" w:space="1" w:color="auto"/>
          <w:left w:val="single" w:sz="4" w:space="4" w:color="auto"/>
          <w:bottom w:val="single" w:sz="4" w:space="1" w:color="auto"/>
          <w:right w:val="single" w:sz="4" w:space="4" w:color="auto"/>
        </w:pBdr>
        <w:rPr>
          <w:rFonts w:cstheme="minorHAnsi"/>
          <w:szCs w:val="20"/>
          <w:lang w:val="en"/>
        </w:rPr>
      </w:pPr>
      <w:r w:rsidRPr="00216A71">
        <w:rPr>
          <w:rFonts w:cstheme="minorHAnsi"/>
          <w:szCs w:val="20"/>
          <w:lang w:val="en"/>
        </w:rPr>
        <w:t>The states are now developing PPPs more rapidly</w:t>
      </w:r>
      <w:r w:rsidR="00781636" w:rsidRPr="00216A71">
        <w:rPr>
          <w:rFonts w:cstheme="minorHAnsi"/>
          <w:szCs w:val="20"/>
          <w:lang w:val="en"/>
        </w:rPr>
        <w:t xml:space="preserve">, and </w:t>
      </w:r>
      <w:r w:rsidR="00D84210" w:rsidRPr="00216A71">
        <w:rPr>
          <w:rFonts w:cstheme="minorHAnsi"/>
          <w:szCs w:val="20"/>
          <w:lang w:val="en"/>
        </w:rPr>
        <w:t>providing public finance and guarantees on a large scale to make the PPPs viable.</w:t>
      </w:r>
      <w:r w:rsidR="004045AD">
        <w:rPr>
          <w:rFonts w:cstheme="minorHAnsi"/>
          <w:szCs w:val="20"/>
          <w:lang w:val="en"/>
        </w:rPr>
        <w:t xml:space="preserve"> </w:t>
      </w:r>
      <w:r w:rsidR="00693217" w:rsidRPr="00216A71">
        <w:rPr>
          <w:rFonts w:cstheme="minorHAnsi"/>
          <w:szCs w:val="20"/>
          <w:lang w:val="en"/>
        </w:rPr>
        <w:t xml:space="preserve">The state of Minas Gerais, which has set up </w:t>
      </w:r>
      <w:r w:rsidR="00F12B0C">
        <w:rPr>
          <w:rFonts w:cstheme="minorHAnsi"/>
          <w:szCs w:val="20"/>
          <w:lang w:val="en"/>
        </w:rPr>
        <w:t>five</w:t>
      </w:r>
      <w:r w:rsidR="00693217" w:rsidRPr="00216A71">
        <w:rPr>
          <w:rFonts w:cstheme="minorHAnsi"/>
          <w:szCs w:val="20"/>
          <w:lang w:val="en"/>
        </w:rPr>
        <w:t xml:space="preserve"> of the 30 state-level PPPs, has </w:t>
      </w:r>
      <w:r w:rsidR="00AF66B3" w:rsidRPr="00216A71">
        <w:rPr>
          <w:rFonts w:cstheme="minorHAnsi"/>
          <w:szCs w:val="20"/>
          <w:lang w:val="en"/>
        </w:rPr>
        <w:t xml:space="preserve">injected over USD $500 million of public money into PPPs this year. Sao Paulo has signed </w:t>
      </w:r>
      <w:r w:rsidR="00F12B0C">
        <w:rPr>
          <w:rFonts w:cstheme="minorHAnsi"/>
          <w:szCs w:val="20"/>
          <w:lang w:val="en"/>
        </w:rPr>
        <w:t>six</w:t>
      </w:r>
      <w:r w:rsidR="00AF66B3" w:rsidRPr="00216A71">
        <w:rPr>
          <w:rFonts w:cstheme="minorHAnsi"/>
          <w:szCs w:val="20"/>
          <w:lang w:val="en"/>
        </w:rPr>
        <w:t xml:space="preserve"> PPPs, and intends to sign a further </w:t>
      </w:r>
      <w:r w:rsidR="00F12B0C">
        <w:rPr>
          <w:rFonts w:cstheme="minorHAnsi"/>
          <w:szCs w:val="20"/>
          <w:lang w:val="en"/>
        </w:rPr>
        <w:t>nine</w:t>
      </w:r>
      <w:r w:rsidR="00AF66B3" w:rsidRPr="00216A71">
        <w:rPr>
          <w:rFonts w:cstheme="minorHAnsi"/>
          <w:szCs w:val="20"/>
          <w:lang w:val="en"/>
        </w:rPr>
        <w:t xml:space="preserve"> this year for projects costing over $20 billion; the state has injected a total of USD</w:t>
      </w:r>
      <w:r w:rsidR="00F12B0C">
        <w:rPr>
          <w:rFonts w:cstheme="minorHAnsi"/>
          <w:szCs w:val="20"/>
          <w:lang w:val="en"/>
        </w:rPr>
        <w:t xml:space="preserve"> </w:t>
      </w:r>
      <w:r w:rsidR="00AF66B3" w:rsidRPr="00216A71">
        <w:rPr>
          <w:rFonts w:cstheme="minorHAnsi"/>
          <w:szCs w:val="20"/>
          <w:lang w:val="en"/>
        </w:rPr>
        <w:t>$670 million. Bahia has made USD</w:t>
      </w:r>
      <w:r w:rsidR="00F12B0C">
        <w:rPr>
          <w:rFonts w:cstheme="minorHAnsi"/>
          <w:szCs w:val="20"/>
          <w:lang w:val="en"/>
        </w:rPr>
        <w:t xml:space="preserve"> </w:t>
      </w:r>
      <w:r w:rsidR="00AF66B3" w:rsidRPr="00216A71">
        <w:rPr>
          <w:rFonts w:cstheme="minorHAnsi"/>
          <w:szCs w:val="20"/>
          <w:lang w:val="en"/>
        </w:rPr>
        <w:t xml:space="preserve">$300 million available for PPPs. </w:t>
      </w:r>
      <w:r w:rsidR="00781636" w:rsidRPr="00216A71">
        <w:rPr>
          <w:rFonts w:cstheme="minorHAnsi"/>
          <w:szCs w:val="20"/>
          <w:lang w:val="en"/>
        </w:rPr>
        <w:t xml:space="preserve">Parana, which so far has no PPPs, is legislating to create a fund to guarantee future PPPs. </w:t>
      </w:r>
    </w:p>
    <w:p w:rsidR="000C629A" w:rsidRDefault="001A4B45" w:rsidP="00E87F01">
      <w:pPr>
        <w:pBdr>
          <w:top w:val="single" w:sz="4" w:space="1" w:color="auto"/>
          <w:left w:val="single" w:sz="4" w:space="4" w:color="auto"/>
          <w:bottom w:val="single" w:sz="4" w:space="1" w:color="auto"/>
          <w:right w:val="single" w:sz="4" w:space="4" w:color="auto"/>
        </w:pBdr>
        <w:rPr>
          <w:rFonts w:cstheme="minorHAnsi"/>
          <w:szCs w:val="20"/>
          <w:lang w:val="en"/>
        </w:rPr>
      </w:pPr>
      <w:r w:rsidRPr="00216A71">
        <w:rPr>
          <w:rFonts w:cstheme="minorHAnsi"/>
          <w:szCs w:val="20"/>
          <w:lang w:val="en"/>
        </w:rPr>
        <w:t>I</w:t>
      </w:r>
      <w:r w:rsidR="00BD6D9D" w:rsidRPr="00216A71">
        <w:rPr>
          <w:rFonts w:cstheme="minorHAnsi"/>
          <w:szCs w:val="20"/>
          <w:lang w:val="en"/>
        </w:rPr>
        <w:t xml:space="preserve">n healthcare, </w:t>
      </w:r>
      <w:r w:rsidRPr="00216A71">
        <w:rPr>
          <w:rFonts w:cstheme="minorHAnsi"/>
          <w:szCs w:val="20"/>
          <w:lang w:val="en"/>
        </w:rPr>
        <w:t xml:space="preserve">the only PPP which has been in operation for some time is </w:t>
      </w:r>
      <w:r w:rsidR="00BD6D9D" w:rsidRPr="00216A71">
        <w:rPr>
          <w:rFonts w:cstheme="minorHAnsi"/>
          <w:szCs w:val="20"/>
          <w:lang w:val="en"/>
        </w:rPr>
        <w:t xml:space="preserve">the Hospital do Suburbia in Bahia. </w:t>
      </w:r>
      <w:r w:rsidRPr="00216A71">
        <w:rPr>
          <w:rFonts w:cstheme="minorHAnsi"/>
          <w:szCs w:val="20"/>
          <w:lang w:val="en"/>
        </w:rPr>
        <w:t xml:space="preserve">Sao Paulo state has just awarded a PPP for generic drugs manufacture to the only bidder. </w:t>
      </w:r>
      <w:r w:rsidR="00BD6D9D" w:rsidRPr="00216A71">
        <w:rPr>
          <w:rFonts w:cstheme="minorHAnsi"/>
          <w:szCs w:val="20"/>
          <w:lang w:val="en"/>
        </w:rPr>
        <w:t xml:space="preserve">Bahia is now inviting bids for another, for diagnostic imaging services; Sao Paulo is planning a PPP for three hospitals; </w:t>
      </w:r>
      <w:r w:rsidR="00E25CB3" w:rsidRPr="00216A71">
        <w:rPr>
          <w:rFonts w:cstheme="minorHAnsi"/>
          <w:szCs w:val="20"/>
          <w:lang w:val="en"/>
        </w:rPr>
        <w:t xml:space="preserve">the City of Rio de Janeiro is planning a PPP for an information system for municipal health services; </w:t>
      </w:r>
      <w:r w:rsidR="00BD6D9D" w:rsidRPr="00216A71">
        <w:rPr>
          <w:rFonts w:cstheme="minorHAnsi"/>
          <w:szCs w:val="20"/>
          <w:lang w:val="en"/>
        </w:rPr>
        <w:t>and Minas Gerais is consulting on a USD $110 million PPP for social care services.</w:t>
      </w:r>
      <w:r w:rsidR="00E25CB3" w:rsidRPr="00216A71">
        <w:rPr>
          <w:rFonts w:cstheme="minorHAnsi"/>
          <w:szCs w:val="20"/>
          <w:lang w:val="en"/>
        </w:rPr>
        <w:t xml:space="preserve"> </w:t>
      </w:r>
      <w:r w:rsidRPr="00216A71">
        <w:rPr>
          <w:rFonts w:cstheme="minorHAnsi"/>
          <w:szCs w:val="20"/>
          <w:lang w:val="en"/>
        </w:rPr>
        <w:t xml:space="preserve">The </w:t>
      </w:r>
      <w:r w:rsidRPr="00216A71">
        <w:rPr>
          <w:rFonts w:cstheme="minorHAnsi"/>
          <w:szCs w:val="20"/>
        </w:rPr>
        <w:t>Distrito Federal, which includes Brasilia,</w:t>
      </w:r>
      <w:r w:rsidR="004045AD">
        <w:rPr>
          <w:rFonts w:cstheme="minorHAnsi"/>
          <w:szCs w:val="20"/>
        </w:rPr>
        <w:t xml:space="preserve"> </w:t>
      </w:r>
      <w:r w:rsidRPr="00216A71">
        <w:rPr>
          <w:rFonts w:cstheme="minorHAnsi"/>
          <w:szCs w:val="20"/>
        </w:rPr>
        <w:t xml:space="preserve">set up a PPP in social housing in 2009, for 9,500 units, and is planning a second. </w:t>
      </w:r>
      <w:r w:rsidRPr="00216A71">
        <w:rPr>
          <w:rFonts w:cstheme="minorHAnsi"/>
          <w:szCs w:val="20"/>
          <w:lang w:val="en"/>
        </w:rPr>
        <w:t>There are a number of proposals to create PPPs to develop sewerage or water services. The City of Rio de Janeiro is also planning a PPP for its cemeteries.</w:t>
      </w:r>
    </w:p>
    <w:p w:rsidR="000C629A" w:rsidRDefault="00B97F8B" w:rsidP="00E87F01">
      <w:pPr>
        <w:pBdr>
          <w:top w:val="single" w:sz="4" w:space="1" w:color="auto"/>
          <w:left w:val="single" w:sz="4" w:space="4" w:color="auto"/>
          <w:bottom w:val="single" w:sz="4" w:space="1" w:color="auto"/>
          <w:right w:val="single" w:sz="4" w:space="4" w:color="auto"/>
        </w:pBdr>
        <w:rPr>
          <w:rFonts w:cstheme="minorHAnsi"/>
          <w:szCs w:val="20"/>
          <w:lang w:val="en"/>
        </w:rPr>
      </w:pPr>
      <w:r w:rsidRPr="00216A71">
        <w:rPr>
          <w:rFonts w:cstheme="minorHAnsi"/>
          <w:szCs w:val="20"/>
          <w:lang w:val="en"/>
        </w:rPr>
        <w:t xml:space="preserve">Other PPPs are running into various problems. </w:t>
      </w:r>
      <w:r w:rsidR="00E25CB3" w:rsidRPr="00216A71">
        <w:rPr>
          <w:rFonts w:cstheme="minorHAnsi"/>
          <w:szCs w:val="20"/>
          <w:lang w:val="en"/>
        </w:rPr>
        <w:t>A proposal by Sao Paulo for a PPP in social housing was suspended by a court judgment on the grounds that community organisations were excluded from the plan; n</w:t>
      </w:r>
      <w:r w:rsidRPr="00216A71">
        <w:rPr>
          <w:rFonts w:cstheme="minorHAnsi"/>
          <w:szCs w:val="20"/>
          <w:lang w:val="en"/>
        </w:rPr>
        <w:t>o companies bid for PPPs in waste management for Belo Horizonte, Min</w:t>
      </w:r>
      <w:r w:rsidR="00BD6D9D" w:rsidRPr="00216A71">
        <w:rPr>
          <w:rFonts w:cstheme="minorHAnsi"/>
          <w:szCs w:val="20"/>
          <w:lang w:val="en"/>
        </w:rPr>
        <w:t>a</w:t>
      </w:r>
      <w:r w:rsidRPr="00216A71">
        <w:rPr>
          <w:rFonts w:cstheme="minorHAnsi"/>
          <w:szCs w:val="20"/>
          <w:lang w:val="en"/>
        </w:rPr>
        <w:t>s Gerais</w:t>
      </w:r>
      <w:r w:rsidR="00F12B0C">
        <w:rPr>
          <w:rFonts w:cstheme="minorHAnsi"/>
          <w:szCs w:val="20"/>
          <w:lang w:val="en"/>
        </w:rPr>
        <w:t>.</w:t>
      </w:r>
      <w:r w:rsidRPr="00216A71">
        <w:rPr>
          <w:rFonts w:cstheme="minorHAnsi"/>
          <w:szCs w:val="20"/>
          <w:lang w:val="en"/>
        </w:rPr>
        <w:t xml:space="preserve"> </w:t>
      </w:r>
      <w:r w:rsidR="00F12B0C">
        <w:rPr>
          <w:rFonts w:cstheme="minorHAnsi"/>
          <w:szCs w:val="20"/>
          <w:lang w:val="en"/>
        </w:rPr>
        <w:t>A</w:t>
      </w:r>
      <w:r w:rsidRPr="00216A71">
        <w:rPr>
          <w:rFonts w:cstheme="minorHAnsi"/>
          <w:szCs w:val="20"/>
          <w:lang w:val="en"/>
        </w:rPr>
        <w:t xml:space="preserve"> court case brought by opponents of PPPs has frozen an attempt to issue tenders for waste management in </w:t>
      </w:r>
      <w:r w:rsidRPr="00216A71">
        <w:rPr>
          <w:rFonts w:cstheme="minorHAnsi"/>
          <w:szCs w:val="20"/>
        </w:rPr>
        <w:t>Ribeirão Preto municipality, Sao P</w:t>
      </w:r>
      <w:r w:rsidR="002C73A7" w:rsidRPr="00216A71">
        <w:rPr>
          <w:rFonts w:cstheme="minorHAnsi"/>
          <w:szCs w:val="20"/>
        </w:rPr>
        <w:t>aulo</w:t>
      </w:r>
      <w:r w:rsidR="00BD6D9D" w:rsidRPr="00216A71">
        <w:rPr>
          <w:rFonts w:cstheme="minorHAnsi"/>
          <w:szCs w:val="20"/>
        </w:rPr>
        <w:t>, because of multiple irregularities</w:t>
      </w:r>
      <w:r w:rsidR="00F12B0C">
        <w:rPr>
          <w:rFonts w:cstheme="minorHAnsi"/>
          <w:szCs w:val="20"/>
        </w:rPr>
        <w:t>.</w:t>
      </w:r>
      <w:r w:rsidR="002C73A7" w:rsidRPr="00216A71">
        <w:rPr>
          <w:rFonts w:cstheme="minorHAnsi"/>
          <w:szCs w:val="20"/>
        </w:rPr>
        <w:t xml:space="preserve"> Sao Paulo state has dropped a plan for a PPP</w:t>
      </w:r>
      <w:r w:rsidR="00E87F01" w:rsidRPr="00216A71">
        <w:rPr>
          <w:rFonts w:cstheme="minorHAnsi"/>
          <w:szCs w:val="20"/>
        </w:rPr>
        <w:t xml:space="preserve"> for interactive learning.</w:t>
      </w:r>
      <w:r w:rsidR="00E87F01" w:rsidRPr="00216A71">
        <w:rPr>
          <w:rStyle w:val="EndnoteReference"/>
          <w:rFonts w:cstheme="minorHAnsi"/>
          <w:szCs w:val="20"/>
        </w:rPr>
        <w:endnoteReference w:id="66"/>
      </w:r>
    </w:p>
    <w:p w:rsidR="000C629A" w:rsidRDefault="009072EF" w:rsidP="00A54D47">
      <w:pPr>
        <w:rPr>
          <w:rFonts w:cstheme="minorHAnsi"/>
          <w:szCs w:val="20"/>
        </w:rPr>
      </w:pPr>
      <w:r w:rsidRPr="00216A71">
        <w:rPr>
          <w:rFonts w:cstheme="minorHAnsi"/>
          <w:bCs/>
          <w:szCs w:val="20"/>
        </w:rPr>
        <w:t xml:space="preserve">In total, </w:t>
      </w:r>
      <w:r w:rsidR="00074370" w:rsidRPr="00216A71">
        <w:rPr>
          <w:rFonts w:cstheme="minorHAnsi"/>
          <w:bCs/>
          <w:szCs w:val="20"/>
        </w:rPr>
        <w:t xml:space="preserve">governments have given </w:t>
      </w:r>
      <w:r w:rsidRPr="00216A71">
        <w:rPr>
          <w:rFonts w:cstheme="minorHAnsi"/>
          <w:bCs/>
          <w:szCs w:val="20"/>
        </w:rPr>
        <w:t>well over USD</w:t>
      </w:r>
      <w:r w:rsidR="008867DF">
        <w:rPr>
          <w:rFonts w:cstheme="minorHAnsi"/>
          <w:bCs/>
          <w:szCs w:val="20"/>
        </w:rPr>
        <w:t xml:space="preserve"> </w:t>
      </w:r>
      <w:r w:rsidRPr="00216A71">
        <w:rPr>
          <w:rFonts w:cstheme="minorHAnsi"/>
          <w:bCs/>
          <w:szCs w:val="20"/>
        </w:rPr>
        <w:t xml:space="preserve">$100 billion of guarantees </w:t>
      </w:r>
      <w:r w:rsidR="00074370" w:rsidRPr="00216A71">
        <w:rPr>
          <w:rFonts w:cstheme="minorHAnsi"/>
          <w:bCs/>
          <w:szCs w:val="20"/>
        </w:rPr>
        <w:t xml:space="preserve">and loans </w:t>
      </w:r>
      <w:r w:rsidRPr="00216A71">
        <w:rPr>
          <w:rFonts w:cstheme="minorHAnsi"/>
          <w:bCs/>
          <w:szCs w:val="20"/>
        </w:rPr>
        <w:t>to PPPs.</w:t>
      </w:r>
    </w:p>
    <w:p w:rsidR="00047D48" w:rsidRPr="00216A71" w:rsidRDefault="00047D48" w:rsidP="00781FBC">
      <w:pPr>
        <w:pStyle w:val="ListParagraph"/>
        <w:numPr>
          <w:ilvl w:val="0"/>
          <w:numId w:val="45"/>
        </w:numPr>
        <w:rPr>
          <w:rFonts w:cstheme="minorHAnsi"/>
          <w:bCs/>
          <w:szCs w:val="20"/>
        </w:rPr>
      </w:pPr>
      <w:r w:rsidRPr="00216A71">
        <w:rPr>
          <w:rFonts w:cstheme="minorHAnsi"/>
          <w:szCs w:val="20"/>
        </w:rPr>
        <w:lastRenderedPageBreak/>
        <w:t>Despite agreeing to terminate the use of the PFI programme, the</w:t>
      </w:r>
      <w:r w:rsidR="004045AD">
        <w:rPr>
          <w:rFonts w:cstheme="minorHAnsi"/>
          <w:szCs w:val="20"/>
        </w:rPr>
        <w:t xml:space="preserve"> </w:t>
      </w:r>
      <w:r w:rsidRPr="00216A71">
        <w:rPr>
          <w:rFonts w:cstheme="minorHAnsi"/>
          <w:szCs w:val="20"/>
        </w:rPr>
        <w:t>UK government has nevertheless committed up to £40 billion of public money to subsidise future infrastructure PPPs</w:t>
      </w:r>
      <w:r w:rsidR="00277AAA" w:rsidRPr="00216A71">
        <w:rPr>
          <w:rFonts w:cstheme="minorHAnsi"/>
          <w:szCs w:val="20"/>
        </w:rPr>
        <w:t xml:space="preserve"> through a new “UK Guarantees” </w:t>
      </w:r>
      <w:r w:rsidRPr="00216A71">
        <w:rPr>
          <w:rFonts w:cstheme="minorHAnsi"/>
          <w:szCs w:val="20"/>
        </w:rPr>
        <w:t>scheme.</w:t>
      </w:r>
      <w:r w:rsidR="004045AD">
        <w:rPr>
          <w:rFonts w:cstheme="minorHAnsi"/>
          <w:szCs w:val="20"/>
        </w:rPr>
        <w:t xml:space="preserve"> </w:t>
      </w:r>
      <w:r w:rsidRPr="00216A71">
        <w:rPr>
          <w:rFonts w:cstheme="minorHAnsi"/>
          <w:szCs w:val="20"/>
        </w:rPr>
        <w:t>These are “unconditional and irrevocable financial guarantees</w:t>
      </w:r>
      <w:r w:rsidR="004045AD">
        <w:rPr>
          <w:rFonts w:cstheme="minorHAnsi"/>
          <w:szCs w:val="20"/>
        </w:rPr>
        <w:t xml:space="preserve"> </w:t>
      </w:r>
      <w:r w:rsidRPr="00216A71">
        <w:rPr>
          <w:rFonts w:cstheme="minorHAnsi"/>
          <w:szCs w:val="20"/>
        </w:rPr>
        <w:t>of scheduled principal and interest in favour of a lender to a UK infrastructure project.”</w:t>
      </w:r>
      <w:r w:rsidRPr="00216A71">
        <w:rPr>
          <w:rStyle w:val="EndnoteReference"/>
          <w:rFonts w:cstheme="minorHAnsi"/>
          <w:szCs w:val="20"/>
        </w:rPr>
        <w:endnoteReference w:id="67"/>
      </w:r>
    </w:p>
    <w:p w:rsidR="00732B04" w:rsidRPr="00216A71" w:rsidRDefault="00732B04" w:rsidP="00781FBC">
      <w:pPr>
        <w:pStyle w:val="ListParagraph"/>
        <w:numPr>
          <w:ilvl w:val="0"/>
          <w:numId w:val="45"/>
        </w:numPr>
        <w:rPr>
          <w:rFonts w:cstheme="minorHAnsi"/>
          <w:szCs w:val="20"/>
        </w:rPr>
      </w:pPr>
      <w:r w:rsidRPr="00216A71">
        <w:rPr>
          <w:rFonts w:cstheme="minorHAnsi"/>
          <w:szCs w:val="20"/>
        </w:rPr>
        <w:t>In France, the government of Nicolas Sarkozy created a special budget to provide state guarantees (worth €10 billion) and</w:t>
      </w:r>
      <w:r w:rsidR="004045AD">
        <w:rPr>
          <w:rFonts w:cstheme="minorHAnsi"/>
          <w:szCs w:val="20"/>
        </w:rPr>
        <w:t xml:space="preserve"> </w:t>
      </w:r>
      <w:r w:rsidRPr="00216A71">
        <w:rPr>
          <w:rFonts w:cstheme="minorHAnsi"/>
          <w:szCs w:val="20"/>
        </w:rPr>
        <w:t>subsidised loans from the government itself (€8 billion, via the Caisse de Dépôts) to help finance PPPs</w:t>
      </w:r>
      <w:r w:rsidR="00277AAA" w:rsidRPr="00216A71">
        <w:rPr>
          <w:rFonts w:cstheme="minorHAnsi"/>
          <w:szCs w:val="20"/>
        </w:rPr>
        <w:t>.</w:t>
      </w:r>
    </w:p>
    <w:p w:rsidR="000C629A" w:rsidRDefault="00732B04" w:rsidP="00781FBC">
      <w:pPr>
        <w:pStyle w:val="ListParagraph"/>
        <w:numPr>
          <w:ilvl w:val="0"/>
          <w:numId w:val="45"/>
        </w:numPr>
        <w:rPr>
          <w:rFonts w:cstheme="minorHAnsi"/>
          <w:szCs w:val="20"/>
        </w:rPr>
      </w:pPr>
      <w:r w:rsidRPr="00216A71">
        <w:rPr>
          <w:rFonts w:cstheme="minorHAnsi"/>
          <w:szCs w:val="20"/>
        </w:rPr>
        <w:t xml:space="preserve">The Spanish government </w:t>
      </w:r>
      <w:r w:rsidR="002D458C" w:rsidRPr="00216A71">
        <w:rPr>
          <w:rFonts w:cstheme="minorHAnsi"/>
          <w:szCs w:val="20"/>
        </w:rPr>
        <w:t>gave</w:t>
      </w:r>
      <w:r w:rsidRPr="00216A71">
        <w:rPr>
          <w:rFonts w:cstheme="minorHAnsi"/>
          <w:szCs w:val="20"/>
        </w:rPr>
        <w:t xml:space="preserve"> gener</w:t>
      </w:r>
      <w:r w:rsidR="002D458C" w:rsidRPr="00216A71">
        <w:rPr>
          <w:rFonts w:cstheme="minorHAnsi"/>
          <w:szCs w:val="20"/>
        </w:rPr>
        <w:t>al guarantees to transport PPPs, worth up to €15 billion</w:t>
      </w:r>
      <w:r w:rsidR="00277AAA" w:rsidRPr="00216A71">
        <w:rPr>
          <w:rFonts w:cstheme="minorHAnsi"/>
          <w:szCs w:val="20"/>
        </w:rPr>
        <w:t>.</w:t>
      </w:r>
      <w:r w:rsidRPr="00216A71">
        <w:rPr>
          <w:rStyle w:val="EndnoteReference"/>
          <w:rFonts w:cstheme="minorHAnsi"/>
          <w:szCs w:val="20"/>
        </w:rPr>
        <w:endnoteReference w:id="68"/>
      </w:r>
    </w:p>
    <w:p w:rsidR="002D458C" w:rsidRPr="00216A71" w:rsidRDefault="007D6101" w:rsidP="00781FBC">
      <w:pPr>
        <w:pStyle w:val="ListParagraph"/>
        <w:numPr>
          <w:ilvl w:val="0"/>
          <w:numId w:val="45"/>
        </w:numPr>
        <w:rPr>
          <w:rFonts w:cstheme="minorHAnsi"/>
          <w:szCs w:val="20"/>
        </w:rPr>
      </w:pPr>
      <w:r w:rsidRPr="00216A71">
        <w:rPr>
          <w:rFonts w:cstheme="minorHAnsi"/>
          <w:bCs/>
          <w:szCs w:val="20"/>
        </w:rPr>
        <w:t xml:space="preserve">India is using public finance to bail out existing PPPs which are now unable to find private finance. </w:t>
      </w:r>
      <w:r w:rsidR="00E941FA" w:rsidRPr="00216A71">
        <w:rPr>
          <w:rFonts w:cstheme="minorHAnsi"/>
          <w:bCs/>
          <w:szCs w:val="20"/>
        </w:rPr>
        <w:t>T</w:t>
      </w:r>
      <w:r w:rsidRPr="00216A71">
        <w:rPr>
          <w:rFonts w:cstheme="minorHAnsi"/>
          <w:bCs/>
          <w:szCs w:val="20"/>
        </w:rPr>
        <w:t>he India Infrastructure Finance Company Limited (IIFCL)</w:t>
      </w:r>
      <w:r w:rsidR="00277AAA" w:rsidRPr="00216A71">
        <w:rPr>
          <w:rFonts w:cstheme="minorHAnsi"/>
          <w:bCs/>
          <w:szCs w:val="20"/>
        </w:rPr>
        <w:t xml:space="preserve"> has lent over USD $4 billion</w:t>
      </w:r>
      <w:r w:rsidRPr="00216A71">
        <w:rPr>
          <w:rFonts w:cstheme="minorHAnsi"/>
          <w:bCs/>
          <w:szCs w:val="20"/>
        </w:rPr>
        <w:t xml:space="preserve">, </w:t>
      </w:r>
      <w:r w:rsidR="00E941FA" w:rsidRPr="00216A71">
        <w:rPr>
          <w:rFonts w:cstheme="minorHAnsi"/>
          <w:bCs/>
          <w:szCs w:val="20"/>
        </w:rPr>
        <w:t>m</w:t>
      </w:r>
      <w:r w:rsidR="002F3151" w:rsidRPr="00216A71">
        <w:rPr>
          <w:rFonts w:cstheme="minorHAnsi"/>
          <w:bCs/>
          <w:szCs w:val="20"/>
        </w:rPr>
        <w:t>ostly to roads and energy PPPs, helped by a World Bank loan of more than USD</w:t>
      </w:r>
      <w:r w:rsidR="008867DF">
        <w:rPr>
          <w:rFonts w:cstheme="minorHAnsi"/>
          <w:bCs/>
          <w:szCs w:val="20"/>
        </w:rPr>
        <w:t xml:space="preserve"> </w:t>
      </w:r>
      <w:r w:rsidR="002F3151" w:rsidRPr="00216A71">
        <w:rPr>
          <w:rFonts w:cstheme="minorHAnsi"/>
          <w:bCs/>
          <w:szCs w:val="20"/>
        </w:rPr>
        <w:t>$1 billion.</w:t>
      </w:r>
      <w:r w:rsidR="00E941FA" w:rsidRPr="00216A71">
        <w:rPr>
          <w:rStyle w:val="EndnoteReference"/>
          <w:rFonts w:cstheme="minorHAnsi"/>
          <w:bCs/>
          <w:szCs w:val="20"/>
        </w:rPr>
        <w:endnoteReference w:id="69"/>
      </w:r>
    </w:p>
    <w:p w:rsidR="00FF53CA" w:rsidRPr="00216A71" w:rsidRDefault="00FF53CA" w:rsidP="00781FBC">
      <w:pPr>
        <w:pStyle w:val="ListParagraph"/>
        <w:numPr>
          <w:ilvl w:val="0"/>
          <w:numId w:val="45"/>
        </w:numPr>
        <w:rPr>
          <w:rFonts w:cstheme="minorHAnsi"/>
          <w:szCs w:val="20"/>
        </w:rPr>
      </w:pPr>
      <w:r w:rsidRPr="00216A71">
        <w:rPr>
          <w:rFonts w:cstheme="minorHAnsi"/>
          <w:szCs w:val="20"/>
        </w:rPr>
        <w:t xml:space="preserve">South Korea set up an Infrastructure Credit Guarantee Fund </w:t>
      </w:r>
      <w:r w:rsidR="00933744" w:rsidRPr="00216A71">
        <w:rPr>
          <w:rFonts w:cstheme="minorHAnsi"/>
          <w:szCs w:val="20"/>
        </w:rPr>
        <w:t>(KICGF)</w:t>
      </w:r>
      <w:r w:rsidR="000F2640" w:rsidRPr="00216A71">
        <w:rPr>
          <w:rFonts w:cstheme="minorHAnsi"/>
          <w:szCs w:val="20"/>
        </w:rPr>
        <w:t xml:space="preserve">, </w:t>
      </w:r>
      <w:r w:rsidRPr="00216A71">
        <w:rPr>
          <w:rFonts w:cstheme="minorHAnsi"/>
          <w:szCs w:val="20"/>
        </w:rPr>
        <w:t>which guarantees up to 50</w:t>
      </w:r>
      <w:r w:rsidR="00A42FDE">
        <w:rPr>
          <w:rFonts w:cstheme="minorHAnsi"/>
          <w:szCs w:val="20"/>
        </w:rPr>
        <w:t xml:space="preserve"> per cent</w:t>
      </w:r>
      <w:r w:rsidRPr="00216A71">
        <w:rPr>
          <w:rFonts w:cstheme="minorHAnsi"/>
          <w:szCs w:val="20"/>
        </w:rPr>
        <w:t xml:space="preserve"> of large PPPs, and provide</w:t>
      </w:r>
      <w:r w:rsidR="000F2640" w:rsidRPr="00216A71">
        <w:rPr>
          <w:rFonts w:cstheme="minorHAnsi"/>
          <w:szCs w:val="20"/>
        </w:rPr>
        <w:t>s</w:t>
      </w:r>
      <w:r w:rsidRPr="00216A71">
        <w:rPr>
          <w:rFonts w:cstheme="minorHAnsi"/>
          <w:szCs w:val="20"/>
        </w:rPr>
        <w:t xml:space="preserve"> other support for its PPPs “even </w:t>
      </w:r>
      <w:r w:rsidR="00933744" w:rsidRPr="00216A71">
        <w:rPr>
          <w:rFonts w:cstheme="minorHAnsi"/>
          <w:szCs w:val="20"/>
        </w:rPr>
        <w:t>in financially difficult times</w:t>
      </w:r>
      <w:r w:rsidR="008867DF">
        <w:rPr>
          <w:rFonts w:cstheme="minorHAnsi"/>
          <w:szCs w:val="20"/>
        </w:rPr>
        <w:t>.</w:t>
      </w:r>
      <w:r w:rsidR="00933744" w:rsidRPr="00216A71">
        <w:rPr>
          <w:rFonts w:cstheme="minorHAnsi"/>
          <w:szCs w:val="20"/>
        </w:rPr>
        <w:t>”</w:t>
      </w:r>
      <w:r w:rsidRPr="00216A71">
        <w:rPr>
          <w:rStyle w:val="EndnoteReference"/>
          <w:rFonts w:cstheme="minorHAnsi"/>
          <w:szCs w:val="20"/>
        </w:rPr>
        <w:endnoteReference w:id="70"/>
      </w:r>
    </w:p>
    <w:p w:rsidR="002D458C" w:rsidRPr="00216A71" w:rsidRDefault="002D458C" w:rsidP="00781FBC">
      <w:pPr>
        <w:pStyle w:val="ListParagraph"/>
        <w:numPr>
          <w:ilvl w:val="0"/>
          <w:numId w:val="45"/>
        </w:numPr>
        <w:rPr>
          <w:rFonts w:cstheme="minorHAnsi"/>
          <w:szCs w:val="20"/>
        </w:rPr>
      </w:pPr>
      <w:r w:rsidRPr="00216A71">
        <w:rPr>
          <w:rFonts w:cstheme="minorHAnsi"/>
          <w:szCs w:val="20"/>
        </w:rPr>
        <w:t>In Australia, the state of Victoria guaranteed over $4</w:t>
      </w:r>
      <w:r w:rsidR="008F1153" w:rsidRPr="00216A71">
        <w:rPr>
          <w:rFonts w:cstheme="minorHAnsi"/>
          <w:szCs w:val="20"/>
        </w:rPr>
        <w:t xml:space="preserve"> </w:t>
      </w:r>
      <w:r w:rsidRPr="00216A71">
        <w:rPr>
          <w:rFonts w:cstheme="minorHAnsi"/>
          <w:szCs w:val="20"/>
        </w:rPr>
        <w:t>billion of a PPP for a desalination plant.</w:t>
      </w:r>
      <w:r w:rsidRPr="00216A71">
        <w:rPr>
          <w:rStyle w:val="EndnoteReference"/>
          <w:rFonts w:cstheme="minorHAnsi"/>
          <w:szCs w:val="20"/>
        </w:rPr>
        <w:endnoteReference w:id="71"/>
      </w:r>
    </w:p>
    <w:p w:rsidR="002557B0" w:rsidRPr="00216A71" w:rsidRDefault="009072EF" w:rsidP="002557B0">
      <w:pPr>
        <w:pStyle w:val="ListParagraph"/>
        <w:numPr>
          <w:ilvl w:val="0"/>
          <w:numId w:val="45"/>
        </w:numPr>
        <w:rPr>
          <w:rFonts w:cstheme="minorHAnsi"/>
          <w:szCs w:val="20"/>
        </w:rPr>
      </w:pPr>
      <w:r w:rsidRPr="00216A71">
        <w:rPr>
          <w:rFonts w:cstheme="minorHAnsi"/>
          <w:szCs w:val="20"/>
        </w:rPr>
        <w:t xml:space="preserve">In the USA, the Transportation Infrastructure Finance and Innovation Act, or TIFIA, was increased to $1 billion a year </w:t>
      </w:r>
      <w:r w:rsidR="000722C3" w:rsidRPr="00216A71">
        <w:rPr>
          <w:rFonts w:cstheme="minorHAnsi"/>
          <w:szCs w:val="20"/>
        </w:rPr>
        <w:t>in 2013</w:t>
      </w:r>
      <w:r w:rsidRPr="00216A71">
        <w:rPr>
          <w:rFonts w:cstheme="minorHAnsi"/>
          <w:szCs w:val="20"/>
        </w:rPr>
        <w:t>.</w:t>
      </w:r>
      <w:r w:rsidR="004045AD">
        <w:rPr>
          <w:rFonts w:cstheme="minorHAnsi"/>
          <w:szCs w:val="20"/>
        </w:rPr>
        <w:t xml:space="preserve"> </w:t>
      </w:r>
      <w:r w:rsidRPr="00216A71">
        <w:rPr>
          <w:rFonts w:cstheme="minorHAnsi"/>
          <w:szCs w:val="20"/>
        </w:rPr>
        <w:t xml:space="preserve">TIFIA </w:t>
      </w:r>
      <w:hyperlink r:id="rId86" w:tooltip="Open Web Site" w:history="1">
        <w:r w:rsidRPr="00216A71">
          <w:rPr>
            <w:rStyle w:val="Hyperlink"/>
            <w:rFonts w:cstheme="minorHAnsi"/>
            <w:color w:val="auto"/>
            <w:szCs w:val="20"/>
          </w:rPr>
          <w:t>loans</w:t>
        </w:r>
      </w:hyperlink>
      <w:r w:rsidRPr="00216A71">
        <w:rPr>
          <w:rFonts w:cstheme="minorHAnsi"/>
          <w:szCs w:val="20"/>
        </w:rPr>
        <w:t xml:space="preserve"> to private road operators offer below-market rates </w:t>
      </w:r>
      <w:r w:rsidR="008867DF" w:rsidRPr="00216A71">
        <w:rPr>
          <w:rFonts w:cstheme="minorHAnsi"/>
          <w:szCs w:val="20"/>
          <w:lang w:val="en"/>
        </w:rPr>
        <w:t>–</w:t>
      </w:r>
      <w:r w:rsidRPr="00216A71">
        <w:rPr>
          <w:rFonts w:cstheme="minorHAnsi"/>
          <w:szCs w:val="20"/>
        </w:rPr>
        <w:t xml:space="preserve"> 3.87 per</w:t>
      </w:r>
      <w:r w:rsidR="008867DF">
        <w:rPr>
          <w:rFonts w:cstheme="minorHAnsi"/>
          <w:szCs w:val="20"/>
        </w:rPr>
        <w:t xml:space="preserve"> </w:t>
      </w:r>
      <w:r w:rsidRPr="00216A71">
        <w:rPr>
          <w:rFonts w:cstheme="minorHAnsi"/>
          <w:szCs w:val="20"/>
        </w:rPr>
        <w:t xml:space="preserve">cent as of Nov. 22 </w:t>
      </w:r>
      <w:r w:rsidR="008867DF" w:rsidRPr="00216A71">
        <w:rPr>
          <w:rFonts w:cstheme="minorHAnsi"/>
          <w:szCs w:val="20"/>
          <w:lang w:val="en"/>
        </w:rPr>
        <w:t>–</w:t>
      </w:r>
      <w:r w:rsidRPr="00216A71">
        <w:rPr>
          <w:rFonts w:cstheme="minorHAnsi"/>
          <w:szCs w:val="20"/>
        </w:rPr>
        <w:t xml:space="preserve"> with 35-year terms and deferred payments. The deals often include an equity investment, bank loans and bonds issued through state public finance agencies.</w:t>
      </w:r>
      <w:r w:rsidRPr="00216A71">
        <w:rPr>
          <w:rFonts w:cstheme="minorHAnsi"/>
          <w:szCs w:val="20"/>
          <w:vertAlign w:val="superscript"/>
        </w:rPr>
        <w:endnoteReference w:id="72"/>
      </w:r>
      <w:bookmarkStart w:id="18" w:name="_Toc256683318"/>
    </w:p>
    <w:bookmarkEnd w:id="18"/>
    <w:p w:rsidR="000E505F" w:rsidRPr="00216A71" w:rsidRDefault="009072EF" w:rsidP="00FF53CA">
      <w:pPr>
        <w:pStyle w:val="Heading7"/>
        <w:rPr>
          <w:rFonts w:asciiTheme="minorHAnsi" w:hAnsiTheme="minorHAnsi" w:cstheme="minorHAnsi"/>
          <w:szCs w:val="20"/>
        </w:rPr>
      </w:pPr>
      <w:r w:rsidRPr="00216A71">
        <w:rPr>
          <w:rFonts w:asciiTheme="minorHAnsi" w:hAnsiTheme="minorHAnsi" w:cstheme="minorHAnsi"/>
          <w:szCs w:val="20"/>
        </w:rPr>
        <w:t>Public guarantees for PPPs</w:t>
      </w:r>
    </w:p>
    <w:tbl>
      <w:tblPr>
        <w:tblStyle w:val="TableGrid"/>
        <w:tblW w:w="0" w:type="auto"/>
        <w:tblLook w:val="04A0" w:firstRow="1" w:lastRow="0" w:firstColumn="1" w:lastColumn="0" w:noHBand="0" w:noVBand="1"/>
      </w:tblPr>
      <w:tblGrid>
        <w:gridCol w:w="4077"/>
        <w:gridCol w:w="3969"/>
      </w:tblGrid>
      <w:tr w:rsidR="00277AAA" w:rsidRPr="00216A71" w:rsidTr="00277AAA">
        <w:tc>
          <w:tcPr>
            <w:tcW w:w="4077" w:type="dxa"/>
          </w:tcPr>
          <w:p w:rsidR="00277AAA" w:rsidRPr="00216A71" w:rsidRDefault="00277AAA" w:rsidP="009072EF">
            <w:pPr>
              <w:rPr>
                <w:rFonts w:cstheme="minorHAnsi"/>
                <w:szCs w:val="20"/>
              </w:rPr>
            </w:pPr>
            <w:r w:rsidRPr="00216A71">
              <w:rPr>
                <w:rFonts w:cstheme="minorHAnsi"/>
                <w:szCs w:val="20"/>
              </w:rPr>
              <w:t>Guarantor</w:t>
            </w:r>
          </w:p>
        </w:tc>
        <w:tc>
          <w:tcPr>
            <w:tcW w:w="3969" w:type="dxa"/>
          </w:tcPr>
          <w:p w:rsidR="00277AAA" w:rsidRPr="00216A71" w:rsidRDefault="00277AAA" w:rsidP="008867DF">
            <w:pPr>
              <w:rPr>
                <w:rFonts w:cstheme="minorHAnsi"/>
                <w:szCs w:val="20"/>
              </w:rPr>
            </w:pPr>
            <w:r w:rsidRPr="00216A71">
              <w:rPr>
                <w:rFonts w:cstheme="minorHAnsi"/>
                <w:szCs w:val="20"/>
              </w:rPr>
              <w:t>Total amount guaranteed (USD $</w:t>
            </w:r>
            <w:r w:rsidR="008867DF">
              <w:rPr>
                <w:rFonts w:cstheme="minorHAnsi"/>
                <w:szCs w:val="20"/>
              </w:rPr>
              <w:t>)</w:t>
            </w:r>
          </w:p>
        </w:tc>
      </w:tr>
      <w:tr w:rsidR="00277AAA" w:rsidRPr="00216A71" w:rsidTr="00277AAA">
        <w:tc>
          <w:tcPr>
            <w:tcW w:w="4077" w:type="dxa"/>
          </w:tcPr>
          <w:p w:rsidR="00277AAA" w:rsidRPr="00216A71" w:rsidRDefault="00277AAA" w:rsidP="009072EF">
            <w:pPr>
              <w:rPr>
                <w:rFonts w:cstheme="minorHAnsi"/>
                <w:szCs w:val="20"/>
              </w:rPr>
            </w:pPr>
            <w:r w:rsidRPr="00216A71">
              <w:rPr>
                <w:rFonts w:cstheme="minorHAnsi"/>
                <w:szCs w:val="20"/>
              </w:rPr>
              <w:t>UK</w:t>
            </w:r>
          </w:p>
        </w:tc>
        <w:tc>
          <w:tcPr>
            <w:tcW w:w="3969" w:type="dxa"/>
          </w:tcPr>
          <w:p w:rsidR="00277AAA" w:rsidRPr="00216A71" w:rsidRDefault="00277AAA" w:rsidP="009072EF">
            <w:pPr>
              <w:jc w:val="right"/>
              <w:rPr>
                <w:rFonts w:cstheme="minorHAnsi"/>
                <w:szCs w:val="20"/>
              </w:rPr>
            </w:pPr>
            <w:r w:rsidRPr="00216A71">
              <w:rPr>
                <w:rFonts w:cstheme="minorHAnsi"/>
                <w:szCs w:val="20"/>
              </w:rPr>
              <w:t>65 billion</w:t>
            </w:r>
          </w:p>
        </w:tc>
      </w:tr>
      <w:tr w:rsidR="00277AAA" w:rsidRPr="00216A71" w:rsidTr="00277AAA">
        <w:tc>
          <w:tcPr>
            <w:tcW w:w="4077" w:type="dxa"/>
          </w:tcPr>
          <w:p w:rsidR="00277AAA" w:rsidRPr="00216A71" w:rsidRDefault="00277AAA" w:rsidP="009072EF">
            <w:pPr>
              <w:rPr>
                <w:rFonts w:cstheme="minorHAnsi"/>
                <w:szCs w:val="20"/>
              </w:rPr>
            </w:pPr>
            <w:r w:rsidRPr="00216A71">
              <w:rPr>
                <w:rFonts w:cstheme="minorHAnsi"/>
                <w:szCs w:val="20"/>
              </w:rPr>
              <w:t>France</w:t>
            </w:r>
          </w:p>
        </w:tc>
        <w:tc>
          <w:tcPr>
            <w:tcW w:w="3969" w:type="dxa"/>
          </w:tcPr>
          <w:p w:rsidR="00277AAA" w:rsidRPr="00216A71" w:rsidRDefault="00277AAA" w:rsidP="009072EF">
            <w:pPr>
              <w:jc w:val="right"/>
              <w:rPr>
                <w:rFonts w:cstheme="minorHAnsi"/>
                <w:szCs w:val="20"/>
              </w:rPr>
            </w:pPr>
            <w:r w:rsidRPr="00216A71">
              <w:rPr>
                <w:rFonts w:cstheme="minorHAnsi"/>
                <w:szCs w:val="20"/>
              </w:rPr>
              <w:t>13 billion</w:t>
            </w:r>
          </w:p>
        </w:tc>
      </w:tr>
      <w:tr w:rsidR="00277AAA" w:rsidRPr="00216A71" w:rsidTr="00277AAA">
        <w:tc>
          <w:tcPr>
            <w:tcW w:w="4077" w:type="dxa"/>
          </w:tcPr>
          <w:p w:rsidR="00277AAA" w:rsidRPr="00216A71" w:rsidRDefault="00277AAA" w:rsidP="009072EF">
            <w:pPr>
              <w:rPr>
                <w:rFonts w:cstheme="minorHAnsi"/>
                <w:szCs w:val="20"/>
              </w:rPr>
            </w:pPr>
            <w:r w:rsidRPr="00216A71">
              <w:rPr>
                <w:rFonts w:cstheme="minorHAnsi"/>
                <w:szCs w:val="20"/>
              </w:rPr>
              <w:t>Spain</w:t>
            </w:r>
          </w:p>
        </w:tc>
        <w:tc>
          <w:tcPr>
            <w:tcW w:w="3969" w:type="dxa"/>
          </w:tcPr>
          <w:p w:rsidR="00277AAA" w:rsidRPr="00216A71" w:rsidRDefault="00277AAA" w:rsidP="009072EF">
            <w:pPr>
              <w:jc w:val="right"/>
              <w:rPr>
                <w:rFonts w:cstheme="minorHAnsi"/>
                <w:szCs w:val="20"/>
              </w:rPr>
            </w:pPr>
            <w:r w:rsidRPr="00216A71">
              <w:rPr>
                <w:rFonts w:cstheme="minorHAnsi"/>
                <w:szCs w:val="20"/>
              </w:rPr>
              <w:t>20 billion</w:t>
            </w:r>
          </w:p>
        </w:tc>
      </w:tr>
      <w:tr w:rsidR="00277AAA" w:rsidRPr="00216A71" w:rsidTr="00277AAA">
        <w:tc>
          <w:tcPr>
            <w:tcW w:w="4077" w:type="dxa"/>
          </w:tcPr>
          <w:p w:rsidR="00277AAA" w:rsidRPr="00216A71" w:rsidRDefault="00277AAA" w:rsidP="009072EF">
            <w:pPr>
              <w:rPr>
                <w:rFonts w:cstheme="minorHAnsi"/>
                <w:szCs w:val="20"/>
              </w:rPr>
            </w:pPr>
            <w:r w:rsidRPr="00216A71">
              <w:rPr>
                <w:rFonts w:cstheme="minorHAnsi"/>
                <w:szCs w:val="20"/>
              </w:rPr>
              <w:t>India (and W Bank)</w:t>
            </w:r>
          </w:p>
        </w:tc>
        <w:tc>
          <w:tcPr>
            <w:tcW w:w="3969" w:type="dxa"/>
          </w:tcPr>
          <w:p w:rsidR="00277AAA" w:rsidRPr="00216A71" w:rsidRDefault="00277AAA" w:rsidP="009072EF">
            <w:pPr>
              <w:jc w:val="right"/>
              <w:rPr>
                <w:rFonts w:cstheme="minorHAnsi"/>
                <w:szCs w:val="20"/>
              </w:rPr>
            </w:pPr>
            <w:r w:rsidRPr="00216A71">
              <w:rPr>
                <w:rFonts w:cstheme="minorHAnsi"/>
                <w:szCs w:val="20"/>
              </w:rPr>
              <w:t>4 billion</w:t>
            </w:r>
          </w:p>
        </w:tc>
      </w:tr>
      <w:tr w:rsidR="00277AAA" w:rsidRPr="00216A71" w:rsidTr="00277AAA">
        <w:tc>
          <w:tcPr>
            <w:tcW w:w="4077" w:type="dxa"/>
          </w:tcPr>
          <w:p w:rsidR="00277AAA" w:rsidRPr="00216A71" w:rsidRDefault="00277AAA" w:rsidP="009072EF">
            <w:pPr>
              <w:rPr>
                <w:rFonts w:cstheme="minorHAnsi"/>
                <w:szCs w:val="20"/>
              </w:rPr>
            </w:pPr>
            <w:r w:rsidRPr="00216A71">
              <w:rPr>
                <w:rFonts w:cstheme="minorHAnsi"/>
                <w:szCs w:val="20"/>
              </w:rPr>
              <w:t>S Korea</w:t>
            </w:r>
          </w:p>
        </w:tc>
        <w:tc>
          <w:tcPr>
            <w:tcW w:w="3969" w:type="dxa"/>
          </w:tcPr>
          <w:p w:rsidR="00277AAA" w:rsidRPr="00216A71" w:rsidRDefault="00277AAA" w:rsidP="009072EF">
            <w:pPr>
              <w:jc w:val="right"/>
              <w:rPr>
                <w:rFonts w:cstheme="minorHAnsi"/>
                <w:szCs w:val="20"/>
              </w:rPr>
            </w:pPr>
            <w:r w:rsidRPr="00216A71">
              <w:rPr>
                <w:rFonts w:cstheme="minorHAnsi"/>
                <w:szCs w:val="20"/>
              </w:rPr>
              <w:t>7 billion</w:t>
            </w:r>
          </w:p>
        </w:tc>
      </w:tr>
      <w:tr w:rsidR="00277AAA" w:rsidRPr="00216A71" w:rsidTr="00277AAA">
        <w:tc>
          <w:tcPr>
            <w:tcW w:w="4077" w:type="dxa"/>
          </w:tcPr>
          <w:p w:rsidR="00277AAA" w:rsidRPr="00216A71" w:rsidRDefault="00277AAA" w:rsidP="009072EF">
            <w:pPr>
              <w:rPr>
                <w:rFonts w:cstheme="minorHAnsi"/>
                <w:szCs w:val="20"/>
              </w:rPr>
            </w:pPr>
            <w:r w:rsidRPr="00216A71">
              <w:rPr>
                <w:rFonts w:cstheme="minorHAnsi"/>
                <w:szCs w:val="20"/>
              </w:rPr>
              <w:t>Australia (Victoria)</w:t>
            </w:r>
          </w:p>
        </w:tc>
        <w:tc>
          <w:tcPr>
            <w:tcW w:w="3969" w:type="dxa"/>
          </w:tcPr>
          <w:p w:rsidR="00277AAA" w:rsidRPr="00216A71" w:rsidRDefault="00277AAA" w:rsidP="009072EF">
            <w:pPr>
              <w:jc w:val="right"/>
              <w:rPr>
                <w:rFonts w:cstheme="minorHAnsi"/>
                <w:szCs w:val="20"/>
              </w:rPr>
            </w:pPr>
            <w:r w:rsidRPr="00216A71">
              <w:rPr>
                <w:rFonts w:cstheme="minorHAnsi"/>
                <w:szCs w:val="20"/>
              </w:rPr>
              <w:t>4 billion</w:t>
            </w:r>
          </w:p>
        </w:tc>
      </w:tr>
      <w:tr w:rsidR="00277AAA" w:rsidRPr="00216A71" w:rsidTr="00277AAA">
        <w:tc>
          <w:tcPr>
            <w:tcW w:w="4077" w:type="dxa"/>
          </w:tcPr>
          <w:p w:rsidR="00277AAA" w:rsidRPr="00216A71" w:rsidRDefault="00277AAA" w:rsidP="009072EF">
            <w:pPr>
              <w:rPr>
                <w:rFonts w:cstheme="minorHAnsi"/>
                <w:szCs w:val="20"/>
              </w:rPr>
            </w:pPr>
            <w:r w:rsidRPr="00216A71">
              <w:rPr>
                <w:rFonts w:cstheme="minorHAnsi"/>
                <w:szCs w:val="20"/>
              </w:rPr>
              <w:t>USA</w:t>
            </w:r>
            <w:r w:rsidRPr="00216A71">
              <w:rPr>
                <w:rStyle w:val="FootnoteReference"/>
                <w:rFonts w:cstheme="minorHAnsi"/>
                <w:szCs w:val="20"/>
              </w:rPr>
              <w:footnoteReference w:id="3"/>
            </w:r>
          </w:p>
        </w:tc>
        <w:tc>
          <w:tcPr>
            <w:tcW w:w="3969" w:type="dxa"/>
          </w:tcPr>
          <w:p w:rsidR="00277AAA" w:rsidRPr="00216A71" w:rsidRDefault="00277AAA" w:rsidP="009072EF">
            <w:pPr>
              <w:jc w:val="right"/>
              <w:rPr>
                <w:rFonts w:cstheme="minorHAnsi"/>
                <w:szCs w:val="20"/>
              </w:rPr>
            </w:pPr>
            <w:r w:rsidRPr="00216A71">
              <w:rPr>
                <w:rFonts w:cstheme="minorHAnsi"/>
                <w:szCs w:val="20"/>
              </w:rPr>
              <w:t>1 billion</w:t>
            </w:r>
          </w:p>
        </w:tc>
      </w:tr>
      <w:tr w:rsidR="00277AAA" w:rsidRPr="00216A71" w:rsidTr="00277AAA">
        <w:tc>
          <w:tcPr>
            <w:tcW w:w="4077" w:type="dxa"/>
          </w:tcPr>
          <w:p w:rsidR="00277AAA" w:rsidRPr="00216A71" w:rsidRDefault="00277AAA" w:rsidP="009072EF">
            <w:pPr>
              <w:rPr>
                <w:rFonts w:cstheme="minorHAnsi"/>
                <w:szCs w:val="20"/>
              </w:rPr>
            </w:pPr>
            <w:r w:rsidRPr="00216A71">
              <w:rPr>
                <w:rFonts w:cstheme="minorHAnsi"/>
                <w:szCs w:val="20"/>
              </w:rPr>
              <w:t>TOTAL</w:t>
            </w:r>
          </w:p>
        </w:tc>
        <w:tc>
          <w:tcPr>
            <w:tcW w:w="3969" w:type="dxa"/>
          </w:tcPr>
          <w:p w:rsidR="00277AAA" w:rsidRPr="00216A71" w:rsidRDefault="00277AAA" w:rsidP="009072EF">
            <w:pPr>
              <w:jc w:val="right"/>
              <w:rPr>
                <w:rFonts w:cstheme="minorHAnsi"/>
                <w:szCs w:val="20"/>
              </w:rPr>
            </w:pPr>
            <w:r w:rsidRPr="00216A71">
              <w:rPr>
                <w:rFonts w:cstheme="minorHAnsi"/>
                <w:szCs w:val="20"/>
              </w:rPr>
              <w:t>114 billion</w:t>
            </w:r>
          </w:p>
        </w:tc>
      </w:tr>
    </w:tbl>
    <w:p w:rsidR="00FF53CA" w:rsidRPr="00216A71" w:rsidRDefault="009072EF" w:rsidP="000E505F">
      <w:pPr>
        <w:rPr>
          <w:rFonts w:cstheme="minorHAnsi"/>
          <w:szCs w:val="20"/>
        </w:rPr>
      </w:pPr>
      <w:r w:rsidRPr="00216A71">
        <w:rPr>
          <w:rFonts w:cstheme="minorHAnsi"/>
          <w:szCs w:val="20"/>
        </w:rPr>
        <w:t>Sources: see text</w:t>
      </w:r>
    </w:p>
    <w:p w:rsidR="000E505F" w:rsidRPr="00216A71" w:rsidRDefault="000E505F" w:rsidP="007549B5">
      <w:pPr>
        <w:pStyle w:val="Heading2"/>
        <w:rPr>
          <w:rFonts w:asciiTheme="minorHAnsi" w:hAnsiTheme="minorHAnsi" w:cstheme="minorHAnsi"/>
          <w:szCs w:val="20"/>
        </w:rPr>
      </w:pPr>
      <w:bookmarkStart w:id="19" w:name="_Toc392857529"/>
      <w:r w:rsidRPr="00216A71">
        <w:rPr>
          <w:rFonts w:asciiTheme="minorHAnsi" w:hAnsiTheme="minorHAnsi" w:cstheme="minorHAnsi"/>
          <w:szCs w:val="20"/>
        </w:rPr>
        <w:t>Consultants</w:t>
      </w:r>
      <w:r w:rsidR="00E55FAE" w:rsidRPr="00216A71">
        <w:rPr>
          <w:rFonts w:asciiTheme="minorHAnsi" w:hAnsiTheme="minorHAnsi" w:cstheme="minorHAnsi"/>
          <w:szCs w:val="20"/>
        </w:rPr>
        <w:t>: unreliable and unaccountable</w:t>
      </w:r>
      <w:bookmarkEnd w:id="19"/>
    </w:p>
    <w:p w:rsidR="000C629A" w:rsidRDefault="000E505F" w:rsidP="000E505F">
      <w:pPr>
        <w:rPr>
          <w:rFonts w:cstheme="minorHAnsi"/>
          <w:szCs w:val="20"/>
        </w:rPr>
      </w:pPr>
      <w:r w:rsidRPr="00216A71">
        <w:rPr>
          <w:rFonts w:cstheme="minorHAnsi"/>
          <w:szCs w:val="20"/>
        </w:rPr>
        <w:t>International consultancy firms play a large role in promoting the principle of PPPs</w:t>
      </w:r>
      <w:r w:rsidR="007549B5" w:rsidRPr="00216A71">
        <w:rPr>
          <w:rFonts w:cstheme="minorHAnsi"/>
          <w:szCs w:val="20"/>
        </w:rPr>
        <w:t>. They writ</w:t>
      </w:r>
      <w:r w:rsidR="00FE1E9E" w:rsidRPr="00216A71">
        <w:rPr>
          <w:rFonts w:cstheme="minorHAnsi"/>
          <w:szCs w:val="20"/>
        </w:rPr>
        <w:t>e reports for international ins</w:t>
      </w:r>
      <w:r w:rsidR="007549B5" w:rsidRPr="00216A71">
        <w:rPr>
          <w:rFonts w:cstheme="minorHAnsi"/>
          <w:szCs w:val="20"/>
        </w:rPr>
        <w:t>t</w:t>
      </w:r>
      <w:r w:rsidR="00FE1E9E" w:rsidRPr="00216A71">
        <w:rPr>
          <w:rFonts w:cstheme="minorHAnsi"/>
          <w:szCs w:val="20"/>
        </w:rPr>
        <w:t>it</w:t>
      </w:r>
      <w:r w:rsidR="007549B5" w:rsidRPr="00216A71">
        <w:rPr>
          <w:rFonts w:cstheme="minorHAnsi"/>
          <w:szCs w:val="20"/>
        </w:rPr>
        <w:t xml:space="preserve">utions and governments, </w:t>
      </w:r>
      <w:r w:rsidRPr="00216A71">
        <w:rPr>
          <w:rFonts w:cstheme="minorHAnsi"/>
          <w:szCs w:val="20"/>
        </w:rPr>
        <w:t>design national PPP policies, implement specific PPPs – and accumulat</w:t>
      </w:r>
      <w:r w:rsidR="007549B5" w:rsidRPr="00216A71">
        <w:rPr>
          <w:rFonts w:cstheme="minorHAnsi"/>
          <w:szCs w:val="20"/>
        </w:rPr>
        <w:t>e</w:t>
      </w:r>
      <w:r w:rsidRPr="00216A71">
        <w:rPr>
          <w:rFonts w:cstheme="minorHAnsi"/>
          <w:szCs w:val="20"/>
        </w:rPr>
        <w:t xml:space="preserve"> large fees at every stage of the process. </w:t>
      </w:r>
    </w:p>
    <w:p w:rsidR="000C629A" w:rsidRDefault="00E55FAE" w:rsidP="00E55FAE">
      <w:pPr>
        <w:rPr>
          <w:rFonts w:cstheme="minorHAnsi"/>
          <w:szCs w:val="20"/>
        </w:rPr>
      </w:pPr>
      <w:r w:rsidRPr="00216A71">
        <w:rPr>
          <w:rFonts w:cstheme="minorHAnsi"/>
          <w:szCs w:val="20"/>
        </w:rPr>
        <w:t xml:space="preserve">The most active of all is McKinsey, which has produced a series of reports for international organisations and governments. Its influence is so widespread that it is in effect a global re-designer of public services for the benefit of private capital. Other </w:t>
      </w:r>
      <w:r w:rsidR="001B4D38" w:rsidRPr="00216A71">
        <w:rPr>
          <w:rFonts w:cstheme="minorHAnsi"/>
          <w:szCs w:val="20"/>
        </w:rPr>
        <w:t xml:space="preserve">consultancy </w:t>
      </w:r>
      <w:r w:rsidRPr="00216A71">
        <w:rPr>
          <w:rFonts w:cstheme="minorHAnsi"/>
          <w:szCs w:val="20"/>
        </w:rPr>
        <w:t xml:space="preserve">firms, such as PWC, </w:t>
      </w:r>
      <w:r w:rsidR="001B4D38" w:rsidRPr="00216A71">
        <w:rPr>
          <w:rFonts w:cstheme="minorHAnsi"/>
          <w:szCs w:val="20"/>
        </w:rPr>
        <w:t>Ern</w:t>
      </w:r>
      <w:r w:rsidR="00EC4A5D" w:rsidRPr="00216A71">
        <w:rPr>
          <w:rFonts w:cstheme="minorHAnsi"/>
          <w:szCs w:val="20"/>
        </w:rPr>
        <w:t>st and Young, KPMG, Deloitte</w:t>
      </w:r>
      <w:r w:rsidR="00220965" w:rsidRPr="00216A71">
        <w:rPr>
          <w:rFonts w:cstheme="minorHAnsi"/>
          <w:szCs w:val="20"/>
        </w:rPr>
        <w:t xml:space="preserve">, </w:t>
      </w:r>
      <w:r w:rsidRPr="00216A71">
        <w:rPr>
          <w:rFonts w:cstheme="minorHAnsi"/>
          <w:szCs w:val="20"/>
        </w:rPr>
        <w:t>do the same kind of work.</w:t>
      </w:r>
      <w:r w:rsidR="00437739" w:rsidRPr="00216A71">
        <w:rPr>
          <w:rFonts w:cstheme="minorHAnsi"/>
          <w:szCs w:val="20"/>
        </w:rPr>
        <w:t xml:space="preserve"> </w:t>
      </w:r>
    </w:p>
    <w:p w:rsidR="000C629A" w:rsidRDefault="00084FAB" w:rsidP="000E505F">
      <w:pPr>
        <w:rPr>
          <w:rFonts w:cstheme="minorHAnsi"/>
          <w:szCs w:val="20"/>
        </w:rPr>
      </w:pPr>
      <w:r w:rsidRPr="00216A71">
        <w:rPr>
          <w:rFonts w:cstheme="minorHAnsi"/>
          <w:szCs w:val="20"/>
        </w:rPr>
        <w:t>The quality and accuracy of their reports is rarely challenged, but they are often</w:t>
      </w:r>
      <w:r w:rsidR="004045AD">
        <w:rPr>
          <w:rFonts w:cstheme="minorHAnsi"/>
          <w:szCs w:val="20"/>
        </w:rPr>
        <w:t xml:space="preserve"> </w:t>
      </w:r>
      <w:r w:rsidRPr="00216A71">
        <w:rPr>
          <w:rFonts w:cstheme="minorHAnsi"/>
          <w:szCs w:val="20"/>
        </w:rPr>
        <w:t xml:space="preserve">superficial, prone to publishing extremely unreliable forecasts, </w:t>
      </w:r>
      <w:r w:rsidR="00F2359C" w:rsidRPr="00216A71">
        <w:rPr>
          <w:rFonts w:cstheme="minorHAnsi"/>
          <w:szCs w:val="20"/>
        </w:rPr>
        <w:t xml:space="preserve">and </w:t>
      </w:r>
      <w:r w:rsidRPr="00216A71">
        <w:rPr>
          <w:rFonts w:cstheme="minorHAnsi"/>
          <w:szCs w:val="20"/>
        </w:rPr>
        <w:t xml:space="preserve">may lead to extremely damaging policy decisions. </w:t>
      </w:r>
      <w:r w:rsidR="008A315D" w:rsidRPr="00216A71">
        <w:rPr>
          <w:rFonts w:cstheme="minorHAnsi"/>
          <w:szCs w:val="20"/>
        </w:rPr>
        <w:t>The deputy chair of India’s Planning Commission has criticised them because “their exposure to, and concern for policy is usually limited.</w:t>
      </w:r>
      <w:r w:rsidR="008867DF">
        <w:rPr>
          <w:rFonts w:cstheme="minorHAnsi"/>
          <w:szCs w:val="20"/>
        </w:rPr>
        <w:t>”</w:t>
      </w:r>
      <w:r w:rsidR="008A315D" w:rsidRPr="00216A71">
        <w:rPr>
          <w:rStyle w:val="EndnoteReference"/>
          <w:rFonts w:cstheme="minorHAnsi"/>
          <w:szCs w:val="20"/>
        </w:rPr>
        <w:endnoteReference w:id="73"/>
      </w:r>
      <w:r w:rsidR="008A315D" w:rsidRPr="00216A71">
        <w:rPr>
          <w:rFonts w:cstheme="minorHAnsi"/>
          <w:szCs w:val="20"/>
        </w:rPr>
        <w:t xml:space="preserve"> </w:t>
      </w:r>
      <w:r w:rsidRPr="00216A71">
        <w:rPr>
          <w:rFonts w:cstheme="minorHAnsi"/>
          <w:szCs w:val="20"/>
        </w:rPr>
        <w:t xml:space="preserve">Despite this, they are never accountable for </w:t>
      </w:r>
      <w:r w:rsidR="008F1153" w:rsidRPr="00216A71">
        <w:rPr>
          <w:rFonts w:cstheme="minorHAnsi"/>
          <w:szCs w:val="20"/>
        </w:rPr>
        <w:t>their errors, and accumulate su</w:t>
      </w:r>
      <w:r w:rsidRPr="00216A71">
        <w:rPr>
          <w:rFonts w:cstheme="minorHAnsi"/>
          <w:szCs w:val="20"/>
        </w:rPr>
        <w:t>bstantial fees for their work. For example:</w:t>
      </w:r>
    </w:p>
    <w:p w:rsidR="00F2359C" w:rsidRPr="00216A71" w:rsidRDefault="00084FAB" w:rsidP="00781FBC">
      <w:pPr>
        <w:pStyle w:val="ListParagraph"/>
        <w:numPr>
          <w:ilvl w:val="0"/>
          <w:numId w:val="38"/>
        </w:numPr>
        <w:rPr>
          <w:rFonts w:cstheme="minorHAnsi"/>
          <w:szCs w:val="20"/>
          <w:lang w:val="en-US"/>
        </w:rPr>
      </w:pPr>
      <w:r w:rsidRPr="00216A71">
        <w:rPr>
          <w:rFonts w:cstheme="minorHAnsi"/>
          <w:szCs w:val="20"/>
          <w:lang w:val="en-US"/>
        </w:rPr>
        <w:t>In the UK, lawyers and consultants were paid over £400</w:t>
      </w:r>
      <w:r w:rsidR="00BF7FC8" w:rsidRPr="00216A71">
        <w:rPr>
          <w:rFonts w:cstheme="minorHAnsi"/>
          <w:szCs w:val="20"/>
          <w:lang w:val="en-US"/>
        </w:rPr>
        <w:t xml:space="preserve"> </w:t>
      </w:r>
      <w:r w:rsidRPr="00216A71">
        <w:rPr>
          <w:rFonts w:cstheme="minorHAnsi"/>
          <w:szCs w:val="20"/>
          <w:lang w:val="en-US"/>
        </w:rPr>
        <w:t>million for one reason or another during the creation of the London underground PPPs, which collapsed at great expense to the public.</w:t>
      </w:r>
      <w:r w:rsidR="004045AD">
        <w:rPr>
          <w:rFonts w:cstheme="minorHAnsi"/>
          <w:szCs w:val="20"/>
          <w:lang w:val="en-US"/>
        </w:rPr>
        <w:t xml:space="preserve"> </w:t>
      </w:r>
    </w:p>
    <w:p w:rsidR="00084FAB" w:rsidRPr="00216A71" w:rsidRDefault="00084FAB" w:rsidP="00781FBC">
      <w:pPr>
        <w:pStyle w:val="ListParagraph"/>
        <w:numPr>
          <w:ilvl w:val="0"/>
          <w:numId w:val="38"/>
        </w:numPr>
        <w:rPr>
          <w:rFonts w:cstheme="minorHAnsi"/>
          <w:szCs w:val="20"/>
          <w:lang w:val="en-US"/>
        </w:rPr>
      </w:pPr>
      <w:r w:rsidRPr="00216A71">
        <w:rPr>
          <w:rFonts w:cstheme="minorHAnsi"/>
          <w:szCs w:val="20"/>
          <w:lang w:val="en-US"/>
        </w:rPr>
        <w:t xml:space="preserve">This included a key report by </w:t>
      </w:r>
      <w:r w:rsidRPr="00216A71">
        <w:rPr>
          <w:rFonts w:cstheme="minorHAnsi"/>
          <w:szCs w:val="20"/>
        </w:rPr>
        <w:t>PricewaterhouseCoopers</w:t>
      </w:r>
      <w:r w:rsidRPr="00216A71">
        <w:rPr>
          <w:rFonts w:cstheme="minorHAnsi"/>
          <w:szCs w:val="20"/>
          <w:lang w:val="en-US"/>
        </w:rPr>
        <w:t xml:space="preserve"> which was unreliable and wildly inaccurate</w:t>
      </w:r>
      <w:r w:rsidR="008867DF">
        <w:rPr>
          <w:rFonts w:cstheme="minorHAnsi"/>
          <w:szCs w:val="20"/>
          <w:lang w:val="en-US"/>
        </w:rPr>
        <w:t>.</w:t>
      </w:r>
      <w:r w:rsidRPr="00216A71">
        <w:rPr>
          <w:rFonts w:cstheme="minorHAnsi"/>
          <w:szCs w:val="20"/>
          <w:lang w:val="en-US"/>
        </w:rPr>
        <w:t xml:space="preserve"> “</w:t>
      </w:r>
      <w:r w:rsidRPr="00216A71">
        <w:rPr>
          <w:rFonts w:cstheme="minorHAnsi"/>
          <w:szCs w:val="20"/>
        </w:rPr>
        <w:t xml:space="preserve">As the partnership </w:t>
      </w:r>
      <w:r w:rsidR="00F2359C" w:rsidRPr="00216A71">
        <w:rPr>
          <w:rFonts w:cstheme="minorHAnsi"/>
          <w:szCs w:val="20"/>
        </w:rPr>
        <w:t xml:space="preserve">[Metronet] </w:t>
      </w:r>
      <w:r w:rsidRPr="00216A71">
        <w:rPr>
          <w:rFonts w:cstheme="minorHAnsi"/>
          <w:szCs w:val="20"/>
        </w:rPr>
        <w:t xml:space="preserve">was being put together, </w:t>
      </w:r>
      <w:r w:rsidRPr="00216A71">
        <w:rPr>
          <w:rFonts w:cstheme="minorHAnsi"/>
          <w:szCs w:val="20"/>
          <w:lang w:val="en-US"/>
        </w:rPr>
        <w:t>PWC</w:t>
      </w:r>
      <w:r w:rsidRPr="00216A71">
        <w:rPr>
          <w:rFonts w:cstheme="minorHAnsi"/>
          <w:szCs w:val="20"/>
        </w:rPr>
        <w:t xml:space="preserve"> predicted that the private sector could extract savings of up to 30</w:t>
      </w:r>
      <w:r w:rsidR="00A42FDE">
        <w:rPr>
          <w:rFonts w:cstheme="minorHAnsi"/>
          <w:szCs w:val="20"/>
        </w:rPr>
        <w:t xml:space="preserve"> per cent</w:t>
      </w:r>
      <w:r w:rsidRPr="00216A71">
        <w:rPr>
          <w:rFonts w:cstheme="minorHAnsi"/>
          <w:szCs w:val="20"/>
        </w:rPr>
        <w:t>, a figure that informed the entire project. But the consultancy published no adequate evidential basis for that figure.”</w:t>
      </w:r>
      <w:r w:rsidR="00E55FAE" w:rsidRPr="00216A71">
        <w:rPr>
          <w:rFonts w:cstheme="minorHAnsi"/>
          <w:szCs w:val="20"/>
        </w:rPr>
        <w:t xml:space="preserve"> </w:t>
      </w:r>
      <w:r w:rsidRPr="00216A71">
        <w:rPr>
          <w:rFonts w:cstheme="minorHAnsi"/>
          <w:szCs w:val="20"/>
          <w:vertAlign w:val="superscript"/>
        </w:rPr>
        <w:endnoteReference w:id="74"/>
      </w:r>
    </w:p>
    <w:p w:rsidR="00277AAA" w:rsidRPr="00216A71" w:rsidRDefault="00084FAB" w:rsidP="00EC4A5D">
      <w:pPr>
        <w:pStyle w:val="ListParagraph"/>
        <w:numPr>
          <w:ilvl w:val="0"/>
          <w:numId w:val="38"/>
        </w:numPr>
        <w:rPr>
          <w:rFonts w:cstheme="minorHAnsi"/>
          <w:szCs w:val="20"/>
        </w:rPr>
      </w:pPr>
      <w:r w:rsidRPr="00216A71">
        <w:rPr>
          <w:rFonts w:cstheme="minorHAnsi"/>
          <w:szCs w:val="20"/>
        </w:rPr>
        <w:lastRenderedPageBreak/>
        <w:t xml:space="preserve">McKinsey published a 2007 </w:t>
      </w:r>
      <w:r w:rsidR="00E55FAE" w:rsidRPr="00216A71">
        <w:rPr>
          <w:rFonts w:cstheme="minorHAnsi"/>
          <w:szCs w:val="20"/>
        </w:rPr>
        <w:t>report which</w:t>
      </w:r>
      <w:r w:rsidR="004045AD">
        <w:rPr>
          <w:rFonts w:cstheme="minorHAnsi"/>
          <w:szCs w:val="20"/>
        </w:rPr>
        <w:t xml:space="preserve"> </w:t>
      </w:r>
      <w:r w:rsidR="00E55FAE" w:rsidRPr="00216A71">
        <w:rPr>
          <w:rFonts w:cstheme="minorHAnsi"/>
          <w:bCs/>
          <w:szCs w:val="20"/>
        </w:rPr>
        <w:t>claimed that the private sector could provide over half of the $30 billion investment needed to develop healthcare in Africa over the next 10 years.</w:t>
      </w:r>
      <w:r w:rsidR="00E55FAE" w:rsidRPr="00216A71">
        <w:rPr>
          <w:rStyle w:val="EndnoteReference"/>
          <w:rFonts w:cstheme="minorHAnsi"/>
          <w:bCs/>
          <w:szCs w:val="20"/>
        </w:rPr>
        <w:t xml:space="preserve"> </w:t>
      </w:r>
      <w:r w:rsidR="00E55FAE" w:rsidRPr="00216A71">
        <w:rPr>
          <w:rFonts w:cstheme="minorHAnsi"/>
          <w:szCs w:val="20"/>
        </w:rPr>
        <w:t xml:space="preserve">This was used to justify IFIs and donors financing private equity funds, rather than public sector healthcare, but by 2012 </w:t>
      </w:r>
      <w:r w:rsidR="008867DF">
        <w:rPr>
          <w:rFonts w:cstheme="minorHAnsi"/>
          <w:szCs w:val="20"/>
        </w:rPr>
        <w:t xml:space="preserve">it </w:t>
      </w:r>
      <w:r w:rsidR="00E55FAE" w:rsidRPr="00216A71">
        <w:rPr>
          <w:rFonts w:cstheme="minorHAnsi"/>
          <w:szCs w:val="20"/>
        </w:rPr>
        <w:t>had resulted in almost no private finance at all.</w:t>
      </w:r>
      <w:r w:rsidR="00E55FAE" w:rsidRPr="00216A71">
        <w:rPr>
          <w:rStyle w:val="EndnoteReference"/>
          <w:rFonts w:cstheme="minorHAnsi"/>
          <w:bCs/>
          <w:szCs w:val="20"/>
        </w:rPr>
        <w:endnoteReference w:id="75"/>
      </w:r>
    </w:p>
    <w:p w:rsidR="00277AAA" w:rsidRPr="00216A71" w:rsidRDefault="00277AAA">
      <w:pPr>
        <w:rPr>
          <w:rFonts w:cstheme="minorHAnsi"/>
          <w:szCs w:val="20"/>
        </w:rPr>
      </w:pPr>
      <w:r w:rsidRPr="00216A71">
        <w:rPr>
          <w:rFonts w:cstheme="minorHAnsi"/>
          <w:szCs w:val="20"/>
        </w:rPr>
        <w:br w:type="page"/>
      </w:r>
    </w:p>
    <w:p w:rsidR="00EC45B4" w:rsidRPr="00216A71" w:rsidRDefault="00EC45B4" w:rsidP="0080036E">
      <w:pPr>
        <w:pStyle w:val="Heading6"/>
        <w:rPr>
          <w:rFonts w:cstheme="minorHAnsi"/>
          <w:szCs w:val="20"/>
        </w:rPr>
      </w:pPr>
      <w:r w:rsidRPr="00216A71">
        <w:rPr>
          <w:rFonts w:cstheme="minorHAnsi"/>
          <w:szCs w:val="20"/>
        </w:rPr>
        <w:lastRenderedPageBreak/>
        <w:t xml:space="preserve">McKinsey </w:t>
      </w:r>
    </w:p>
    <w:p w:rsidR="000C629A" w:rsidRDefault="00EC45B4" w:rsidP="00EC45B4">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 xml:space="preserve">McKinsey are extremely active in international forums and at </w:t>
      </w:r>
      <w:r w:rsidR="008867DF">
        <w:rPr>
          <w:rFonts w:cstheme="minorHAnsi"/>
          <w:szCs w:val="20"/>
        </w:rPr>
        <w:t xml:space="preserve">the </w:t>
      </w:r>
      <w:r w:rsidRPr="00216A71">
        <w:rPr>
          <w:rFonts w:cstheme="minorHAnsi"/>
          <w:szCs w:val="20"/>
        </w:rPr>
        <w:t xml:space="preserve">national level in promoting and profiting from PPPs. The firm works for both </w:t>
      </w:r>
      <w:hyperlink r:id="rId87" w:history="1">
        <w:r w:rsidRPr="00216A71">
          <w:rPr>
            <w:rStyle w:val="Hyperlink"/>
            <w:rFonts w:cstheme="minorHAnsi"/>
            <w:szCs w:val="20"/>
          </w:rPr>
          <w:t>private companies</w:t>
        </w:r>
      </w:hyperlink>
      <w:r w:rsidRPr="00216A71">
        <w:rPr>
          <w:rFonts w:cstheme="minorHAnsi"/>
          <w:szCs w:val="20"/>
        </w:rPr>
        <w:t xml:space="preserve"> and for </w:t>
      </w:r>
      <w:hyperlink r:id="rId88" w:history="1">
        <w:r w:rsidRPr="00216A71">
          <w:rPr>
            <w:rStyle w:val="Hyperlink"/>
            <w:rFonts w:cstheme="minorHAnsi"/>
            <w:szCs w:val="20"/>
          </w:rPr>
          <w:t>public sector and governments</w:t>
        </w:r>
      </w:hyperlink>
      <w:r w:rsidRPr="00216A71">
        <w:rPr>
          <w:rFonts w:cstheme="minorHAnsi"/>
          <w:szCs w:val="20"/>
        </w:rPr>
        <w:t xml:space="preserve"> and international institutions.</w:t>
      </w:r>
    </w:p>
    <w:p w:rsidR="000C629A" w:rsidRDefault="00EC45B4" w:rsidP="00EC45B4">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 xml:space="preserve">In 2012 and 2013 alone McKinsey has produced reports on PPPs focussed on global themes including </w:t>
      </w:r>
      <w:hyperlink r:id="rId89" w:history="1">
        <w:r w:rsidRPr="00216A71">
          <w:rPr>
            <w:rStyle w:val="Hyperlink"/>
            <w:rFonts w:cstheme="minorHAnsi"/>
            <w:szCs w:val="20"/>
          </w:rPr>
          <w:t>Infrastructure</w:t>
        </w:r>
      </w:hyperlink>
      <w:r w:rsidRPr="00216A71">
        <w:rPr>
          <w:rFonts w:cstheme="minorHAnsi"/>
          <w:szCs w:val="20"/>
        </w:rPr>
        <w:t>,</w:t>
      </w:r>
      <w:r w:rsidR="004045AD">
        <w:rPr>
          <w:rFonts w:cstheme="minorHAnsi"/>
          <w:szCs w:val="20"/>
        </w:rPr>
        <w:t xml:space="preserve"> </w:t>
      </w:r>
      <w:hyperlink r:id="rId90" w:history="1">
        <w:r w:rsidRPr="00216A71">
          <w:rPr>
            <w:rStyle w:val="Hyperlink"/>
            <w:rFonts w:cstheme="minorHAnsi"/>
            <w:szCs w:val="20"/>
          </w:rPr>
          <w:t>Cities</w:t>
        </w:r>
      </w:hyperlink>
      <w:r w:rsidRPr="00216A71">
        <w:rPr>
          <w:rFonts w:cstheme="minorHAnsi"/>
          <w:szCs w:val="20"/>
        </w:rPr>
        <w:t xml:space="preserve">, </w:t>
      </w:r>
      <w:hyperlink r:id="rId91" w:history="1">
        <w:r w:rsidRPr="00216A71">
          <w:rPr>
            <w:rStyle w:val="Hyperlink"/>
            <w:rFonts w:cstheme="minorHAnsi"/>
            <w:szCs w:val="20"/>
          </w:rPr>
          <w:t>urban development including water</w:t>
        </w:r>
      </w:hyperlink>
      <w:r w:rsidRPr="00216A71">
        <w:rPr>
          <w:rFonts w:cstheme="minorHAnsi"/>
          <w:szCs w:val="20"/>
        </w:rPr>
        <w:t xml:space="preserve">, and </w:t>
      </w:r>
      <w:hyperlink r:id="rId92" w:history="1">
        <w:r w:rsidRPr="00216A71">
          <w:rPr>
            <w:rStyle w:val="Hyperlink"/>
            <w:rFonts w:cstheme="minorHAnsi"/>
            <w:szCs w:val="20"/>
          </w:rPr>
          <w:t>natural resources</w:t>
        </w:r>
      </w:hyperlink>
      <w:r w:rsidRPr="00216A71">
        <w:rPr>
          <w:rFonts w:cstheme="minorHAnsi"/>
          <w:szCs w:val="20"/>
        </w:rPr>
        <w:t>;</w:t>
      </w:r>
      <w:r w:rsidR="004045AD">
        <w:rPr>
          <w:rFonts w:cstheme="minorHAnsi"/>
          <w:szCs w:val="20"/>
        </w:rPr>
        <w:t xml:space="preserve"> </w:t>
      </w:r>
      <w:r w:rsidRPr="00216A71">
        <w:rPr>
          <w:rFonts w:cstheme="minorHAnsi"/>
          <w:szCs w:val="20"/>
        </w:rPr>
        <w:t>o</w:t>
      </w:r>
      <w:r w:rsidR="00BF7FC8" w:rsidRPr="00216A71">
        <w:rPr>
          <w:rFonts w:cstheme="minorHAnsi"/>
          <w:szCs w:val="20"/>
        </w:rPr>
        <w:t>n sectors, for example in water</w:t>
      </w:r>
      <w:r w:rsidRPr="00216A71">
        <w:rPr>
          <w:rFonts w:cstheme="minorHAnsi"/>
          <w:szCs w:val="20"/>
        </w:rPr>
        <w:t xml:space="preserve">, </w:t>
      </w:r>
      <w:hyperlink r:id="rId93" w:history="1">
        <w:r w:rsidRPr="00216A71">
          <w:rPr>
            <w:rStyle w:val="Hyperlink"/>
            <w:rFonts w:cstheme="minorHAnsi"/>
            <w:szCs w:val="20"/>
          </w:rPr>
          <w:t>energy and climate change</w:t>
        </w:r>
      </w:hyperlink>
      <w:r w:rsidRPr="00216A71">
        <w:rPr>
          <w:rFonts w:cstheme="minorHAnsi"/>
          <w:szCs w:val="20"/>
        </w:rPr>
        <w:t>,</w:t>
      </w:r>
      <w:r w:rsidR="004045AD">
        <w:rPr>
          <w:rFonts w:cstheme="minorHAnsi"/>
          <w:szCs w:val="20"/>
        </w:rPr>
        <w:t xml:space="preserve"> </w:t>
      </w:r>
      <w:r w:rsidR="00BF7FC8" w:rsidRPr="00216A71">
        <w:rPr>
          <w:rFonts w:cstheme="minorHAnsi"/>
          <w:szCs w:val="20"/>
        </w:rPr>
        <w:t>public health and development</w:t>
      </w:r>
      <w:r w:rsidRPr="00216A71">
        <w:rPr>
          <w:rFonts w:cstheme="minorHAnsi"/>
          <w:szCs w:val="20"/>
        </w:rPr>
        <w:t xml:space="preserve">; and on specific regions and countries, for example </w:t>
      </w:r>
      <w:hyperlink r:id="rId94" w:history="1">
        <w:r w:rsidRPr="00216A71">
          <w:rPr>
            <w:rStyle w:val="Hyperlink"/>
            <w:rFonts w:cstheme="minorHAnsi"/>
            <w:szCs w:val="20"/>
          </w:rPr>
          <w:t>Latin America</w:t>
        </w:r>
      </w:hyperlink>
      <w:r w:rsidRPr="00216A71">
        <w:rPr>
          <w:rFonts w:cstheme="minorHAnsi"/>
          <w:szCs w:val="20"/>
        </w:rPr>
        <w:t>,</w:t>
      </w:r>
      <w:r w:rsidR="004045AD">
        <w:rPr>
          <w:rFonts w:cstheme="minorHAnsi"/>
          <w:szCs w:val="20"/>
        </w:rPr>
        <w:t xml:space="preserve"> </w:t>
      </w:r>
      <w:hyperlink r:id="rId95" w:history="1">
        <w:r w:rsidRPr="00216A71">
          <w:rPr>
            <w:rStyle w:val="Hyperlink"/>
            <w:rFonts w:cstheme="minorHAnsi"/>
            <w:szCs w:val="20"/>
          </w:rPr>
          <w:t xml:space="preserve">India </w:t>
        </w:r>
      </w:hyperlink>
      <w:r w:rsidRPr="00216A71">
        <w:rPr>
          <w:rFonts w:cstheme="minorHAnsi"/>
          <w:szCs w:val="20"/>
        </w:rPr>
        <w:t xml:space="preserve">, </w:t>
      </w:r>
      <w:hyperlink r:id="rId96" w:history="1">
        <w:r w:rsidRPr="00216A71">
          <w:rPr>
            <w:rStyle w:val="Hyperlink"/>
            <w:rFonts w:cstheme="minorHAnsi"/>
            <w:szCs w:val="20"/>
          </w:rPr>
          <w:t>Myanmar/Burma</w:t>
        </w:r>
      </w:hyperlink>
      <w:r w:rsidRPr="00216A71">
        <w:rPr>
          <w:rFonts w:cstheme="minorHAnsi"/>
          <w:szCs w:val="20"/>
        </w:rPr>
        <w:t>,</w:t>
      </w:r>
      <w:r w:rsidR="004045AD">
        <w:rPr>
          <w:rFonts w:cstheme="minorHAnsi"/>
          <w:szCs w:val="20"/>
        </w:rPr>
        <w:t xml:space="preserve"> </w:t>
      </w:r>
      <w:hyperlink r:id="rId97" w:history="1">
        <w:r w:rsidRPr="00216A71">
          <w:rPr>
            <w:rStyle w:val="Hyperlink"/>
            <w:rFonts w:cstheme="minorHAnsi"/>
            <w:szCs w:val="20"/>
          </w:rPr>
          <w:t>USA</w:t>
        </w:r>
      </w:hyperlink>
      <w:r w:rsidRPr="00216A71">
        <w:rPr>
          <w:rFonts w:cstheme="minorHAnsi"/>
          <w:szCs w:val="20"/>
        </w:rPr>
        <w:t xml:space="preserve">, and </w:t>
      </w:r>
      <w:hyperlink r:id="rId98" w:history="1">
        <w:r w:rsidRPr="00216A71">
          <w:rPr>
            <w:rStyle w:val="Hyperlink"/>
            <w:rFonts w:cstheme="minorHAnsi"/>
            <w:szCs w:val="20"/>
          </w:rPr>
          <w:t>UK</w:t>
        </w:r>
      </w:hyperlink>
      <w:r w:rsidRPr="00216A71">
        <w:rPr>
          <w:rFonts w:cstheme="minorHAnsi"/>
          <w:szCs w:val="20"/>
        </w:rPr>
        <w:t xml:space="preserve">. </w:t>
      </w:r>
    </w:p>
    <w:p w:rsidR="00EC45B4" w:rsidRPr="00216A71" w:rsidRDefault="00EC45B4" w:rsidP="00EC45B4">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 xml:space="preserve">At </w:t>
      </w:r>
      <w:r w:rsidR="008867DF">
        <w:rPr>
          <w:rFonts w:cstheme="minorHAnsi"/>
          <w:szCs w:val="20"/>
        </w:rPr>
        <w:t xml:space="preserve">the </w:t>
      </w:r>
      <w:r w:rsidRPr="00216A71">
        <w:rPr>
          <w:rFonts w:cstheme="minorHAnsi"/>
          <w:szCs w:val="20"/>
        </w:rPr>
        <w:t>national level, McKinsey and its partners wield great influence over government policies. For example:</w:t>
      </w:r>
    </w:p>
    <w:p w:rsidR="00EC45B4" w:rsidRPr="00216A71" w:rsidRDefault="00EC45B4" w:rsidP="00781FBC">
      <w:pPr>
        <w:pStyle w:val="ListParagraph"/>
        <w:numPr>
          <w:ilvl w:val="0"/>
          <w:numId w:val="51"/>
        </w:num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In Colombia, a McKinsey partner became director of the government’s PPPs unit, and pushed through a decision to triple government spending on roads, and borrow $23</w:t>
      </w:r>
      <w:r w:rsidR="008867DF">
        <w:rPr>
          <w:rFonts w:cstheme="minorHAnsi"/>
          <w:szCs w:val="20"/>
        </w:rPr>
        <w:t xml:space="preserve"> </w:t>
      </w:r>
      <w:r w:rsidRPr="00216A71">
        <w:rPr>
          <w:rFonts w:cstheme="minorHAnsi"/>
          <w:szCs w:val="20"/>
        </w:rPr>
        <w:t>billion by issuing government bonds to help finance PPPs.</w:t>
      </w:r>
      <w:r w:rsidRPr="00216A71">
        <w:rPr>
          <w:rStyle w:val="EndnoteReference"/>
          <w:rFonts w:cstheme="minorHAnsi"/>
          <w:szCs w:val="20"/>
        </w:rPr>
        <w:endnoteReference w:id="76"/>
      </w:r>
    </w:p>
    <w:p w:rsidR="000C629A" w:rsidRDefault="00EC45B4" w:rsidP="00781FBC">
      <w:pPr>
        <w:pStyle w:val="ListParagraph"/>
        <w:numPr>
          <w:ilvl w:val="0"/>
          <w:numId w:val="51"/>
        </w:num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In the UK, McKinsey was paid £14</w:t>
      </w:r>
      <w:r w:rsidR="00BF7FC8" w:rsidRPr="00216A71">
        <w:rPr>
          <w:rFonts w:cstheme="minorHAnsi"/>
          <w:szCs w:val="20"/>
        </w:rPr>
        <w:t xml:space="preserve"> </w:t>
      </w:r>
      <w:r w:rsidRPr="00216A71">
        <w:rPr>
          <w:rFonts w:cstheme="minorHAnsi"/>
          <w:szCs w:val="20"/>
        </w:rPr>
        <w:t>million</w:t>
      </w:r>
      <w:r w:rsidR="00BF7FC8" w:rsidRPr="00216A71">
        <w:rPr>
          <w:rFonts w:cstheme="minorHAnsi"/>
          <w:szCs w:val="20"/>
        </w:rPr>
        <w:t xml:space="preserve"> to</w:t>
      </w:r>
      <w:r w:rsidRPr="00216A71">
        <w:rPr>
          <w:rFonts w:cstheme="minorHAnsi"/>
          <w:szCs w:val="20"/>
        </w:rPr>
        <w:t xml:space="preserve"> advise on the commercialisation of the NHS, while a former McKinsey partner became head of the NHS regulator, and McKinsey acted as liaison between international private healthcare companies and the government about privatising 26 hospitals.</w:t>
      </w:r>
      <w:r w:rsidRPr="00216A71">
        <w:rPr>
          <w:rStyle w:val="EndnoteReference"/>
          <w:rFonts w:cstheme="minorHAnsi"/>
          <w:szCs w:val="20"/>
        </w:rPr>
        <w:endnoteReference w:id="77"/>
      </w:r>
    </w:p>
    <w:p w:rsidR="00EC45B4" w:rsidRPr="00216A71" w:rsidRDefault="00EC45B4" w:rsidP="00EC45B4">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 xml:space="preserve">In all cases the objective is to maximise the number of profitable PPPs: </w:t>
      </w:r>
    </w:p>
    <w:p w:rsidR="000C629A" w:rsidRDefault="00EC45B4" w:rsidP="00EC45B4">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“We serve both private and public entities on PPP financing, origination, development, operations, and stakeholder and regulatory management. We support private investors in the following activities: analyzing the value of infrastructure opportunities and PPPs, structuring and securing economically-sound bids, effectively and efficiently operating assets to generate value, and managing stakeholders and regulators to bolster long-term collaborative relationships….</w:t>
      </w:r>
      <w:r w:rsidR="004045AD">
        <w:rPr>
          <w:rFonts w:cstheme="minorHAnsi"/>
          <w:szCs w:val="20"/>
        </w:rPr>
        <w:t xml:space="preserve"> </w:t>
      </w:r>
      <w:r w:rsidRPr="00216A71">
        <w:rPr>
          <w:rFonts w:cstheme="minorHAnsi"/>
          <w:szCs w:val="20"/>
        </w:rPr>
        <w:t>We assist public entities in framing the case for PPP participation, developing the economic model and risk transfer solution for PPPs, managing PPPs and their various stakeholders, designing and staffing government units to review and manage PPPs, and optimizing the PPP process. Whether serving the public or private sector, we work closely with our clients to build their skills to evaluate and manage PPPs.”</w:t>
      </w:r>
      <w:r w:rsidRPr="00216A71">
        <w:rPr>
          <w:rStyle w:val="EndnoteReference"/>
          <w:rFonts w:cstheme="minorHAnsi"/>
          <w:szCs w:val="20"/>
        </w:rPr>
        <w:endnoteReference w:id="78"/>
      </w:r>
    </w:p>
    <w:p w:rsidR="00FC4CDF" w:rsidRPr="00216A71" w:rsidRDefault="009D3765" w:rsidP="000E505F">
      <w:pPr>
        <w:rPr>
          <w:rFonts w:cstheme="minorHAnsi"/>
          <w:szCs w:val="20"/>
        </w:rPr>
      </w:pPr>
      <w:r w:rsidRPr="00216A71">
        <w:rPr>
          <w:rFonts w:cstheme="minorHAnsi"/>
          <w:szCs w:val="20"/>
        </w:rPr>
        <w:t xml:space="preserve">The biggest </w:t>
      </w:r>
      <w:r w:rsidR="00461FAC" w:rsidRPr="00216A71">
        <w:rPr>
          <w:rFonts w:cstheme="minorHAnsi"/>
          <w:szCs w:val="20"/>
        </w:rPr>
        <w:t>consultancies</w:t>
      </w:r>
      <w:r w:rsidR="004045AD">
        <w:rPr>
          <w:rFonts w:cstheme="minorHAnsi"/>
          <w:szCs w:val="20"/>
        </w:rPr>
        <w:t xml:space="preserve"> – </w:t>
      </w:r>
      <w:r w:rsidRPr="00216A71">
        <w:rPr>
          <w:rFonts w:cstheme="minorHAnsi"/>
          <w:szCs w:val="20"/>
        </w:rPr>
        <w:t xml:space="preserve">Deloitte, PricewaterhouseCoopers (PwC), KPMG and Ernst &amp; Young – are </w:t>
      </w:r>
      <w:r w:rsidR="00461FAC" w:rsidRPr="00216A71">
        <w:rPr>
          <w:rFonts w:cstheme="minorHAnsi"/>
          <w:szCs w:val="20"/>
        </w:rPr>
        <w:t xml:space="preserve">accountancy firms who </w:t>
      </w:r>
      <w:r w:rsidR="00220965" w:rsidRPr="00216A71">
        <w:rPr>
          <w:rFonts w:cstheme="minorHAnsi"/>
          <w:szCs w:val="20"/>
        </w:rPr>
        <w:t xml:space="preserve">also </w:t>
      </w:r>
      <w:r w:rsidR="00461FAC" w:rsidRPr="00216A71">
        <w:rPr>
          <w:rFonts w:cstheme="minorHAnsi"/>
          <w:szCs w:val="20"/>
        </w:rPr>
        <w:t>audit multinational companies</w:t>
      </w:r>
      <w:r w:rsidR="00FC4CDF" w:rsidRPr="00216A71">
        <w:rPr>
          <w:rFonts w:cstheme="minorHAnsi"/>
          <w:szCs w:val="20"/>
        </w:rPr>
        <w:t xml:space="preserve"> and advise them on tax avoidance. Their performance and public accountability is also poor on these issues:</w:t>
      </w:r>
      <w:r w:rsidR="00461FAC" w:rsidRPr="00216A71">
        <w:rPr>
          <w:rFonts w:cstheme="minorHAnsi"/>
          <w:szCs w:val="20"/>
        </w:rPr>
        <w:t xml:space="preserve"> </w:t>
      </w:r>
    </w:p>
    <w:p w:rsidR="00461FAC" w:rsidRPr="00216A71" w:rsidRDefault="00461FAC" w:rsidP="00781FBC">
      <w:pPr>
        <w:pStyle w:val="ListParagraph"/>
        <w:numPr>
          <w:ilvl w:val="0"/>
          <w:numId w:val="38"/>
        </w:numPr>
        <w:rPr>
          <w:rFonts w:cstheme="minorHAnsi"/>
          <w:szCs w:val="20"/>
        </w:rPr>
      </w:pPr>
      <w:r w:rsidRPr="00216A71">
        <w:rPr>
          <w:rFonts w:cstheme="minorHAnsi"/>
          <w:szCs w:val="20"/>
        </w:rPr>
        <w:t xml:space="preserve">They failed to record any concerns over the accounts of banks and financial institutions which </w:t>
      </w:r>
      <w:r w:rsidR="009D3765" w:rsidRPr="00216A71">
        <w:rPr>
          <w:rFonts w:cstheme="minorHAnsi"/>
          <w:szCs w:val="20"/>
        </w:rPr>
        <w:t>became unviable</w:t>
      </w:r>
      <w:r w:rsidRPr="00216A71">
        <w:rPr>
          <w:rFonts w:cstheme="minorHAnsi"/>
          <w:szCs w:val="20"/>
        </w:rPr>
        <w:t xml:space="preserve"> as part of the </w:t>
      </w:r>
      <w:r w:rsidR="00FC4CDF" w:rsidRPr="00216A71">
        <w:rPr>
          <w:rFonts w:cstheme="minorHAnsi"/>
          <w:szCs w:val="20"/>
        </w:rPr>
        <w:t xml:space="preserve">financial </w:t>
      </w:r>
      <w:r w:rsidRPr="00216A71">
        <w:rPr>
          <w:rFonts w:cstheme="minorHAnsi"/>
          <w:szCs w:val="20"/>
        </w:rPr>
        <w:t>crisis</w:t>
      </w:r>
      <w:r w:rsidR="00FC4CDF" w:rsidRPr="00216A71">
        <w:rPr>
          <w:rFonts w:cstheme="minorHAnsi"/>
          <w:szCs w:val="20"/>
        </w:rPr>
        <w:t xml:space="preserve"> in 2008 and </w:t>
      </w:r>
      <w:r w:rsidR="009D3765" w:rsidRPr="00216A71">
        <w:rPr>
          <w:rFonts w:cstheme="minorHAnsi"/>
          <w:szCs w:val="20"/>
        </w:rPr>
        <w:t>received</w:t>
      </w:r>
      <w:r w:rsidR="00FC4CDF" w:rsidRPr="00216A71">
        <w:rPr>
          <w:rFonts w:cstheme="minorHAnsi"/>
          <w:szCs w:val="20"/>
        </w:rPr>
        <w:t xml:space="preserve"> massive public support</w:t>
      </w:r>
      <w:r w:rsidR="008867DF">
        <w:rPr>
          <w:rFonts w:cstheme="minorHAnsi"/>
          <w:szCs w:val="20"/>
        </w:rPr>
        <w:t>.</w:t>
      </w:r>
      <w:r w:rsidR="00FC4CDF" w:rsidRPr="00216A71">
        <w:rPr>
          <w:rStyle w:val="EndnoteReference"/>
          <w:rFonts w:cstheme="minorHAnsi"/>
          <w:szCs w:val="20"/>
        </w:rPr>
        <w:endnoteReference w:id="79"/>
      </w:r>
    </w:p>
    <w:p w:rsidR="00DD0002" w:rsidRPr="00216A71" w:rsidRDefault="00FC4CDF" w:rsidP="00781FBC">
      <w:pPr>
        <w:pStyle w:val="ListParagraph"/>
        <w:numPr>
          <w:ilvl w:val="0"/>
          <w:numId w:val="38"/>
        </w:numPr>
        <w:rPr>
          <w:rFonts w:cstheme="minorHAnsi"/>
          <w:szCs w:val="20"/>
        </w:rPr>
      </w:pPr>
      <w:r w:rsidRPr="00216A71">
        <w:rPr>
          <w:rFonts w:cstheme="minorHAnsi"/>
          <w:szCs w:val="20"/>
        </w:rPr>
        <w:t>Deloitte, PricewaterhouseCoopers (PwC), KPMG and Ernst &amp; Young are “are at the heart of the worldwide web of tax avoidance, with offic</w:t>
      </w:r>
      <w:r w:rsidR="00277AAA" w:rsidRPr="00216A71">
        <w:rPr>
          <w:rFonts w:cstheme="minorHAnsi"/>
          <w:szCs w:val="20"/>
        </w:rPr>
        <w:t>es in all the main tax havens</w:t>
      </w:r>
      <w:r w:rsidR="008867DF">
        <w:rPr>
          <w:rFonts w:cstheme="minorHAnsi"/>
          <w:szCs w:val="20"/>
        </w:rPr>
        <w:t>.</w:t>
      </w:r>
      <w:r w:rsidR="00277AAA" w:rsidRPr="00216A71">
        <w:rPr>
          <w:rFonts w:cstheme="minorHAnsi"/>
          <w:szCs w:val="20"/>
        </w:rPr>
        <w:t>”</w:t>
      </w:r>
      <w:r w:rsidR="004045AD">
        <w:rPr>
          <w:rFonts w:cstheme="minorHAnsi"/>
          <w:szCs w:val="20"/>
        </w:rPr>
        <w:t xml:space="preserve"> </w:t>
      </w:r>
      <w:r w:rsidRPr="00216A71">
        <w:rPr>
          <w:rFonts w:cstheme="minorHAnsi"/>
          <w:szCs w:val="20"/>
        </w:rPr>
        <w:t>In the USA</w:t>
      </w:r>
      <w:r w:rsidR="008867DF">
        <w:rPr>
          <w:rFonts w:cstheme="minorHAnsi"/>
          <w:szCs w:val="20"/>
        </w:rPr>
        <w:t>,</w:t>
      </w:r>
      <w:r w:rsidRPr="00216A71">
        <w:rPr>
          <w:rFonts w:cstheme="minorHAnsi"/>
          <w:szCs w:val="20"/>
        </w:rPr>
        <w:t xml:space="preserve"> “KPMG was fined </w:t>
      </w:r>
      <w:hyperlink r:id="rId99" w:history="1">
        <w:r w:rsidRPr="00216A71">
          <w:rPr>
            <w:rStyle w:val="Hyperlink"/>
            <w:rFonts w:cstheme="minorHAnsi"/>
            <w:szCs w:val="20"/>
          </w:rPr>
          <w:t>$456</w:t>
        </w:r>
        <w:r w:rsidR="008867DF">
          <w:rPr>
            <w:rStyle w:val="Hyperlink"/>
            <w:rFonts w:cstheme="minorHAnsi"/>
            <w:szCs w:val="20"/>
          </w:rPr>
          <w:t xml:space="preserve"> </w:t>
        </w:r>
        <w:r w:rsidRPr="00216A71">
          <w:rPr>
            <w:rStyle w:val="Hyperlink"/>
            <w:rFonts w:cstheme="minorHAnsi"/>
            <w:szCs w:val="20"/>
          </w:rPr>
          <w:t>m</w:t>
        </w:r>
      </w:hyperlink>
      <w:r w:rsidR="008867DF">
        <w:rPr>
          <w:rStyle w:val="Hyperlink"/>
          <w:rFonts w:cstheme="minorHAnsi"/>
          <w:szCs w:val="20"/>
        </w:rPr>
        <w:t>illion</w:t>
      </w:r>
      <w:r w:rsidRPr="00216A71">
        <w:rPr>
          <w:rFonts w:cstheme="minorHAnsi"/>
          <w:szCs w:val="20"/>
        </w:rPr>
        <w:t xml:space="preserve"> (£284</w:t>
      </w:r>
      <w:r w:rsidR="008867DF">
        <w:rPr>
          <w:rFonts w:cstheme="minorHAnsi"/>
          <w:szCs w:val="20"/>
        </w:rPr>
        <w:t xml:space="preserve"> </w:t>
      </w:r>
      <w:r w:rsidRPr="00216A71">
        <w:rPr>
          <w:rFonts w:cstheme="minorHAnsi"/>
          <w:szCs w:val="20"/>
        </w:rPr>
        <w:t>m</w:t>
      </w:r>
      <w:r w:rsidR="008867DF">
        <w:rPr>
          <w:rFonts w:cstheme="minorHAnsi"/>
          <w:szCs w:val="20"/>
        </w:rPr>
        <w:t>illion</w:t>
      </w:r>
      <w:r w:rsidRPr="00216A71">
        <w:rPr>
          <w:rFonts w:cstheme="minorHAnsi"/>
          <w:szCs w:val="20"/>
        </w:rPr>
        <w:t xml:space="preserve">) for facilitating tax evasion and a number of its former personnel have been sent to prison, as have some of the former personnel of </w:t>
      </w:r>
      <w:hyperlink r:id="rId100" w:history="1">
        <w:r w:rsidRPr="00216A71">
          <w:rPr>
            <w:rStyle w:val="Hyperlink"/>
            <w:rFonts w:cstheme="minorHAnsi"/>
            <w:szCs w:val="20"/>
          </w:rPr>
          <w:t>Ernst &amp; Young</w:t>
        </w:r>
      </w:hyperlink>
      <w:r w:rsidRPr="00216A71">
        <w:rPr>
          <w:rFonts w:cstheme="minorHAnsi"/>
          <w:szCs w:val="20"/>
        </w:rPr>
        <w:t>.”</w:t>
      </w:r>
      <w:r w:rsidRPr="00216A71">
        <w:rPr>
          <w:rStyle w:val="EndnoteReference"/>
          <w:rFonts w:cstheme="minorHAnsi"/>
          <w:szCs w:val="20"/>
        </w:rPr>
        <w:endnoteReference w:id="80"/>
      </w:r>
      <w:r w:rsidRPr="00216A71">
        <w:rPr>
          <w:rFonts w:cstheme="minorHAnsi"/>
          <w:szCs w:val="20"/>
        </w:rPr>
        <w:t xml:space="preserve"> </w:t>
      </w:r>
    </w:p>
    <w:p w:rsidR="000E505F" w:rsidRPr="00216A71" w:rsidRDefault="00BF7FC8" w:rsidP="0080036E">
      <w:pPr>
        <w:pStyle w:val="Heading6"/>
        <w:rPr>
          <w:rFonts w:cstheme="minorHAnsi"/>
          <w:szCs w:val="20"/>
        </w:rPr>
      </w:pPr>
      <w:r w:rsidRPr="00216A71">
        <w:rPr>
          <w:rFonts w:cstheme="minorHAnsi"/>
          <w:szCs w:val="20"/>
        </w:rPr>
        <w:t xml:space="preserve">Snapshot of consulting firms </w:t>
      </w:r>
    </w:p>
    <w:tbl>
      <w:tblPr>
        <w:tblStyle w:val="TableGrid"/>
        <w:tblW w:w="9889" w:type="dxa"/>
        <w:tblLayout w:type="fixed"/>
        <w:tblLook w:val="04A0" w:firstRow="1" w:lastRow="0" w:firstColumn="1" w:lastColumn="0" w:noHBand="0" w:noVBand="1"/>
      </w:tblPr>
      <w:tblGrid>
        <w:gridCol w:w="2093"/>
        <w:gridCol w:w="7796"/>
      </w:tblGrid>
      <w:tr w:rsidR="001B4D38" w:rsidRPr="00216A71" w:rsidTr="001B4D38">
        <w:tc>
          <w:tcPr>
            <w:tcW w:w="2093" w:type="dxa"/>
          </w:tcPr>
          <w:p w:rsidR="001B4D38" w:rsidRPr="00216A71" w:rsidRDefault="001B4D38" w:rsidP="0066148C">
            <w:pPr>
              <w:rPr>
                <w:rFonts w:cstheme="minorHAnsi"/>
                <w:szCs w:val="20"/>
              </w:rPr>
            </w:pPr>
            <w:r w:rsidRPr="00216A71">
              <w:rPr>
                <w:rFonts w:cstheme="minorHAnsi"/>
                <w:szCs w:val="20"/>
              </w:rPr>
              <w:t>Consultancy</w:t>
            </w:r>
          </w:p>
        </w:tc>
        <w:tc>
          <w:tcPr>
            <w:tcW w:w="7796" w:type="dxa"/>
          </w:tcPr>
          <w:p w:rsidR="001B4D38" w:rsidRPr="00216A71" w:rsidRDefault="001B4D38" w:rsidP="0066148C">
            <w:pPr>
              <w:rPr>
                <w:rFonts w:cstheme="minorHAnsi"/>
                <w:szCs w:val="20"/>
              </w:rPr>
            </w:pPr>
            <w:r w:rsidRPr="00216A71">
              <w:rPr>
                <w:rFonts w:cstheme="minorHAnsi"/>
                <w:szCs w:val="20"/>
              </w:rPr>
              <w:t>Activities</w:t>
            </w:r>
          </w:p>
        </w:tc>
      </w:tr>
      <w:tr w:rsidR="001B4D38" w:rsidRPr="00216A71" w:rsidTr="001A1D84">
        <w:tc>
          <w:tcPr>
            <w:tcW w:w="2093" w:type="dxa"/>
          </w:tcPr>
          <w:p w:rsidR="001B4D38" w:rsidRPr="00216A71" w:rsidRDefault="001B4D38" w:rsidP="001A1D84">
            <w:pPr>
              <w:rPr>
                <w:rFonts w:cstheme="minorHAnsi"/>
                <w:szCs w:val="20"/>
              </w:rPr>
            </w:pPr>
            <w:r w:rsidRPr="00216A71">
              <w:rPr>
                <w:rFonts w:cstheme="minorHAnsi"/>
                <w:szCs w:val="20"/>
              </w:rPr>
              <w:t>Castalia</w:t>
            </w:r>
          </w:p>
        </w:tc>
        <w:tc>
          <w:tcPr>
            <w:tcW w:w="7796" w:type="dxa"/>
          </w:tcPr>
          <w:p w:rsidR="001B4D38" w:rsidRPr="00216A71" w:rsidRDefault="00A723E5" w:rsidP="001A1D84">
            <w:pPr>
              <w:rPr>
                <w:rFonts w:cstheme="minorHAnsi"/>
                <w:szCs w:val="20"/>
              </w:rPr>
            </w:pPr>
            <w:hyperlink r:id="rId101" w:history="1">
              <w:r w:rsidR="001B4D38" w:rsidRPr="00216A71">
                <w:rPr>
                  <w:rStyle w:val="Hyperlink"/>
                  <w:rFonts w:cstheme="minorHAnsi"/>
                  <w:szCs w:val="20"/>
                </w:rPr>
                <w:t>Castalia</w:t>
              </w:r>
            </w:hyperlink>
            <w:r w:rsidR="001B4D38" w:rsidRPr="00216A71">
              <w:rPr>
                <w:rFonts w:cstheme="minorHAnsi"/>
                <w:szCs w:val="20"/>
              </w:rPr>
              <w:t xml:space="preserve"> has produced a number of reports for the PPIAF, including advice on setting up PPP units, and</w:t>
            </w:r>
            <w:r w:rsidR="004045AD">
              <w:rPr>
                <w:rFonts w:cstheme="minorHAnsi"/>
                <w:szCs w:val="20"/>
              </w:rPr>
              <w:t xml:space="preserve"> </w:t>
            </w:r>
            <w:r w:rsidR="001B4D38" w:rsidRPr="00216A71">
              <w:rPr>
                <w:rFonts w:cstheme="minorHAnsi"/>
                <w:szCs w:val="20"/>
              </w:rPr>
              <w:t>wrote the</w:t>
            </w:r>
            <w:hyperlink r:id="rId102" w:history="1">
              <w:r w:rsidR="001B4D38" w:rsidRPr="00216A71">
                <w:rPr>
                  <w:rStyle w:val="Hyperlink"/>
                  <w:rFonts w:cstheme="minorHAnsi"/>
                  <w:szCs w:val="20"/>
                </w:rPr>
                <w:t xml:space="preserve"> reference guide to PPPs</w:t>
              </w:r>
            </w:hyperlink>
            <w:r w:rsidR="001B4D38" w:rsidRPr="00216A71">
              <w:rPr>
                <w:rFonts w:cstheme="minorHAnsi"/>
                <w:szCs w:val="20"/>
              </w:rPr>
              <w:t xml:space="preserve"> in 2012. At </w:t>
            </w:r>
            <w:r w:rsidR="008867DF">
              <w:rPr>
                <w:rFonts w:cstheme="minorHAnsi"/>
                <w:szCs w:val="20"/>
              </w:rPr>
              <w:t xml:space="preserve">the </w:t>
            </w:r>
            <w:r w:rsidR="001B4D38" w:rsidRPr="00216A71">
              <w:rPr>
                <w:rFonts w:cstheme="minorHAnsi"/>
                <w:szCs w:val="20"/>
              </w:rPr>
              <w:t xml:space="preserve">national level, they have promoted the use of PPPs in </w:t>
            </w:r>
            <w:hyperlink r:id="rId103" w:history="1">
              <w:r w:rsidR="001B4D38" w:rsidRPr="00216A71">
                <w:rPr>
                  <w:rStyle w:val="Hyperlink"/>
                  <w:rFonts w:cstheme="minorHAnsi"/>
                  <w:szCs w:val="20"/>
                </w:rPr>
                <w:t>schools in New Zealand</w:t>
              </w:r>
            </w:hyperlink>
            <w:r w:rsidR="001B4D38" w:rsidRPr="00216A71">
              <w:rPr>
                <w:rFonts w:cstheme="minorHAnsi"/>
                <w:szCs w:val="20"/>
              </w:rPr>
              <w:t>,</w:t>
            </w:r>
            <w:r w:rsidR="004045AD">
              <w:rPr>
                <w:rFonts w:cstheme="minorHAnsi"/>
                <w:szCs w:val="20"/>
              </w:rPr>
              <w:t xml:space="preserve"> </w:t>
            </w:r>
            <w:r w:rsidR="001B4D38" w:rsidRPr="00216A71">
              <w:rPr>
                <w:rFonts w:cstheme="minorHAnsi"/>
                <w:szCs w:val="20"/>
              </w:rPr>
              <w:t xml:space="preserve">designed a framework for PPPs in Jamaica, and in </w:t>
            </w:r>
            <w:hyperlink r:id="rId104" w:history="1">
              <w:r w:rsidR="001B4D38" w:rsidRPr="00216A71">
                <w:rPr>
                  <w:rStyle w:val="Hyperlink"/>
                  <w:rFonts w:cstheme="minorHAnsi"/>
                  <w:szCs w:val="20"/>
                </w:rPr>
                <w:t>Uganda</w:t>
              </w:r>
            </w:hyperlink>
            <w:r w:rsidR="00277AAA" w:rsidRPr="00216A71">
              <w:rPr>
                <w:rStyle w:val="Hyperlink"/>
                <w:rFonts w:cstheme="minorHAnsi"/>
                <w:szCs w:val="20"/>
              </w:rPr>
              <w:t>.</w:t>
            </w:r>
          </w:p>
        </w:tc>
      </w:tr>
      <w:tr w:rsidR="001B4D38" w:rsidRPr="00216A71" w:rsidTr="001A1D84">
        <w:tc>
          <w:tcPr>
            <w:tcW w:w="2093" w:type="dxa"/>
          </w:tcPr>
          <w:p w:rsidR="001B4D38" w:rsidRPr="00216A71" w:rsidRDefault="001B4D38" w:rsidP="008867DF">
            <w:pPr>
              <w:rPr>
                <w:rFonts w:cstheme="minorHAnsi"/>
                <w:szCs w:val="20"/>
              </w:rPr>
            </w:pPr>
            <w:r w:rsidRPr="00216A71">
              <w:rPr>
                <w:rFonts w:cstheme="minorHAnsi"/>
                <w:szCs w:val="20"/>
              </w:rPr>
              <w:t>Deloitte</w:t>
            </w:r>
          </w:p>
        </w:tc>
        <w:tc>
          <w:tcPr>
            <w:tcW w:w="7796" w:type="dxa"/>
          </w:tcPr>
          <w:p w:rsidR="001B4D38" w:rsidRPr="00216A71" w:rsidRDefault="00A723E5" w:rsidP="008867DF">
            <w:pPr>
              <w:rPr>
                <w:rFonts w:cstheme="minorHAnsi"/>
                <w:szCs w:val="20"/>
              </w:rPr>
            </w:pPr>
            <w:hyperlink r:id="rId105" w:history="1">
              <w:r w:rsidR="001B4D38" w:rsidRPr="00216A71">
                <w:rPr>
                  <w:rStyle w:val="Hyperlink"/>
                  <w:rFonts w:cstheme="minorHAnsi"/>
                  <w:szCs w:val="20"/>
                </w:rPr>
                <w:t>A 2012 report on the global PPPs market</w:t>
              </w:r>
            </w:hyperlink>
            <w:r w:rsidR="001B4D38" w:rsidRPr="00216A71">
              <w:rPr>
                <w:rFonts w:cstheme="minorHAnsi"/>
                <w:szCs w:val="20"/>
              </w:rPr>
              <w:t xml:space="preserve"> included a survey which showed that the biggest single issue for businesses was “Consistent political support for PPP structures</w:t>
            </w:r>
            <w:r w:rsidR="008867DF">
              <w:rPr>
                <w:rFonts w:cstheme="minorHAnsi"/>
                <w:szCs w:val="20"/>
              </w:rPr>
              <w:t>.</w:t>
            </w:r>
            <w:r w:rsidR="001B4D38" w:rsidRPr="00216A71">
              <w:rPr>
                <w:rFonts w:cstheme="minorHAnsi"/>
                <w:szCs w:val="20"/>
              </w:rPr>
              <w:t xml:space="preserve">” </w:t>
            </w:r>
            <w:r w:rsidR="008867DF">
              <w:rPr>
                <w:rFonts w:cstheme="minorHAnsi"/>
                <w:szCs w:val="20"/>
              </w:rPr>
              <w:t>A</w:t>
            </w:r>
            <w:r w:rsidR="001B4D38" w:rsidRPr="00216A71">
              <w:rPr>
                <w:rFonts w:cstheme="minorHAnsi"/>
                <w:szCs w:val="20"/>
              </w:rPr>
              <w:t>nother political question, “government funding for infrastructure” was third. The other big concern was their inability to raise private finance: “Availability of affordable debt”</w:t>
            </w:r>
            <w:r w:rsidR="008867DF">
              <w:rPr>
                <w:rFonts w:cstheme="minorHAnsi"/>
                <w:szCs w:val="20"/>
              </w:rPr>
              <w:t>…</w:t>
            </w:r>
            <w:r w:rsidR="001B4D38" w:rsidRPr="00216A71">
              <w:rPr>
                <w:rFonts w:cstheme="minorHAnsi"/>
                <w:szCs w:val="20"/>
              </w:rPr>
              <w:t xml:space="preserve"> “Lack of return available to contractors / investors</w:t>
            </w:r>
            <w:r w:rsidR="008867DF">
              <w:rPr>
                <w:rFonts w:cstheme="minorHAnsi"/>
                <w:szCs w:val="20"/>
              </w:rPr>
              <w:t>,</w:t>
            </w:r>
            <w:r w:rsidR="001B4D38" w:rsidRPr="00216A71">
              <w:rPr>
                <w:rFonts w:cstheme="minorHAnsi"/>
                <w:szCs w:val="20"/>
              </w:rPr>
              <w:t>”</w:t>
            </w:r>
            <w:r w:rsidR="008867DF">
              <w:rPr>
                <w:rFonts w:cstheme="minorHAnsi"/>
                <w:szCs w:val="20"/>
              </w:rPr>
              <w:t xml:space="preserve"> </w:t>
            </w:r>
            <w:r w:rsidR="001B4D38" w:rsidRPr="00216A71">
              <w:rPr>
                <w:rFonts w:cstheme="minorHAnsi"/>
                <w:szCs w:val="20"/>
              </w:rPr>
              <w:t>and</w:t>
            </w:r>
            <w:r w:rsidR="004045AD">
              <w:rPr>
                <w:rFonts w:cstheme="minorHAnsi"/>
                <w:szCs w:val="20"/>
              </w:rPr>
              <w:t xml:space="preserve"> </w:t>
            </w:r>
            <w:r w:rsidR="001B4D38" w:rsidRPr="00216A71">
              <w:rPr>
                <w:rFonts w:cstheme="minorHAnsi"/>
                <w:szCs w:val="20"/>
              </w:rPr>
              <w:t>“Appetite of pension funds</w:t>
            </w:r>
            <w:r w:rsidR="008867DF">
              <w:rPr>
                <w:rFonts w:cstheme="minorHAnsi"/>
                <w:szCs w:val="20"/>
              </w:rPr>
              <w:t>.</w:t>
            </w:r>
            <w:r w:rsidR="001B4D38" w:rsidRPr="00216A71">
              <w:rPr>
                <w:rFonts w:cstheme="minorHAnsi"/>
                <w:szCs w:val="20"/>
              </w:rPr>
              <w:t>”</w:t>
            </w:r>
          </w:p>
        </w:tc>
      </w:tr>
      <w:tr w:rsidR="001B4D38" w:rsidRPr="00216A71" w:rsidTr="001B4D38">
        <w:tc>
          <w:tcPr>
            <w:tcW w:w="2093" w:type="dxa"/>
          </w:tcPr>
          <w:p w:rsidR="001B4D38" w:rsidRPr="00216A71" w:rsidRDefault="001B4D38" w:rsidP="001A1D84">
            <w:pPr>
              <w:rPr>
                <w:rFonts w:cstheme="minorHAnsi"/>
                <w:szCs w:val="20"/>
              </w:rPr>
            </w:pPr>
            <w:r w:rsidRPr="00216A71">
              <w:rPr>
                <w:rFonts w:cstheme="minorHAnsi"/>
                <w:szCs w:val="20"/>
              </w:rPr>
              <w:t>Ernst and Young</w:t>
            </w:r>
          </w:p>
        </w:tc>
        <w:tc>
          <w:tcPr>
            <w:tcW w:w="7796" w:type="dxa"/>
          </w:tcPr>
          <w:p w:rsidR="001B4D38" w:rsidRPr="00216A71" w:rsidRDefault="00A723E5" w:rsidP="008867DF">
            <w:pPr>
              <w:rPr>
                <w:rFonts w:cstheme="minorHAnsi"/>
                <w:szCs w:val="20"/>
              </w:rPr>
            </w:pPr>
            <w:hyperlink r:id="rId106" w:history="1">
              <w:r w:rsidR="001B4D38" w:rsidRPr="00216A71">
                <w:rPr>
                  <w:rStyle w:val="Hyperlink"/>
                  <w:rFonts w:cstheme="minorHAnsi"/>
                  <w:szCs w:val="20"/>
                </w:rPr>
                <w:t>"Power to the People" July 2013</w:t>
              </w:r>
            </w:hyperlink>
            <w:r w:rsidR="001B4D38" w:rsidRPr="00216A71">
              <w:rPr>
                <w:rStyle w:val="Hyperlink"/>
                <w:rFonts w:cstheme="minorHAnsi"/>
                <w:szCs w:val="20"/>
              </w:rPr>
              <w:t xml:space="preserve"> </w:t>
            </w:r>
            <w:r w:rsidR="001B4D38" w:rsidRPr="00216A71">
              <w:rPr>
                <w:rFonts w:cstheme="minorHAnsi"/>
                <w:szCs w:val="20"/>
              </w:rPr>
              <w:t xml:space="preserve">is a typical report looking at the general growth in spending on infrastructure in developing countries, with specific reference to power, roads and healthcare. E&amp;Y also produced a 2011 report on </w:t>
            </w:r>
            <w:hyperlink r:id="rId107" w:history="1">
              <w:r w:rsidR="001B4D38" w:rsidRPr="00216A71">
                <w:rPr>
                  <w:rStyle w:val="Hyperlink"/>
                  <w:rFonts w:cstheme="minorHAnsi"/>
                  <w:szCs w:val="20"/>
                </w:rPr>
                <w:t>water engineering in India</w:t>
              </w:r>
            </w:hyperlink>
            <w:r w:rsidR="001B4D38" w:rsidRPr="00216A71">
              <w:rPr>
                <w:rFonts w:cstheme="minorHAnsi"/>
                <w:szCs w:val="20"/>
              </w:rPr>
              <w:t xml:space="preserve"> “with the active support of the water team of the Royal Danish Embassy</w:t>
            </w:r>
            <w:r w:rsidR="008867DF">
              <w:rPr>
                <w:rFonts w:cstheme="minorHAnsi"/>
                <w:szCs w:val="20"/>
              </w:rPr>
              <w:t>.</w:t>
            </w:r>
            <w:r w:rsidR="001B4D38" w:rsidRPr="00216A71">
              <w:rPr>
                <w:rFonts w:cstheme="minorHAnsi"/>
                <w:szCs w:val="20"/>
              </w:rPr>
              <w:t xml:space="preserve">” </w:t>
            </w:r>
          </w:p>
        </w:tc>
      </w:tr>
      <w:tr w:rsidR="001B4D38" w:rsidRPr="00216A71" w:rsidTr="001B4D38">
        <w:tc>
          <w:tcPr>
            <w:tcW w:w="2093" w:type="dxa"/>
          </w:tcPr>
          <w:p w:rsidR="001B4D38" w:rsidRPr="00216A71" w:rsidRDefault="001B4D38" w:rsidP="0066148C">
            <w:pPr>
              <w:rPr>
                <w:rFonts w:cstheme="minorHAnsi"/>
                <w:szCs w:val="20"/>
              </w:rPr>
            </w:pPr>
            <w:r w:rsidRPr="00216A71">
              <w:rPr>
                <w:rFonts w:cstheme="minorHAnsi"/>
                <w:szCs w:val="20"/>
              </w:rPr>
              <w:lastRenderedPageBreak/>
              <w:t>PWC</w:t>
            </w:r>
          </w:p>
        </w:tc>
        <w:tc>
          <w:tcPr>
            <w:tcW w:w="7796" w:type="dxa"/>
          </w:tcPr>
          <w:p w:rsidR="001B4D38" w:rsidRPr="00216A71" w:rsidRDefault="001B23A3" w:rsidP="008867DF">
            <w:pPr>
              <w:rPr>
                <w:rFonts w:cstheme="minorHAnsi"/>
                <w:szCs w:val="20"/>
              </w:rPr>
            </w:pPr>
            <w:r w:rsidRPr="00216A71">
              <w:rPr>
                <w:rFonts w:cstheme="minorHAnsi"/>
                <w:szCs w:val="20"/>
              </w:rPr>
              <w:t xml:space="preserve">PWC has been a leading adviser and promoter of privatisation and PPPs for over 20 years, across regions and sectors. </w:t>
            </w:r>
            <w:r w:rsidR="001B4D38" w:rsidRPr="00216A71">
              <w:rPr>
                <w:rFonts w:cstheme="minorHAnsi"/>
                <w:szCs w:val="20"/>
              </w:rPr>
              <w:t xml:space="preserve">It promoted PPPs in </w:t>
            </w:r>
            <w:hyperlink r:id="rId108" w:history="1">
              <w:r w:rsidR="001B4D38" w:rsidRPr="00216A71">
                <w:rPr>
                  <w:rStyle w:val="Hyperlink"/>
                  <w:rFonts w:cstheme="minorHAnsi"/>
                  <w:szCs w:val="20"/>
                </w:rPr>
                <w:t>public transport in Europe</w:t>
              </w:r>
            </w:hyperlink>
            <w:r w:rsidR="00320342" w:rsidRPr="00216A71">
              <w:rPr>
                <w:rFonts w:cstheme="minorHAnsi"/>
                <w:szCs w:val="20"/>
              </w:rPr>
              <w:t xml:space="preserve"> in 2005, recommending </w:t>
            </w:r>
            <w:r w:rsidRPr="00216A71">
              <w:rPr>
                <w:rFonts w:cstheme="minorHAnsi"/>
                <w:szCs w:val="20"/>
              </w:rPr>
              <w:t>streamlining of procurement</w:t>
            </w:r>
            <w:r w:rsidR="00461FAC" w:rsidRPr="00216A71">
              <w:rPr>
                <w:rFonts w:cstheme="minorHAnsi"/>
                <w:szCs w:val="20"/>
              </w:rPr>
              <w:t xml:space="preserve">; infrastructure </w:t>
            </w:r>
            <w:hyperlink r:id="rId109" w:history="1">
              <w:r w:rsidR="00461FAC" w:rsidRPr="00216A71">
                <w:rPr>
                  <w:rStyle w:val="Hyperlink"/>
                  <w:rFonts w:cstheme="minorHAnsi"/>
                  <w:szCs w:val="20"/>
                </w:rPr>
                <w:t>PPPs in the USA</w:t>
              </w:r>
            </w:hyperlink>
            <w:r w:rsidR="00461FAC" w:rsidRPr="00216A71">
              <w:rPr>
                <w:rFonts w:cstheme="minorHAnsi"/>
                <w:szCs w:val="20"/>
              </w:rPr>
              <w:t xml:space="preserve"> and</w:t>
            </w:r>
            <w:hyperlink r:id="rId110" w:history="1">
              <w:r w:rsidR="00461FAC" w:rsidRPr="00216A71">
                <w:rPr>
                  <w:rStyle w:val="Hyperlink"/>
                  <w:rFonts w:cstheme="minorHAnsi"/>
                  <w:szCs w:val="20"/>
                </w:rPr>
                <w:t xml:space="preserve"> infrastructure in CEE</w:t>
              </w:r>
            </w:hyperlink>
            <w:r w:rsidR="00461FAC" w:rsidRPr="00216A71">
              <w:rPr>
                <w:rFonts w:cstheme="minorHAnsi"/>
                <w:szCs w:val="20"/>
              </w:rPr>
              <w:t>, both in 2010;</w:t>
            </w:r>
            <w:r w:rsidRPr="00216A71">
              <w:rPr>
                <w:rFonts w:cstheme="minorHAnsi"/>
                <w:szCs w:val="20"/>
              </w:rPr>
              <w:t xml:space="preserve"> </w:t>
            </w:r>
            <w:hyperlink r:id="rId111" w:history="1">
              <w:r w:rsidR="001B4D38" w:rsidRPr="00216A71">
                <w:rPr>
                  <w:rStyle w:val="Hyperlink"/>
                  <w:rFonts w:cstheme="minorHAnsi"/>
                  <w:szCs w:val="20"/>
                </w:rPr>
                <w:t xml:space="preserve"> </w:t>
              </w:r>
              <w:r w:rsidR="00320342" w:rsidRPr="00216A71">
                <w:rPr>
                  <w:rStyle w:val="Hyperlink"/>
                  <w:rFonts w:cstheme="minorHAnsi"/>
                  <w:szCs w:val="20"/>
                </w:rPr>
                <w:t>healthcare PPPs in south east Asia</w:t>
              </w:r>
            </w:hyperlink>
            <w:r w:rsidR="00320342" w:rsidRPr="00216A71">
              <w:rPr>
                <w:rFonts w:cstheme="minorHAnsi"/>
                <w:szCs w:val="20"/>
              </w:rPr>
              <w:t xml:space="preserve"> in 2012</w:t>
            </w:r>
            <w:r w:rsidR="00461FAC" w:rsidRPr="00216A71">
              <w:rPr>
                <w:rFonts w:cstheme="minorHAnsi"/>
                <w:szCs w:val="20"/>
              </w:rPr>
              <w:t xml:space="preserve">; </w:t>
            </w:r>
            <w:r w:rsidR="008867DF">
              <w:rPr>
                <w:rFonts w:cstheme="minorHAnsi"/>
                <w:szCs w:val="20"/>
              </w:rPr>
              <w:t xml:space="preserve">and </w:t>
            </w:r>
            <w:r w:rsidR="00461FAC" w:rsidRPr="00216A71">
              <w:rPr>
                <w:rFonts w:cstheme="minorHAnsi"/>
                <w:szCs w:val="20"/>
              </w:rPr>
              <w:t xml:space="preserve">the potential for PPPs in Pakistan in 2012 amongst many others. </w:t>
            </w:r>
          </w:p>
        </w:tc>
      </w:tr>
    </w:tbl>
    <w:p w:rsidR="000E505F" w:rsidRPr="00216A71" w:rsidRDefault="009372DB" w:rsidP="0080036E">
      <w:pPr>
        <w:pStyle w:val="Heading6"/>
        <w:rPr>
          <w:rFonts w:cstheme="minorHAnsi"/>
          <w:szCs w:val="20"/>
        </w:rPr>
      </w:pPr>
      <w:r w:rsidRPr="00216A71">
        <w:rPr>
          <w:rFonts w:cstheme="minorHAnsi"/>
          <w:szCs w:val="20"/>
        </w:rPr>
        <w:t xml:space="preserve">Private </w:t>
      </w:r>
      <w:r w:rsidR="007549B5" w:rsidRPr="00216A71">
        <w:rPr>
          <w:rFonts w:cstheme="minorHAnsi"/>
          <w:szCs w:val="20"/>
        </w:rPr>
        <w:t xml:space="preserve">companies and private </w:t>
      </w:r>
      <w:r w:rsidRPr="00216A71">
        <w:rPr>
          <w:rFonts w:cstheme="minorHAnsi"/>
          <w:szCs w:val="20"/>
        </w:rPr>
        <w:t xml:space="preserve">equity </w:t>
      </w:r>
      <w:r w:rsidR="00835BC3" w:rsidRPr="00216A71">
        <w:rPr>
          <w:rFonts w:cstheme="minorHAnsi"/>
          <w:szCs w:val="20"/>
        </w:rPr>
        <w:t>– leveraging public funds</w:t>
      </w:r>
    </w:p>
    <w:p w:rsidR="000C629A" w:rsidRDefault="00220965" w:rsidP="00EC45B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The multinational companies operating in each sector also promote PPPs as part of their marketing efforts in order to capture as much business as possible from the public sector. </w:t>
      </w:r>
      <w:r w:rsidR="00A33280" w:rsidRPr="00216A71">
        <w:rPr>
          <w:rFonts w:cstheme="minorHAnsi"/>
          <w:szCs w:val="20"/>
        </w:rPr>
        <w:t xml:space="preserve">There are now </w:t>
      </w:r>
      <w:r w:rsidRPr="00216A71">
        <w:rPr>
          <w:rFonts w:cstheme="minorHAnsi"/>
          <w:szCs w:val="20"/>
        </w:rPr>
        <w:t xml:space="preserve">also </w:t>
      </w:r>
      <w:r w:rsidR="00A33280" w:rsidRPr="00216A71">
        <w:rPr>
          <w:rFonts w:cstheme="minorHAnsi"/>
          <w:szCs w:val="20"/>
        </w:rPr>
        <w:t xml:space="preserve">many private equity and infrastructure funds aiming to </w:t>
      </w:r>
      <w:r w:rsidR="007549B5" w:rsidRPr="00216A71">
        <w:rPr>
          <w:rFonts w:cstheme="minorHAnsi"/>
          <w:szCs w:val="20"/>
        </w:rPr>
        <w:t>invest in</w:t>
      </w:r>
      <w:r w:rsidR="00A33280" w:rsidRPr="00216A71">
        <w:rPr>
          <w:rFonts w:cstheme="minorHAnsi"/>
          <w:szCs w:val="20"/>
        </w:rPr>
        <w:t xml:space="preserve"> PPPs.</w:t>
      </w:r>
      <w:r w:rsidR="004045AD">
        <w:rPr>
          <w:rFonts w:cstheme="minorHAnsi"/>
          <w:szCs w:val="20"/>
        </w:rPr>
        <w:t xml:space="preserve"> </w:t>
      </w:r>
    </w:p>
    <w:p w:rsidR="000C629A" w:rsidRDefault="00A31234" w:rsidP="00EC45B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The practices of these private funds ha</w:t>
      </w:r>
      <w:r w:rsidR="00191F44">
        <w:rPr>
          <w:rFonts w:cstheme="minorHAnsi"/>
          <w:szCs w:val="20"/>
        </w:rPr>
        <w:t>ve</w:t>
      </w:r>
      <w:r w:rsidRPr="00216A71">
        <w:rPr>
          <w:rFonts w:cstheme="minorHAnsi"/>
          <w:szCs w:val="20"/>
        </w:rPr>
        <w:t xml:space="preserve"> been the subject of much criticism</w:t>
      </w:r>
      <w:r w:rsidR="008867DF">
        <w:rPr>
          <w:rFonts w:cstheme="minorHAnsi"/>
          <w:szCs w:val="20"/>
        </w:rPr>
        <w:t>.</w:t>
      </w:r>
      <w:r w:rsidRPr="00216A71">
        <w:rPr>
          <w:rFonts w:cstheme="minorHAnsi"/>
          <w:szCs w:val="20"/>
        </w:rPr>
        <w:t xml:space="preserve"> </w:t>
      </w:r>
      <w:r w:rsidR="008867DF">
        <w:rPr>
          <w:rFonts w:cstheme="minorHAnsi"/>
          <w:szCs w:val="20"/>
        </w:rPr>
        <w:t>F</w:t>
      </w:r>
      <w:r w:rsidRPr="00216A71">
        <w:rPr>
          <w:rFonts w:cstheme="minorHAnsi"/>
          <w:szCs w:val="20"/>
        </w:rPr>
        <w:t>or example</w:t>
      </w:r>
      <w:r w:rsidR="008867DF">
        <w:rPr>
          <w:rFonts w:cstheme="minorHAnsi"/>
          <w:szCs w:val="20"/>
        </w:rPr>
        <w:t>,</w:t>
      </w:r>
      <w:r w:rsidRPr="00216A71">
        <w:rPr>
          <w:rFonts w:cstheme="minorHAnsi"/>
          <w:szCs w:val="20"/>
        </w:rPr>
        <w:t xml:space="preserve"> the</w:t>
      </w:r>
      <w:r w:rsidR="004045AD">
        <w:rPr>
          <w:rFonts w:cstheme="minorHAnsi"/>
          <w:szCs w:val="20"/>
        </w:rPr>
        <w:t xml:space="preserve"> </w:t>
      </w:r>
      <w:r w:rsidRPr="00216A71">
        <w:rPr>
          <w:rFonts w:cstheme="minorHAnsi"/>
          <w:szCs w:val="20"/>
        </w:rPr>
        <w:t xml:space="preserve">Economist magazine </w:t>
      </w:r>
      <w:r w:rsidR="008867DF">
        <w:rPr>
          <w:rFonts w:cstheme="minorHAnsi"/>
          <w:szCs w:val="20"/>
        </w:rPr>
        <w:t xml:space="preserve">said </w:t>
      </w:r>
      <w:r w:rsidRPr="00216A71">
        <w:rPr>
          <w:rFonts w:cstheme="minorHAnsi"/>
          <w:szCs w:val="20"/>
        </w:rPr>
        <w:t>in 2008</w:t>
      </w:r>
      <w:r w:rsidR="008867DF">
        <w:rPr>
          <w:rFonts w:cstheme="minorHAnsi"/>
          <w:szCs w:val="20"/>
        </w:rPr>
        <w:t>,</w:t>
      </w:r>
      <w:r w:rsidRPr="00216A71">
        <w:rPr>
          <w:rFonts w:cstheme="minorHAnsi"/>
          <w:szCs w:val="20"/>
        </w:rPr>
        <w:t xml:space="preserve"> “</w:t>
      </w:r>
      <w:r w:rsidRPr="00216A71">
        <w:rPr>
          <w:rStyle w:val="verdana"/>
          <w:rFonts w:cstheme="minorHAnsi"/>
          <w:szCs w:val="20"/>
        </w:rPr>
        <w:t>Their entire business models now seem headed for the scrap heap….</w:t>
      </w:r>
      <w:r w:rsidRPr="00216A71">
        <w:rPr>
          <w:rFonts w:cstheme="minorHAnsi"/>
          <w:szCs w:val="20"/>
        </w:rPr>
        <w:t xml:space="preserve"> [Macquarie’s]</w:t>
      </w:r>
      <w:r w:rsidRPr="00216A71">
        <w:rPr>
          <w:rStyle w:val="verdana"/>
          <w:rFonts w:cstheme="minorHAnsi"/>
          <w:szCs w:val="20"/>
        </w:rPr>
        <w:t xml:space="preserve"> long-standing practice of paying out more in distributions to shareholders than it received from the underlying investments worked when it was cheap to borrow money. It no longer is.”</w:t>
      </w:r>
      <w:r w:rsidRPr="00216A71">
        <w:rPr>
          <w:rStyle w:val="EndnoteReference"/>
          <w:rFonts w:cstheme="minorHAnsi"/>
          <w:szCs w:val="20"/>
        </w:rPr>
        <w:endnoteReference w:id="81"/>
      </w:r>
    </w:p>
    <w:p w:rsidR="000C629A" w:rsidRDefault="00A31234" w:rsidP="00EC45B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They also rely heavily on public sector institutions to support their activities in PPPs. </w:t>
      </w:r>
      <w:r w:rsidR="009372DB" w:rsidRPr="00216A71">
        <w:rPr>
          <w:rFonts w:cstheme="minorHAnsi"/>
          <w:szCs w:val="20"/>
        </w:rPr>
        <w:t>Many of the private equity firms themselves have been created by governments and continue to be financed by governments using public money and guarantees.</w:t>
      </w:r>
      <w:r w:rsidR="004045AD">
        <w:rPr>
          <w:rFonts w:cstheme="minorHAnsi"/>
          <w:szCs w:val="20"/>
        </w:rPr>
        <w:t xml:space="preserve"> </w:t>
      </w:r>
      <w:r w:rsidR="009372DB" w:rsidRPr="00216A71">
        <w:rPr>
          <w:rFonts w:cstheme="minorHAnsi"/>
          <w:szCs w:val="20"/>
        </w:rPr>
        <w:t>The two largest private equity firms operating in developing countries are Actis, which was created by the UK government through the CDC, and Abraaj, which incorporate</w:t>
      </w:r>
      <w:r w:rsidR="006A390A">
        <w:rPr>
          <w:rFonts w:cstheme="minorHAnsi"/>
          <w:szCs w:val="20"/>
        </w:rPr>
        <w:t>s</w:t>
      </w:r>
      <w:r w:rsidR="009372DB" w:rsidRPr="00216A71">
        <w:rPr>
          <w:rFonts w:cstheme="minorHAnsi"/>
          <w:szCs w:val="20"/>
        </w:rPr>
        <w:t xml:space="preserve"> Aureos, created by UK </w:t>
      </w:r>
      <w:r w:rsidR="007549B5" w:rsidRPr="00216A71">
        <w:rPr>
          <w:rFonts w:cstheme="minorHAnsi"/>
          <w:szCs w:val="20"/>
        </w:rPr>
        <w:t xml:space="preserve">and Norwegian </w:t>
      </w:r>
      <w:r w:rsidR="009372DB" w:rsidRPr="00216A71">
        <w:rPr>
          <w:rFonts w:cstheme="minorHAnsi"/>
          <w:szCs w:val="20"/>
        </w:rPr>
        <w:t>government</w:t>
      </w:r>
      <w:r w:rsidR="007549B5" w:rsidRPr="00216A71">
        <w:rPr>
          <w:rFonts w:cstheme="minorHAnsi"/>
          <w:szCs w:val="20"/>
        </w:rPr>
        <w:t xml:space="preserve"> funds.</w:t>
      </w:r>
      <w:r w:rsidR="004045AD">
        <w:rPr>
          <w:rFonts w:cstheme="minorHAnsi"/>
          <w:szCs w:val="20"/>
        </w:rPr>
        <w:t xml:space="preserve"> </w:t>
      </w:r>
    </w:p>
    <w:p w:rsidR="000C629A" w:rsidRDefault="00220965" w:rsidP="00EC45B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International donors and IFIs collaborate directly with private firms to create infrastructure funds which channel both public and private finance into PPPs, along with public subsidies and government guarantees. This network is mapped in detail by The Cornerhouse, in its 2013 report “Bricks and Mortar</w:t>
      </w:r>
      <w:r w:rsidR="006A390A">
        <w:rPr>
          <w:rFonts w:cstheme="minorHAnsi"/>
          <w:szCs w:val="20"/>
        </w:rPr>
        <w:t>.</w:t>
      </w:r>
      <w:r w:rsidRPr="00216A71">
        <w:rPr>
          <w:rFonts w:cstheme="minorHAnsi"/>
          <w:szCs w:val="20"/>
        </w:rPr>
        <w:t>”</w:t>
      </w:r>
      <w:r w:rsidRPr="00216A71">
        <w:rPr>
          <w:rStyle w:val="EndnoteReference"/>
          <w:rFonts w:cstheme="minorHAnsi"/>
          <w:szCs w:val="20"/>
        </w:rPr>
        <w:endnoteReference w:id="82"/>
      </w:r>
    </w:p>
    <w:p w:rsidR="00960ACE" w:rsidRPr="00216A71" w:rsidRDefault="00A33280" w:rsidP="00EC45B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While donors like to claim that PPPs are a way of ‘leveraging’ private finance into supporting public projects, the greatest flows are exactly the other way around. Private companies and private equity funds use a small amount of their own capital as equity, and manage to leverage </w:t>
      </w:r>
      <w:r w:rsidR="00960ACE" w:rsidRPr="00216A71">
        <w:rPr>
          <w:rFonts w:cstheme="minorHAnsi"/>
          <w:szCs w:val="20"/>
        </w:rPr>
        <w:t>extra equity investment from international public donors and IFIs, as well as raising debt which is either guaranteed by the public sector, or even provided directly as a loan by the public sector.</w:t>
      </w:r>
      <w:r w:rsidR="004045AD">
        <w:rPr>
          <w:rFonts w:cstheme="minorHAnsi"/>
          <w:szCs w:val="20"/>
        </w:rPr>
        <w:t xml:space="preserve"> </w:t>
      </w:r>
    </w:p>
    <w:p w:rsidR="00960ACE" w:rsidRPr="00216A71" w:rsidRDefault="00DF029D" w:rsidP="0080036E">
      <w:pPr>
        <w:pStyle w:val="Heading8"/>
        <w:pBdr>
          <w:top w:val="single" w:sz="4" w:space="1" w:color="auto"/>
          <w:left w:val="single" w:sz="4" w:space="4" w:color="auto"/>
          <w:bottom w:val="single" w:sz="4" w:space="1" w:color="auto"/>
          <w:right w:val="single" w:sz="4" w:space="4" w:color="auto"/>
        </w:pBdr>
        <w:jc w:val="center"/>
        <w:rPr>
          <w:rFonts w:asciiTheme="minorHAnsi" w:hAnsiTheme="minorHAnsi" w:cstheme="minorHAnsi"/>
          <w:szCs w:val="20"/>
        </w:rPr>
      </w:pPr>
      <w:r w:rsidRPr="00216A71">
        <w:rPr>
          <w:rFonts w:asciiTheme="minorHAnsi" w:hAnsiTheme="minorHAnsi" w:cstheme="minorHAnsi"/>
          <w:szCs w:val="20"/>
        </w:rPr>
        <w:t>PPPs</w:t>
      </w:r>
      <w:r w:rsidR="00825741" w:rsidRPr="00216A71">
        <w:rPr>
          <w:rFonts w:asciiTheme="minorHAnsi" w:hAnsiTheme="minorHAnsi" w:cstheme="minorHAnsi"/>
          <w:szCs w:val="20"/>
        </w:rPr>
        <w:t xml:space="preserve"> and </w:t>
      </w:r>
      <w:r w:rsidR="007549B5" w:rsidRPr="00216A71">
        <w:rPr>
          <w:rFonts w:asciiTheme="minorHAnsi" w:hAnsiTheme="minorHAnsi" w:cstheme="minorHAnsi"/>
          <w:szCs w:val="20"/>
        </w:rPr>
        <w:t>reverse leverage</w:t>
      </w:r>
      <w:r w:rsidR="004045AD">
        <w:rPr>
          <w:rFonts w:asciiTheme="minorHAnsi" w:hAnsiTheme="minorHAnsi" w:cstheme="minorHAnsi"/>
          <w:szCs w:val="20"/>
        </w:rPr>
        <w:t xml:space="preserve"> – </w:t>
      </w:r>
      <w:r w:rsidRPr="00216A71">
        <w:rPr>
          <w:rFonts w:asciiTheme="minorHAnsi" w:hAnsiTheme="minorHAnsi" w:cstheme="minorHAnsi"/>
          <w:szCs w:val="20"/>
        </w:rPr>
        <w:t>public finance for private business</w:t>
      </w:r>
    </w:p>
    <w:p w:rsidR="000C629A" w:rsidRDefault="0080036E" w:rsidP="00EC45B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w:t>
      </w:r>
      <w:r w:rsidR="009372DB" w:rsidRPr="00216A71">
        <w:rPr>
          <w:rFonts w:cstheme="minorHAnsi"/>
          <w:szCs w:val="20"/>
        </w:rPr>
        <w:t>Based on 30</w:t>
      </w:r>
      <w:r w:rsidR="00A42FDE">
        <w:rPr>
          <w:rFonts w:cstheme="minorHAnsi"/>
          <w:szCs w:val="20"/>
        </w:rPr>
        <w:t xml:space="preserve"> per cent</w:t>
      </w:r>
      <w:r w:rsidR="009372DB" w:rsidRPr="00216A71">
        <w:rPr>
          <w:rFonts w:cstheme="minorHAnsi"/>
          <w:szCs w:val="20"/>
        </w:rPr>
        <w:t xml:space="preserve"> equity/70</w:t>
      </w:r>
      <w:r w:rsidR="00A42FDE">
        <w:rPr>
          <w:rFonts w:cstheme="minorHAnsi"/>
          <w:szCs w:val="20"/>
        </w:rPr>
        <w:t xml:space="preserve"> per cent</w:t>
      </w:r>
      <w:r w:rsidR="009372DB" w:rsidRPr="00216A71">
        <w:rPr>
          <w:rFonts w:cstheme="minorHAnsi"/>
          <w:szCs w:val="20"/>
        </w:rPr>
        <w:t xml:space="preserve"> debt financing split, </w:t>
      </w:r>
      <w:r w:rsidRPr="00216A71">
        <w:rPr>
          <w:rFonts w:cstheme="minorHAnsi"/>
          <w:szCs w:val="20"/>
        </w:rPr>
        <w:t>with</w:t>
      </w:r>
      <w:r w:rsidR="009372DB" w:rsidRPr="00216A71">
        <w:rPr>
          <w:rFonts w:cstheme="minorHAnsi"/>
          <w:szCs w:val="20"/>
        </w:rPr>
        <w:t xml:space="preserve"> </w:t>
      </w:r>
      <w:r w:rsidR="005C7237" w:rsidRPr="00216A71">
        <w:rPr>
          <w:rFonts w:cstheme="minorHAnsi"/>
          <w:szCs w:val="20"/>
        </w:rPr>
        <w:t xml:space="preserve">equity and </w:t>
      </w:r>
      <w:r w:rsidR="009372DB" w:rsidRPr="00216A71">
        <w:rPr>
          <w:rFonts w:cstheme="minorHAnsi"/>
          <w:szCs w:val="20"/>
        </w:rPr>
        <w:t>debt split equally between public and private sources</w:t>
      </w:r>
      <w:r w:rsidRPr="00216A71">
        <w:rPr>
          <w:rFonts w:cstheme="minorHAnsi"/>
          <w:szCs w:val="20"/>
        </w:rPr>
        <w:t>)</w:t>
      </w:r>
    </w:p>
    <w:p w:rsidR="0080036E" w:rsidRPr="00216A71" w:rsidRDefault="0080036E" w:rsidP="0080036E">
      <w:pPr>
        <w:pBdr>
          <w:top w:val="single" w:sz="4" w:space="1" w:color="auto"/>
          <w:left w:val="single" w:sz="4" w:space="4" w:color="auto"/>
          <w:bottom w:val="single" w:sz="4" w:space="1" w:color="auto"/>
          <w:right w:val="single" w:sz="4" w:space="4" w:color="auto"/>
        </w:pBdr>
        <w:jc w:val="center"/>
        <w:rPr>
          <w:rFonts w:cstheme="minorHAnsi"/>
          <w:szCs w:val="20"/>
        </w:rPr>
      </w:pPr>
      <w:r w:rsidRPr="00216A71">
        <w:rPr>
          <w:rFonts w:cstheme="minorHAnsi"/>
          <w:szCs w:val="20"/>
        </w:rPr>
        <w:t>Blue = private investment, red = public investment or public-guaranteed debt</w:t>
      </w:r>
    </w:p>
    <w:p w:rsidR="000C629A" w:rsidRDefault="00DF029D" w:rsidP="0080036E">
      <w:pPr>
        <w:pBdr>
          <w:top w:val="single" w:sz="4" w:space="1" w:color="auto"/>
          <w:left w:val="single" w:sz="4" w:space="4" w:color="auto"/>
          <w:bottom w:val="single" w:sz="4" w:space="1" w:color="auto"/>
          <w:right w:val="single" w:sz="4" w:space="4" w:color="auto"/>
        </w:pBdr>
        <w:jc w:val="center"/>
        <w:rPr>
          <w:rFonts w:cstheme="minorHAnsi"/>
          <w:szCs w:val="20"/>
        </w:rPr>
      </w:pPr>
      <w:r w:rsidRPr="00216A71">
        <w:rPr>
          <w:rFonts w:cstheme="minorHAnsi"/>
          <w:noProof/>
          <w:szCs w:val="20"/>
          <w:lang w:eastAsia="en-GB"/>
        </w:rPr>
        <w:drawing>
          <wp:inline distT="0" distB="0" distL="0" distR="0" wp14:anchorId="38A0DFA3" wp14:editId="0EB03142">
            <wp:extent cx="3619180" cy="1921008"/>
            <wp:effectExtent l="0" t="0" r="19685" b="222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5442D" w:rsidRPr="00216A71" w:rsidRDefault="00030D6E" w:rsidP="0085442D">
      <w:pPr>
        <w:pStyle w:val="Heading2"/>
        <w:rPr>
          <w:rFonts w:asciiTheme="minorHAnsi" w:hAnsiTheme="minorHAnsi" w:cstheme="minorHAnsi"/>
          <w:szCs w:val="20"/>
        </w:rPr>
      </w:pPr>
      <w:bookmarkStart w:id="20" w:name="_Toc392857530"/>
      <w:r w:rsidRPr="00216A71">
        <w:rPr>
          <w:rFonts w:asciiTheme="minorHAnsi" w:hAnsiTheme="minorHAnsi" w:cstheme="minorHAnsi"/>
          <w:szCs w:val="20"/>
        </w:rPr>
        <w:t>Impact of g</w:t>
      </w:r>
      <w:r w:rsidR="0085442D" w:rsidRPr="00216A71">
        <w:rPr>
          <w:rFonts w:asciiTheme="minorHAnsi" w:hAnsiTheme="minorHAnsi" w:cstheme="minorHAnsi"/>
          <w:szCs w:val="20"/>
        </w:rPr>
        <w:t xml:space="preserve">lobal </w:t>
      </w:r>
      <w:r w:rsidR="00896460" w:rsidRPr="00216A71">
        <w:rPr>
          <w:rFonts w:asciiTheme="minorHAnsi" w:hAnsiTheme="minorHAnsi" w:cstheme="minorHAnsi"/>
          <w:szCs w:val="20"/>
        </w:rPr>
        <w:t xml:space="preserve">PPP </w:t>
      </w:r>
      <w:r w:rsidR="0085442D" w:rsidRPr="00216A71">
        <w:rPr>
          <w:rFonts w:asciiTheme="minorHAnsi" w:hAnsiTheme="minorHAnsi" w:cstheme="minorHAnsi"/>
          <w:szCs w:val="20"/>
        </w:rPr>
        <w:t>networks in sectors and regions</w:t>
      </w:r>
      <w:bookmarkEnd w:id="20"/>
    </w:p>
    <w:p w:rsidR="00943D63" w:rsidRPr="00216A71" w:rsidRDefault="00030D6E" w:rsidP="00030D6E">
      <w:pPr>
        <w:rPr>
          <w:rFonts w:cstheme="minorHAnsi"/>
          <w:szCs w:val="20"/>
        </w:rPr>
      </w:pPr>
      <w:r w:rsidRPr="00216A71">
        <w:rPr>
          <w:rFonts w:cstheme="minorHAnsi"/>
          <w:szCs w:val="20"/>
        </w:rPr>
        <w:t xml:space="preserve">This coordinated promotion of PPPs operates </w:t>
      </w:r>
      <w:r w:rsidR="00192C03" w:rsidRPr="00216A71">
        <w:rPr>
          <w:rFonts w:cstheme="minorHAnsi"/>
          <w:szCs w:val="20"/>
        </w:rPr>
        <w:t xml:space="preserve">not only </w:t>
      </w:r>
      <w:r w:rsidRPr="00216A71">
        <w:rPr>
          <w:rFonts w:cstheme="minorHAnsi"/>
          <w:szCs w:val="20"/>
        </w:rPr>
        <w:t xml:space="preserve">at </w:t>
      </w:r>
      <w:r w:rsidR="00192C03" w:rsidRPr="00216A71">
        <w:rPr>
          <w:rFonts w:cstheme="minorHAnsi"/>
          <w:szCs w:val="20"/>
        </w:rPr>
        <w:t>the</w:t>
      </w:r>
      <w:r w:rsidRPr="00216A71">
        <w:rPr>
          <w:rFonts w:cstheme="minorHAnsi"/>
          <w:szCs w:val="20"/>
        </w:rPr>
        <w:t xml:space="preserve"> global level, </w:t>
      </w:r>
      <w:r w:rsidR="00192C03" w:rsidRPr="00216A71">
        <w:rPr>
          <w:rFonts w:cstheme="minorHAnsi"/>
          <w:szCs w:val="20"/>
        </w:rPr>
        <w:t>but</w:t>
      </w:r>
      <w:r w:rsidRPr="00216A71">
        <w:rPr>
          <w:rFonts w:cstheme="minorHAnsi"/>
          <w:szCs w:val="20"/>
        </w:rPr>
        <w:t xml:space="preserve"> also in specific sectors and regions</w:t>
      </w:r>
      <w:r w:rsidR="005940E8" w:rsidRPr="00216A71">
        <w:rPr>
          <w:rFonts w:cstheme="minorHAnsi"/>
          <w:szCs w:val="20"/>
        </w:rPr>
        <w:t>.</w:t>
      </w:r>
      <w:r w:rsidR="00192C03" w:rsidRPr="00216A71">
        <w:rPr>
          <w:rFonts w:cstheme="minorHAnsi"/>
          <w:szCs w:val="20"/>
        </w:rPr>
        <w:t xml:space="preserve"> Public money from donor agencies and IFIs is used to create mechanisms which direct sector policies towards the use of PPPs, and persuade governments to adopt policies more friendly to PPPs in general. The result is that policy-making becomes saturated with a relentless storm driving in a single direction, while democratic decision-making is drowned out.</w:t>
      </w:r>
      <w:r w:rsidR="004045AD">
        <w:rPr>
          <w:rFonts w:cstheme="minorHAnsi"/>
          <w:szCs w:val="20"/>
        </w:rPr>
        <w:t xml:space="preserve"> </w:t>
      </w:r>
    </w:p>
    <w:p w:rsidR="005940E8" w:rsidRPr="00216A71" w:rsidRDefault="00943D63" w:rsidP="00030D6E">
      <w:pPr>
        <w:rPr>
          <w:rFonts w:cstheme="minorHAnsi"/>
          <w:szCs w:val="20"/>
        </w:rPr>
      </w:pPr>
      <w:r w:rsidRPr="00216A71">
        <w:rPr>
          <w:rFonts w:cstheme="minorHAnsi"/>
          <w:szCs w:val="20"/>
        </w:rPr>
        <w:t xml:space="preserve"> </w:t>
      </w:r>
    </w:p>
    <w:p w:rsidR="008D1B6E" w:rsidRPr="00216A71" w:rsidRDefault="008D1B6E" w:rsidP="008D1B6E">
      <w:pPr>
        <w:pStyle w:val="Heading3"/>
        <w:rPr>
          <w:rFonts w:asciiTheme="minorHAnsi" w:hAnsiTheme="minorHAnsi" w:cstheme="minorHAnsi"/>
          <w:szCs w:val="20"/>
        </w:rPr>
      </w:pPr>
      <w:r w:rsidRPr="00216A71">
        <w:rPr>
          <w:rFonts w:asciiTheme="minorHAnsi" w:hAnsiTheme="minorHAnsi" w:cstheme="minorHAnsi"/>
          <w:szCs w:val="20"/>
        </w:rPr>
        <w:lastRenderedPageBreak/>
        <w:t xml:space="preserve">PPPs </w:t>
      </w:r>
      <w:r w:rsidR="00456977" w:rsidRPr="00216A71">
        <w:rPr>
          <w:rFonts w:asciiTheme="minorHAnsi" w:hAnsiTheme="minorHAnsi" w:cstheme="minorHAnsi"/>
          <w:szCs w:val="20"/>
        </w:rPr>
        <w:t>in</w:t>
      </w:r>
      <w:r w:rsidRPr="00216A71">
        <w:rPr>
          <w:rFonts w:asciiTheme="minorHAnsi" w:hAnsiTheme="minorHAnsi" w:cstheme="minorHAnsi"/>
          <w:szCs w:val="20"/>
        </w:rPr>
        <w:t xml:space="preserve"> healthcare </w:t>
      </w:r>
      <w:r w:rsidR="00F70096" w:rsidRPr="00216A71">
        <w:rPr>
          <w:rFonts w:asciiTheme="minorHAnsi" w:hAnsiTheme="minorHAnsi" w:cstheme="minorHAnsi"/>
          <w:szCs w:val="20"/>
        </w:rPr>
        <w:t>–</w:t>
      </w:r>
      <w:r w:rsidRPr="00216A71">
        <w:rPr>
          <w:rFonts w:asciiTheme="minorHAnsi" w:hAnsiTheme="minorHAnsi" w:cstheme="minorHAnsi"/>
          <w:szCs w:val="20"/>
        </w:rPr>
        <w:t xml:space="preserve"> HANSHEP</w:t>
      </w:r>
      <w:r w:rsidR="00F70096" w:rsidRPr="00216A71">
        <w:rPr>
          <w:rFonts w:asciiTheme="minorHAnsi" w:hAnsiTheme="minorHAnsi" w:cstheme="minorHAnsi"/>
          <w:szCs w:val="20"/>
        </w:rPr>
        <w:t xml:space="preserve"> and IFC initiatives</w:t>
      </w:r>
    </w:p>
    <w:p w:rsidR="000C629A" w:rsidRDefault="008D1B6E" w:rsidP="008D1B6E">
      <w:pPr>
        <w:rPr>
          <w:rFonts w:cstheme="minorHAnsi"/>
          <w:szCs w:val="20"/>
        </w:rPr>
      </w:pPr>
      <w:r w:rsidRPr="00216A71">
        <w:rPr>
          <w:rFonts w:cstheme="minorHAnsi"/>
          <w:szCs w:val="20"/>
        </w:rPr>
        <w:t>HANSHEP</w:t>
      </w:r>
      <w:r w:rsidR="004045AD">
        <w:rPr>
          <w:rFonts w:cstheme="minorHAnsi"/>
          <w:szCs w:val="20"/>
        </w:rPr>
        <w:t xml:space="preserve"> </w:t>
      </w:r>
      <w:r w:rsidRPr="00216A71">
        <w:rPr>
          <w:rFonts w:cstheme="minorHAnsi"/>
          <w:szCs w:val="20"/>
        </w:rPr>
        <w:t>(Harnessing non-state actors for better health for the poor) was created in 2010 by a group of Aid agencies</w:t>
      </w:r>
      <w:r w:rsidR="004045AD">
        <w:rPr>
          <w:rFonts w:cstheme="minorHAnsi"/>
          <w:szCs w:val="20"/>
        </w:rPr>
        <w:t xml:space="preserve"> – </w:t>
      </w:r>
      <w:r w:rsidRPr="00216A71">
        <w:rPr>
          <w:rFonts w:cstheme="minorHAnsi"/>
          <w:szCs w:val="20"/>
        </w:rPr>
        <w:t xml:space="preserve">led by the UK’s DFID, USAID, </w:t>
      </w:r>
      <w:r w:rsidR="006A390A">
        <w:rPr>
          <w:rFonts w:cstheme="minorHAnsi"/>
          <w:szCs w:val="20"/>
        </w:rPr>
        <w:t xml:space="preserve">and </w:t>
      </w:r>
      <w:r w:rsidRPr="00216A71">
        <w:rPr>
          <w:rFonts w:cstheme="minorHAnsi"/>
          <w:szCs w:val="20"/>
        </w:rPr>
        <w:t>Germany’s KFW – together with the World Bank and IFC, and the Gates and Rockefeller Foundations.</w:t>
      </w:r>
      <w:r w:rsidRPr="00216A71">
        <w:rPr>
          <w:rStyle w:val="EndnoteReference"/>
          <w:rFonts w:cstheme="minorHAnsi"/>
          <w:szCs w:val="20"/>
        </w:rPr>
        <w:endnoteReference w:id="83"/>
      </w:r>
      <w:r w:rsidR="004045AD">
        <w:rPr>
          <w:rFonts w:cstheme="minorHAnsi"/>
          <w:szCs w:val="20"/>
        </w:rPr>
        <w:t xml:space="preserve"> </w:t>
      </w:r>
      <w:r w:rsidR="005940E8" w:rsidRPr="00216A71">
        <w:rPr>
          <w:rFonts w:cstheme="minorHAnsi"/>
          <w:szCs w:val="20"/>
        </w:rPr>
        <w:t>The programme has a number of elements:</w:t>
      </w:r>
    </w:p>
    <w:p w:rsidR="005940E8" w:rsidRPr="00216A71" w:rsidRDefault="008D1B6E" w:rsidP="00781FBC">
      <w:pPr>
        <w:pStyle w:val="ListParagraph"/>
        <w:numPr>
          <w:ilvl w:val="0"/>
          <w:numId w:val="18"/>
        </w:numPr>
        <w:rPr>
          <w:rFonts w:cstheme="minorHAnsi"/>
          <w:bCs/>
          <w:szCs w:val="20"/>
        </w:rPr>
      </w:pPr>
      <w:r w:rsidRPr="00216A71">
        <w:rPr>
          <w:rFonts w:cstheme="minorHAnsi"/>
          <w:szCs w:val="20"/>
        </w:rPr>
        <w:t xml:space="preserve">It is helping the IFC create a </w:t>
      </w:r>
      <w:hyperlink r:id="rId113" w:history="1">
        <w:r w:rsidRPr="00216A71">
          <w:rPr>
            <w:rStyle w:val="Hyperlink"/>
            <w:rFonts w:cstheme="minorHAnsi"/>
            <w:szCs w:val="20"/>
          </w:rPr>
          <w:t xml:space="preserve">special </w:t>
        </w:r>
        <w:r w:rsidR="00385FF5" w:rsidRPr="00216A71">
          <w:rPr>
            <w:rStyle w:val="Hyperlink"/>
            <w:rFonts w:cstheme="minorHAnsi"/>
            <w:szCs w:val="20"/>
          </w:rPr>
          <w:t xml:space="preserve">PPP </w:t>
        </w:r>
        <w:r w:rsidRPr="00216A71">
          <w:rPr>
            <w:rStyle w:val="Hyperlink"/>
            <w:rFonts w:cstheme="minorHAnsi"/>
            <w:szCs w:val="20"/>
          </w:rPr>
          <w:t xml:space="preserve">advisory </w:t>
        </w:r>
        <w:r w:rsidR="00385FF5" w:rsidRPr="00216A71">
          <w:rPr>
            <w:rStyle w:val="Hyperlink"/>
            <w:rFonts w:cstheme="minorHAnsi"/>
            <w:szCs w:val="20"/>
          </w:rPr>
          <w:t>facility</w:t>
        </w:r>
      </w:hyperlink>
      <w:r w:rsidRPr="00216A71">
        <w:rPr>
          <w:rFonts w:cstheme="minorHAnsi"/>
          <w:szCs w:val="20"/>
        </w:rPr>
        <w:t xml:space="preserve"> ‘</w:t>
      </w:r>
      <w:r w:rsidRPr="00216A71">
        <w:rPr>
          <w:rFonts w:cstheme="minorHAnsi"/>
          <w:bCs/>
          <w:szCs w:val="20"/>
        </w:rPr>
        <w:t>to support governments in developing and implementi</w:t>
      </w:r>
      <w:r w:rsidR="006B65C5" w:rsidRPr="00216A71">
        <w:rPr>
          <w:rFonts w:cstheme="minorHAnsi"/>
          <w:bCs/>
          <w:szCs w:val="20"/>
        </w:rPr>
        <w:t>ng public-private partnerships</w:t>
      </w:r>
      <w:r w:rsidR="006A390A">
        <w:rPr>
          <w:rFonts w:cstheme="minorHAnsi"/>
          <w:bCs/>
          <w:szCs w:val="20"/>
        </w:rPr>
        <w:t>.</w:t>
      </w:r>
      <w:r w:rsidR="006B65C5" w:rsidRPr="00216A71">
        <w:rPr>
          <w:rFonts w:cstheme="minorHAnsi"/>
          <w:bCs/>
          <w:szCs w:val="20"/>
        </w:rPr>
        <w:t>’</w:t>
      </w:r>
      <w:r w:rsidRPr="00216A71">
        <w:rPr>
          <w:rFonts w:cstheme="minorHAnsi"/>
          <w:bCs/>
          <w:szCs w:val="20"/>
        </w:rPr>
        <w:t xml:space="preserve"> </w:t>
      </w:r>
    </w:p>
    <w:p w:rsidR="005940E8" w:rsidRPr="00216A71" w:rsidRDefault="005940E8" w:rsidP="00781FBC">
      <w:pPr>
        <w:pStyle w:val="ListParagraph"/>
        <w:numPr>
          <w:ilvl w:val="0"/>
          <w:numId w:val="18"/>
        </w:numPr>
        <w:rPr>
          <w:rFonts w:cstheme="minorHAnsi"/>
          <w:bCs/>
          <w:szCs w:val="20"/>
        </w:rPr>
      </w:pPr>
      <w:r w:rsidRPr="00216A71">
        <w:rPr>
          <w:rFonts w:cstheme="minorHAnsi"/>
          <w:bCs/>
          <w:szCs w:val="20"/>
        </w:rPr>
        <w:t>Providing $60 million to finance</w:t>
      </w:r>
      <w:r w:rsidR="008D1B6E" w:rsidRPr="00216A71">
        <w:rPr>
          <w:rFonts w:cstheme="minorHAnsi"/>
          <w:bCs/>
          <w:szCs w:val="20"/>
        </w:rPr>
        <w:t xml:space="preserve"> </w:t>
      </w:r>
      <w:r w:rsidR="00517D64" w:rsidRPr="00216A71">
        <w:rPr>
          <w:rFonts w:cstheme="minorHAnsi"/>
          <w:bCs/>
          <w:szCs w:val="20"/>
        </w:rPr>
        <w:t xml:space="preserve">the </w:t>
      </w:r>
      <w:hyperlink r:id="rId114" w:history="1">
        <w:r w:rsidR="00517D64" w:rsidRPr="00216A71">
          <w:rPr>
            <w:rStyle w:val="Hyperlink"/>
            <w:rFonts w:cstheme="minorHAnsi"/>
            <w:bCs/>
            <w:szCs w:val="20"/>
          </w:rPr>
          <w:t>African Health Markets for Equity (AHME)</w:t>
        </w:r>
      </w:hyperlink>
      <w:r w:rsidR="00517D64" w:rsidRPr="00216A71">
        <w:rPr>
          <w:rFonts w:cstheme="minorHAnsi"/>
          <w:bCs/>
          <w:szCs w:val="20"/>
        </w:rPr>
        <w:t xml:space="preserve"> </w:t>
      </w:r>
      <w:r w:rsidR="008D1B6E" w:rsidRPr="00216A71">
        <w:rPr>
          <w:rFonts w:cstheme="minorHAnsi"/>
          <w:bCs/>
          <w:szCs w:val="20"/>
        </w:rPr>
        <w:t>to ‘increase the scale and scope of franchised health care’ in Africa</w:t>
      </w:r>
      <w:r w:rsidRPr="00216A71">
        <w:rPr>
          <w:rFonts w:cstheme="minorHAnsi"/>
          <w:bCs/>
          <w:szCs w:val="20"/>
        </w:rPr>
        <w:t xml:space="preserve"> over a </w:t>
      </w:r>
      <w:r w:rsidR="006A390A">
        <w:rPr>
          <w:rFonts w:cstheme="minorHAnsi"/>
          <w:bCs/>
          <w:szCs w:val="20"/>
        </w:rPr>
        <w:t>five</w:t>
      </w:r>
      <w:r w:rsidRPr="00216A71">
        <w:rPr>
          <w:rFonts w:cstheme="minorHAnsi"/>
          <w:bCs/>
          <w:szCs w:val="20"/>
        </w:rPr>
        <w:t xml:space="preserve"> year period from 2012-2017, in ‘family planning and sexual and reproductive health, malaria, acute respiratory infections, </w:t>
      </w:r>
      <w:r w:rsidR="00BF7FC8" w:rsidRPr="00216A71">
        <w:rPr>
          <w:rFonts w:cstheme="minorHAnsi"/>
          <w:bCs/>
          <w:szCs w:val="20"/>
        </w:rPr>
        <w:t>diarrhoea</w:t>
      </w:r>
      <w:r w:rsidRPr="00216A71">
        <w:rPr>
          <w:rFonts w:cstheme="minorHAnsi"/>
          <w:bCs/>
          <w:szCs w:val="20"/>
        </w:rPr>
        <w:t>, nutrition, maternal care, HIV and TB</w:t>
      </w:r>
      <w:r w:rsidR="006A390A">
        <w:rPr>
          <w:rFonts w:cstheme="minorHAnsi"/>
          <w:bCs/>
          <w:szCs w:val="20"/>
        </w:rPr>
        <w:t>.</w:t>
      </w:r>
      <w:r w:rsidRPr="00216A71">
        <w:rPr>
          <w:rFonts w:cstheme="minorHAnsi"/>
          <w:bCs/>
          <w:szCs w:val="20"/>
        </w:rPr>
        <w:t xml:space="preserve">’ </w:t>
      </w:r>
      <w:r w:rsidR="006A390A">
        <w:rPr>
          <w:rFonts w:cstheme="minorHAnsi"/>
          <w:bCs/>
          <w:szCs w:val="20"/>
        </w:rPr>
        <w:t xml:space="preserve">It </w:t>
      </w:r>
      <w:r w:rsidRPr="00216A71">
        <w:rPr>
          <w:rFonts w:cstheme="minorHAnsi"/>
          <w:bCs/>
          <w:szCs w:val="20"/>
        </w:rPr>
        <w:t>involv</w:t>
      </w:r>
      <w:r w:rsidR="006A390A">
        <w:rPr>
          <w:rFonts w:cstheme="minorHAnsi"/>
          <w:bCs/>
          <w:szCs w:val="20"/>
        </w:rPr>
        <w:t>es</w:t>
      </w:r>
      <w:r w:rsidRPr="00216A71">
        <w:rPr>
          <w:rFonts w:cstheme="minorHAnsi"/>
          <w:bCs/>
          <w:szCs w:val="20"/>
        </w:rPr>
        <w:t xml:space="preserve"> international NGOs including Marie Stopes International, Population Services International, and the Society for Family Health. It aims to cover 2,734 provider outlets</w:t>
      </w:r>
      <w:r w:rsidR="006A390A">
        <w:rPr>
          <w:rFonts w:cstheme="minorHAnsi"/>
          <w:bCs/>
          <w:szCs w:val="20"/>
        </w:rPr>
        <w:t>.</w:t>
      </w:r>
    </w:p>
    <w:p w:rsidR="005940E8" w:rsidRPr="00216A71" w:rsidRDefault="006B65C5" w:rsidP="00781FBC">
      <w:pPr>
        <w:pStyle w:val="ListParagraph"/>
        <w:numPr>
          <w:ilvl w:val="0"/>
          <w:numId w:val="18"/>
        </w:numPr>
        <w:rPr>
          <w:rFonts w:cstheme="minorHAnsi"/>
          <w:bCs/>
          <w:szCs w:val="20"/>
        </w:rPr>
      </w:pPr>
      <w:r w:rsidRPr="00216A71">
        <w:rPr>
          <w:rFonts w:cstheme="minorHAnsi"/>
          <w:bCs/>
          <w:szCs w:val="20"/>
        </w:rPr>
        <w:t>T</w:t>
      </w:r>
      <w:r w:rsidR="008D1B6E" w:rsidRPr="00216A71">
        <w:rPr>
          <w:rFonts w:cstheme="minorHAnsi"/>
          <w:bCs/>
          <w:szCs w:val="20"/>
        </w:rPr>
        <w:t>raining 150 public servants</w:t>
      </w:r>
      <w:r w:rsidR="004045AD">
        <w:rPr>
          <w:rFonts w:cstheme="minorHAnsi"/>
          <w:bCs/>
          <w:szCs w:val="20"/>
        </w:rPr>
        <w:t xml:space="preserve"> </w:t>
      </w:r>
      <w:r w:rsidR="008D1B6E" w:rsidRPr="00216A71">
        <w:rPr>
          <w:rFonts w:cstheme="minorHAnsi"/>
          <w:bCs/>
          <w:szCs w:val="20"/>
        </w:rPr>
        <w:t xml:space="preserve">from developing countries </w:t>
      </w:r>
      <w:r w:rsidR="0085442D" w:rsidRPr="00216A71">
        <w:rPr>
          <w:rFonts w:cstheme="minorHAnsi"/>
          <w:bCs/>
          <w:szCs w:val="20"/>
        </w:rPr>
        <w:t>to use</w:t>
      </w:r>
      <w:r w:rsidRPr="00216A71">
        <w:rPr>
          <w:rFonts w:cstheme="minorHAnsi"/>
          <w:bCs/>
          <w:szCs w:val="20"/>
        </w:rPr>
        <w:t xml:space="preserve"> PPPs in healthcare</w:t>
      </w:r>
      <w:r w:rsidR="006A390A">
        <w:rPr>
          <w:rFonts w:cstheme="minorHAnsi"/>
          <w:bCs/>
          <w:szCs w:val="20"/>
        </w:rPr>
        <w:t>.</w:t>
      </w:r>
    </w:p>
    <w:p w:rsidR="008D1B6E" w:rsidRPr="00216A71" w:rsidRDefault="006B65C5" w:rsidP="00781FBC">
      <w:pPr>
        <w:pStyle w:val="ListParagraph"/>
        <w:numPr>
          <w:ilvl w:val="0"/>
          <w:numId w:val="18"/>
        </w:numPr>
        <w:rPr>
          <w:rFonts w:cstheme="minorHAnsi"/>
          <w:bCs/>
          <w:szCs w:val="20"/>
        </w:rPr>
      </w:pPr>
      <w:r w:rsidRPr="00216A71">
        <w:rPr>
          <w:rFonts w:cstheme="minorHAnsi"/>
          <w:bCs/>
          <w:szCs w:val="20"/>
        </w:rPr>
        <w:t>A</w:t>
      </w:r>
      <w:r w:rsidR="008D1B6E" w:rsidRPr="00216A71">
        <w:rPr>
          <w:rFonts w:cstheme="minorHAnsi"/>
          <w:bCs/>
          <w:szCs w:val="20"/>
        </w:rPr>
        <w:t xml:space="preserve"> programme to </w:t>
      </w:r>
      <w:r w:rsidR="0085442D" w:rsidRPr="00216A71">
        <w:rPr>
          <w:rFonts w:cstheme="minorHAnsi"/>
          <w:bCs/>
          <w:szCs w:val="20"/>
        </w:rPr>
        <w:t>help</w:t>
      </w:r>
      <w:r w:rsidR="008D1B6E" w:rsidRPr="00216A71">
        <w:rPr>
          <w:rFonts w:cstheme="minorHAnsi"/>
          <w:bCs/>
          <w:szCs w:val="20"/>
        </w:rPr>
        <w:t xml:space="preserve"> </w:t>
      </w:r>
      <w:hyperlink r:id="rId115" w:history="1">
        <w:r w:rsidR="008D1B6E" w:rsidRPr="00216A71">
          <w:rPr>
            <w:rStyle w:val="Hyperlink"/>
            <w:rFonts w:cstheme="minorHAnsi"/>
            <w:bCs/>
            <w:szCs w:val="20"/>
          </w:rPr>
          <w:t xml:space="preserve">mining companies </w:t>
        </w:r>
        <w:r w:rsidR="0085442D" w:rsidRPr="00216A71">
          <w:rPr>
            <w:rStyle w:val="Hyperlink"/>
            <w:rFonts w:cstheme="minorHAnsi"/>
            <w:bCs/>
            <w:szCs w:val="20"/>
          </w:rPr>
          <w:t>run</w:t>
        </w:r>
        <w:r w:rsidR="008D1B6E" w:rsidRPr="00216A71">
          <w:rPr>
            <w:rStyle w:val="Hyperlink"/>
            <w:rFonts w:cstheme="minorHAnsi"/>
            <w:bCs/>
            <w:szCs w:val="20"/>
          </w:rPr>
          <w:t xml:space="preserve"> healthcare programmes</w:t>
        </w:r>
      </w:hyperlink>
      <w:r w:rsidRPr="00216A71">
        <w:rPr>
          <w:rFonts w:cstheme="minorHAnsi"/>
          <w:bCs/>
          <w:szCs w:val="20"/>
        </w:rPr>
        <w:t xml:space="preserve"> in developing countries</w:t>
      </w:r>
      <w:r w:rsidR="006A390A">
        <w:rPr>
          <w:rFonts w:cstheme="minorHAnsi"/>
          <w:bCs/>
          <w:szCs w:val="20"/>
        </w:rPr>
        <w:t>.</w:t>
      </w:r>
    </w:p>
    <w:p w:rsidR="000C629A" w:rsidRDefault="008D1B6E" w:rsidP="00781FBC">
      <w:pPr>
        <w:pStyle w:val="ListParagraph"/>
        <w:numPr>
          <w:ilvl w:val="0"/>
          <w:numId w:val="18"/>
        </w:numPr>
        <w:rPr>
          <w:rFonts w:cstheme="minorHAnsi"/>
          <w:bCs/>
          <w:szCs w:val="20"/>
        </w:rPr>
      </w:pPr>
      <w:r w:rsidRPr="00216A71">
        <w:rPr>
          <w:rFonts w:cstheme="minorHAnsi"/>
          <w:bCs/>
          <w:szCs w:val="20"/>
        </w:rPr>
        <w:t xml:space="preserve">It has created a private equity fund, the </w:t>
      </w:r>
      <w:hyperlink r:id="rId116" w:history="1">
        <w:r w:rsidRPr="00216A71">
          <w:rPr>
            <w:rStyle w:val="Hyperlink"/>
            <w:rFonts w:cstheme="minorHAnsi"/>
            <w:bCs/>
            <w:szCs w:val="20"/>
          </w:rPr>
          <w:t>Global Health Investment Fund (GHIF)</w:t>
        </w:r>
      </w:hyperlink>
      <w:r w:rsidRPr="00216A71">
        <w:rPr>
          <w:rFonts w:cstheme="minorHAnsi"/>
          <w:bCs/>
          <w:szCs w:val="20"/>
        </w:rPr>
        <w:t>, using public aid money from the IFC, Canada, Germany, and Sweden. The fund is managed by Lion’s Head Group, a London-based finance company created by former employees of Goldman Sachs.</w:t>
      </w:r>
      <w:r w:rsidR="004045AD">
        <w:rPr>
          <w:rFonts w:cstheme="minorHAnsi"/>
          <w:bCs/>
          <w:szCs w:val="20"/>
        </w:rPr>
        <w:t xml:space="preserve"> </w:t>
      </w:r>
      <w:r w:rsidRPr="00216A71">
        <w:rPr>
          <w:rFonts w:cstheme="minorHAnsi"/>
          <w:bCs/>
          <w:szCs w:val="20"/>
        </w:rPr>
        <w:t xml:space="preserve">The ‘sponsors’ include drugs multinationals GlaxoSmithKline, Merck and Pfizer, </w:t>
      </w:r>
      <w:r w:rsidR="0085442D" w:rsidRPr="00216A71">
        <w:rPr>
          <w:rFonts w:cstheme="minorHAnsi"/>
          <w:bCs/>
          <w:szCs w:val="20"/>
        </w:rPr>
        <w:t>as well</w:t>
      </w:r>
      <w:r w:rsidRPr="00216A71">
        <w:rPr>
          <w:rFonts w:cstheme="minorHAnsi"/>
          <w:bCs/>
          <w:szCs w:val="20"/>
        </w:rPr>
        <w:t xml:space="preserve"> the </w:t>
      </w:r>
      <w:r w:rsidR="0085442D" w:rsidRPr="00216A71">
        <w:rPr>
          <w:rFonts w:cstheme="minorHAnsi"/>
          <w:bCs/>
          <w:szCs w:val="20"/>
        </w:rPr>
        <w:t xml:space="preserve">international banking group </w:t>
      </w:r>
      <w:r w:rsidRPr="00216A71">
        <w:rPr>
          <w:rFonts w:cstheme="minorHAnsi"/>
          <w:bCs/>
          <w:szCs w:val="20"/>
        </w:rPr>
        <w:t>JP Morgan Chase. The Gates Foundation and Sweden’s development agency are providing risk guarantees for private investors in the fund. It aims to finance companies ‘to accelerate the development of products to address global health challenges</w:t>
      </w:r>
      <w:r w:rsidR="006A390A">
        <w:rPr>
          <w:rFonts w:cstheme="minorHAnsi"/>
          <w:bCs/>
          <w:szCs w:val="20"/>
        </w:rPr>
        <w:t>.</w:t>
      </w:r>
      <w:r w:rsidRPr="00216A71">
        <w:rPr>
          <w:rFonts w:cstheme="minorHAnsi"/>
          <w:bCs/>
          <w:szCs w:val="20"/>
        </w:rPr>
        <w:t>’</w:t>
      </w:r>
      <w:r w:rsidRPr="00216A71">
        <w:rPr>
          <w:rStyle w:val="EndnoteReference"/>
          <w:rFonts w:cstheme="minorHAnsi"/>
          <w:bCs/>
          <w:szCs w:val="20"/>
        </w:rPr>
        <w:endnoteReference w:id="84"/>
      </w:r>
    </w:p>
    <w:p w:rsidR="000C629A" w:rsidRDefault="009372DB" w:rsidP="00F70096">
      <w:pPr>
        <w:rPr>
          <w:rFonts w:cstheme="minorHAnsi"/>
          <w:bCs/>
          <w:szCs w:val="20"/>
        </w:rPr>
      </w:pPr>
      <w:r w:rsidRPr="00216A71">
        <w:rPr>
          <w:rFonts w:cstheme="minorHAnsi"/>
          <w:bCs/>
          <w:szCs w:val="20"/>
        </w:rPr>
        <w:t>There is as yet no evidence of the impact of HANSEP, but it</w:t>
      </w:r>
      <w:r w:rsidR="00906C3C" w:rsidRPr="00216A71">
        <w:rPr>
          <w:rFonts w:cstheme="minorHAnsi"/>
          <w:bCs/>
          <w:szCs w:val="20"/>
        </w:rPr>
        <w:t xml:space="preserve"> follows the </w:t>
      </w:r>
      <w:r w:rsidR="001E4A41" w:rsidRPr="00216A71">
        <w:rPr>
          <w:rFonts w:cstheme="minorHAnsi"/>
          <w:bCs/>
          <w:szCs w:val="20"/>
        </w:rPr>
        <w:t xml:space="preserve">complete failure of the </w:t>
      </w:r>
      <w:r w:rsidR="00906C3C" w:rsidRPr="00216A71">
        <w:rPr>
          <w:rFonts w:cstheme="minorHAnsi"/>
          <w:bCs/>
          <w:szCs w:val="20"/>
        </w:rPr>
        <w:t>Health in Africa initiative</w:t>
      </w:r>
      <w:r w:rsidR="006A390A">
        <w:rPr>
          <w:rFonts w:cstheme="minorHAnsi"/>
          <w:bCs/>
          <w:szCs w:val="20"/>
        </w:rPr>
        <w:t>. This initiative was</w:t>
      </w:r>
      <w:r w:rsidR="001E4A41" w:rsidRPr="00216A71">
        <w:rPr>
          <w:rFonts w:cstheme="minorHAnsi"/>
          <w:bCs/>
          <w:szCs w:val="20"/>
        </w:rPr>
        <w:t xml:space="preserve"> </w:t>
      </w:r>
      <w:r w:rsidR="00906C3C" w:rsidRPr="00216A71">
        <w:rPr>
          <w:rFonts w:cstheme="minorHAnsi"/>
          <w:bCs/>
          <w:szCs w:val="20"/>
        </w:rPr>
        <w:t xml:space="preserve">launched by the World Bank and IFC in 2007 following </w:t>
      </w:r>
      <w:hyperlink r:id="rId117" w:history="1">
        <w:r w:rsidR="00906C3C" w:rsidRPr="00216A71">
          <w:rPr>
            <w:rStyle w:val="Hyperlink"/>
            <w:rFonts w:cstheme="minorHAnsi"/>
            <w:bCs/>
            <w:szCs w:val="20"/>
          </w:rPr>
          <w:t>a report by McKinsey</w:t>
        </w:r>
      </w:hyperlink>
      <w:r w:rsidR="00906C3C" w:rsidRPr="00216A71">
        <w:rPr>
          <w:rFonts w:cstheme="minorHAnsi"/>
          <w:bCs/>
          <w:szCs w:val="20"/>
        </w:rPr>
        <w:t xml:space="preserve"> which claimed that the private sector could provide over half of the $30 billion investment needed to develop healthcare in Africa over the next 10 years.</w:t>
      </w:r>
      <w:r w:rsidR="00906C3C" w:rsidRPr="00216A71">
        <w:rPr>
          <w:rStyle w:val="EndnoteReference"/>
          <w:rFonts w:cstheme="minorHAnsi"/>
          <w:bCs/>
          <w:szCs w:val="20"/>
        </w:rPr>
        <w:endnoteReference w:id="85"/>
      </w:r>
      <w:r w:rsidR="00906C3C" w:rsidRPr="00216A71">
        <w:rPr>
          <w:rFonts w:cstheme="minorHAnsi"/>
          <w:bCs/>
          <w:szCs w:val="20"/>
        </w:rPr>
        <w:t xml:space="preserve"> The IFC declared it would mobilise $1 billion in private </w:t>
      </w:r>
      <w:r w:rsidR="006525BD" w:rsidRPr="00216A71">
        <w:rPr>
          <w:rFonts w:cstheme="minorHAnsi"/>
          <w:bCs/>
          <w:szCs w:val="20"/>
        </w:rPr>
        <w:t xml:space="preserve">investment within the next </w:t>
      </w:r>
      <w:r w:rsidR="006A390A">
        <w:rPr>
          <w:rFonts w:cstheme="minorHAnsi"/>
          <w:bCs/>
          <w:szCs w:val="20"/>
        </w:rPr>
        <w:t>five</w:t>
      </w:r>
      <w:r w:rsidR="006525BD" w:rsidRPr="00216A71">
        <w:rPr>
          <w:rFonts w:cstheme="minorHAnsi"/>
          <w:bCs/>
          <w:szCs w:val="20"/>
        </w:rPr>
        <w:t xml:space="preserve"> years, </w:t>
      </w:r>
      <w:r w:rsidR="00F70096" w:rsidRPr="00216A71">
        <w:rPr>
          <w:rFonts w:cstheme="minorHAnsi"/>
          <w:bCs/>
          <w:szCs w:val="20"/>
        </w:rPr>
        <w:t>feed</w:t>
      </w:r>
      <w:r w:rsidR="006525BD" w:rsidRPr="00216A71">
        <w:rPr>
          <w:rFonts w:cstheme="minorHAnsi"/>
          <w:bCs/>
          <w:szCs w:val="20"/>
        </w:rPr>
        <w:t>ing private equity funds</w:t>
      </w:r>
      <w:r w:rsidR="004045AD">
        <w:rPr>
          <w:rFonts w:cstheme="minorHAnsi"/>
          <w:bCs/>
          <w:szCs w:val="20"/>
        </w:rPr>
        <w:t xml:space="preserve"> – </w:t>
      </w:r>
      <w:r w:rsidR="004042A2" w:rsidRPr="00216A71">
        <w:rPr>
          <w:rFonts w:cstheme="minorHAnsi"/>
          <w:bCs/>
          <w:szCs w:val="20"/>
        </w:rPr>
        <w:t>Aureos and IFHA</w:t>
      </w:r>
      <w:r w:rsidR="004045AD">
        <w:rPr>
          <w:rFonts w:cstheme="minorHAnsi"/>
          <w:bCs/>
          <w:szCs w:val="20"/>
        </w:rPr>
        <w:t xml:space="preserve"> – </w:t>
      </w:r>
      <w:r w:rsidR="006525BD" w:rsidRPr="00216A71">
        <w:rPr>
          <w:rFonts w:cstheme="minorHAnsi"/>
          <w:bCs/>
          <w:szCs w:val="20"/>
        </w:rPr>
        <w:t>with public and charitable f</w:t>
      </w:r>
      <w:r w:rsidR="00F70096" w:rsidRPr="00216A71">
        <w:rPr>
          <w:rFonts w:cstheme="minorHAnsi"/>
          <w:bCs/>
          <w:szCs w:val="20"/>
        </w:rPr>
        <w:t>ina</w:t>
      </w:r>
      <w:r w:rsidR="006525BD" w:rsidRPr="00216A71">
        <w:rPr>
          <w:rFonts w:cstheme="minorHAnsi"/>
          <w:bCs/>
          <w:szCs w:val="20"/>
        </w:rPr>
        <w:t>nce from the IFC itself, the AfDB, the Gates Foundation, and German development bank DEG.</w:t>
      </w:r>
      <w:r w:rsidR="004045AD">
        <w:rPr>
          <w:rFonts w:cstheme="minorHAnsi"/>
          <w:bCs/>
          <w:szCs w:val="20"/>
        </w:rPr>
        <w:t xml:space="preserve"> </w:t>
      </w:r>
    </w:p>
    <w:p w:rsidR="000C629A" w:rsidRDefault="009372DB" w:rsidP="00143DED">
      <w:pPr>
        <w:rPr>
          <w:rFonts w:cstheme="minorHAnsi"/>
          <w:bCs/>
          <w:szCs w:val="20"/>
        </w:rPr>
      </w:pPr>
      <w:r w:rsidRPr="00216A71">
        <w:rPr>
          <w:rFonts w:cstheme="minorHAnsi"/>
          <w:bCs/>
          <w:szCs w:val="20"/>
        </w:rPr>
        <w:t>But i</w:t>
      </w:r>
      <w:r w:rsidR="001E4A41" w:rsidRPr="00216A71">
        <w:rPr>
          <w:rFonts w:cstheme="minorHAnsi"/>
          <w:bCs/>
          <w:szCs w:val="20"/>
        </w:rPr>
        <w:t xml:space="preserve">n terms of new healthcare facilities, this initiative </w:t>
      </w:r>
      <w:r w:rsidR="00CD5564" w:rsidRPr="00216A71">
        <w:rPr>
          <w:rFonts w:cstheme="minorHAnsi"/>
          <w:bCs/>
          <w:szCs w:val="20"/>
        </w:rPr>
        <w:t>deliver</w:t>
      </w:r>
      <w:r w:rsidR="001E4A41" w:rsidRPr="00216A71">
        <w:rPr>
          <w:rFonts w:cstheme="minorHAnsi"/>
          <w:bCs/>
          <w:szCs w:val="20"/>
        </w:rPr>
        <w:t>ed almost nothing</w:t>
      </w:r>
      <w:r w:rsidR="00FD4340" w:rsidRPr="00216A71">
        <w:rPr>
          <w:rFonts w:cstheme="minorHAnsi"/>
          <w:bCs/>
          <w:szCs w:val="20"/>
        </w:rPr>
        <w:t xml:space="preserve">. </w:t>
      </w:r>
      <w:r w:rsidR="004042A2" w:rsidRPr="00216A71">
        <w:rPr>
          <w:rFonts w:cstheme="minorHAnsi"/>
          <w:bCs/>
          <w:szCs w:val="20"/>
        </w:rPr>
        <w:t>T</w:t>
      </w:r>
      <w:r w:rsidR="001E4A41" w:rsidRPr="00216A71">
        <w:rPr>
          <w:rFonts w:cstheme="minorHAnsi"/>
          <w:bCs/>
          <w:szCs w:val="20"/>
        </w:rPr>
        <w:t>he only investments by the funds were $93</w:t>
      </w:r>
      <w:r w:rsidR="006A390A">
        <w:rPr>
          <w:rFonts w:cstheme="minorHAnsi"/>
          <w:bCs/>
          <w:szCs w:val="20"/>
        </w:rPr>
        <w:t xml:space="preserve"> </w:t>
      </w:r>
      <w:r w:rsidR="001E4A41" w:rsidRPr="00216A71">
        <w:rPr>
          <w:rFonts w:cstheme="minorHAnsi"/>
          <w:bCs/>
          <w:szCs w:val="20"/>
        </w:rPr>
        <w:t>m</w:t>
      </w:r>
      <w:r w:rsidR="006A390A">
        <w:rPr>
          <w:rFonts w:cstheme="minorHAnsi"/>
          <w:bCs/>
          <w:szCs w:val="20"/>
        </w:rPr>
        <w:t>illion</w:t>
      </w:r>
      <w:r w:rsidR="001E4A41" w:rsidRPr="00216A71">
        <w:rPr>
          <w:rFonts w:cstheme="minorHAnsi"/>
          <w:bCs/>
          <w:szCs w:val="20"/>
        </w:rPr>
        <w:t xml:space="preserve"> in shares of an existing private healthcare company in </w:t>
      </w:r>
      <w:r w:rsidR="00BF7FC8" w:rsidRPr="00216A71">
        <w:rPr>
          <w:rFonts w:cstheme="minorHAnsi"/>
          <w:bCs/>
          <w:szCs w:val="20"/>
        </w:rPr>
        <w:t>S</w:t>
      </w:r>
      <w:r w:rsidR="001E4A41" w:rsidRPr="00216A71">
        <w:rPr>
          <w:rFonts w:cstheme="minorHAnsi"/>
          <w:bCs/>
          <w:szCs w:val="20"/>
        </w:rPr>
        <w:t>outh Africa (Lifecare), $16</w:t>
      </w:r>
      <w:r w:rsidR="006A390A">
        <w:rPr>
          <w:rFonts w:cstheme="minorHAnsi"/>
          <w:bCs/>
          <w:szCs w:val="20"/>
        </w:rPr>
        <w:t xml:space="preserve"> </w:t>
      </w:r>
      <w:r w:rsidR="001E4A41" w:rsidRPr="00216A71">
        <w:rPr>
          <w:rFonts w:cstheme="minorHAnsi"/>
          <w:bCs/>
          <w:szCs w:val="20"/>
        </w:rPr>
        <w:t>m</w:t>
      </w:r>
      <w:r w:rsidR="006A390A">
        <w:rPr>
          <w:rFonts w:cstheme="minorHAnsi"/>
          <w:bCs/>
          <w:szCs w:val="20"/>
        </w:rPr>
        <w:t>illion</w:t>
      </w:r>
      <w:r w:rsidR="001E4A41" w:rsidRPr="00216A71">
        <w:rPr>
          <w:rFonts w:cstheme="minorHAnsi"/>
          <w:bCs/>
          <w:szCs w:val="20"/>
        </w:rPr>
        <w:t xml:space="preserve"> in two private hospitals in Kenya and </w:t>
      </w:r>
      <w:r w:rsidR="00FD4340" w:rsidRPr="00216A71">
        <w:rPr>
          <w:rFonts w:cstheme="minorHAnsi"/>
          <w:bCs/>
          <w:szCs w:val="20"/>
        </w:rPr>
        <w:t>Ghana, and very little else. And it raised no private finance at all –</w:t>
      </w:r>
      <w:r w:rsidR="00B54759" w:rsidRPr="00216A71">
        <w:rPr>
          <w:rFonts w:cstheme="minorHAnsi"/>
          <w:bCs/>
          <w:szCs w:val="20"/>
        </w:rPr>
        <w:t xml:space="preserve"> </w:t>
      </w:r>
      <w:r w:rsidR="00FD4340" w:rsidRPr="00216A71">
        <w:rPr>
          <w:rFonts w:cstheme="minorHAnsi"/>
          <w:bCs/>
          <w:szCs w:val="20"/>
        </w:rPr>
        <w:t>the only money put into the ‘private’ equity funds came from public sector IFIs, donors, and charities.</w:t>
      </w:r>
      <w:r w:rsidR="00BE5CD8" w:rsidRPr="00216A71">
        <w:rPr>
          <w:rStyle w:val="EndnoteReference"/>
          <w:rFonts w:cstheme="minorHAnsi"/>
          <w:bCs/>
          <w:szCs w:val="20"/>
        </w:rPr>
        <w:endnoteReference w:id="86"/>
      </w:r>
      <w:r w:rsidR="001E4A41" w:rsidRPr="00216A71">
        <w:rPr>
          <w:rFonts w:cstheme="minorHAnsi"/>
          <w:bCs/>
          <w:szCs w:val="20"/>
        </w:rPr>
        <w:t xml:space="preserve"> </w:t>
      </w:r>
    </w:p>
    <w:p w:rsidR="000C629A" w:rsidRDefault="004042A2" w:rsidP="00F70096">
      <w:pPr>
        <w:rPr>
          <w:rFonts w:cstheme="minorHAnsi"/>
          <w:bCs/>
          <w:szCs w:val="20"/>
        </w:rPr>
      </w:pPr>
      <w:r w:rsidRPr="00216A71">
        <w:rPr>
          <w:rFonts w:cstheme="minorHAnsi"/>
          <w:bCs/>
          <w:szCs w:val="20"/>
        </w:rPr>
        <w:t>At the end of 2013 the IFC promised to provide more public finance for yet another private equity fund</w:t>
      </w:r>
      <w:r w:rsidR="0064331C" w:rsidRPr="00216A71">
        <w:rPr>
          <w:rFonts w:cstheme="minorHAnsi"/>
          <w:bCs/>
          <w:szCs w:val="20"/>
        </w:rPr>
        <w:t>,</w:t>
      </w:r>
      <w:r w:rsidRPr="00216A71">
        <w:rPr>
          <w:rFonts w:cstheme="minorHAnsi"/>
          <w:bCs/>
          <w:szCs w:val="20"/>
        </w:rPr>
        <w:t xml:space="preserve"> </w:t>
      </w:r>
      <w:r w:rsidR="0064331C" w:rsidRPr="00216A71">
        <w:rPr>
          <w:rFonts w:cstheme="minorHAnsi"/>
          <w:bCs/>
          <w:szCs w:val="20"/>
        </w:rPr>
        <w:t xml:space="preserve">the Abraaj Global Health Fund, run by the same group who </w:t>
      </w:r>
      <w:r w:rsidR="001224E6" w:rsidRPr="00216A71">
        <w:rPr>
          <w:rFonts w:cstheme="minorHAnsi"/>
          <w:bCs/>
          <w:szCs w:val="20"/>
        </w:rPr>
        <w:t>took over</w:t>
      </w:r>
      <w:r w:rsidR="0064331C" w:rsidRPr="00216A71">
        <w:rPr>
          <w:rFonts w:cstheme="minorHAnsi"/>
          <w:bCs/>
          <w:szCs w:val="20"/>
        </w:rPr>
        <w:t xml:space="preserve"> the </w:t>
      </w:r>
      <w:r w:rsidR="001224E6" w:rsidRPr="00216A71">
        <w:rPr>
          <w:rFonts w:cstheme="minorHAnsi"/>
          <w:bCs/>
          <w:szCs w:val="20"/>
        </w:rPr>
        <w:t xml:space="preserve">failed </w:t>
      </w:r>
      <w:r w:rsidR="0064331C" w:rsidRPr="00216A71">
        <w:rPr>
          <w:rFonts w:cstheme="minorHAnsi"/>
          <w:bCs/>
          <w:szCs w:val="20"/>
        </w:rPr>
        <w:t>Aureos fund</w:t>
      </w:r>
      <w:r w:rsidRPr="00216A71">
        <w:rPr>
          <w:rFonts w:cstheme="minorHAnsi"/>
          <w:bCs/>
          <w:szCs w:val="20"/>
        </w:rPr>
        <w:t xml:space="preserve">. </w:t>
      </w:r>
      <w:r w:rsidR="006A390A">
        <w:rPr>
          <w:rFonts w:cstheme="minorHAnsi"/>
          <w:bCs/>
          <w:szCs w:val="20"/>
        </w:rPr>
        <w:t>I</w:t>
      </w:r>
      <w:r w:rsidR="0064331C" w:rsidRPr="00216A71">
        <w:rPr>
          <w:rFonts w:cstheme="minorHAnsi"/>
          <w:bCs/>
          <w:szCs w:val="20"/>
        </w:rPr>
        <w:t xml:space="preserve">t aims </w:t>
      </w:r>
      <w:r w:rsidRPr="00216A71">
        <w:rPr>
          <w:rFonts w:cstheme="minorHAnsi"/>
          <w:bCs/>
          <w:szCs w:val="20"/>
        </w:rPr>
        <w:t>to raise $1</w:t>
      </w:r>
      <w:r w:rsidR="006A390A">
        <w:rPr>
          <w:rFonts w:cstheme="minorHAnsi"/>
          <w:bCs/>
          <w:szCs w:val="20"/>
        </w:rPr>
        <w:t xml:space="preserve"> </w:t>
      </w:r>
      <w:r w:rsidRPr="00216A71">
        <w:rPr>
          <w:rFonts w:cstheme="minorHAnsi"/>
          <w:bCs/>
          <w:szCs w:val="20"/>
        </w:rPr>
        <w:t>billion, and the IFC has promised to provide 20</w:t>
      </w:r>
      <w:r w:rsidR="00A42FDE">
        <w:rPr>
          <w:rFonts w:cstheme="minorHAnsi"/>
          <w:bCs/>
          <w:szCs w:val="20"/>
        </w:rPr>
        <w:t xml:space="preserve"> per cent</w:t>
      </w:r>
      <w:r w:rsidRPr="00216A71">
        <w:rPr>
          <w:rFonts w:cstheme="minorHAnsi"/>
          <w:bCs/>
          <w:szCs w:val="20"/>
        </w:rPr>
        <w:t xml:space="preserve"> of the first tranche of this. The fund will be registered in the Cayman Islands to avoid </w:t>
      </w:r>
      <w:r w:rsidR="0064331C" w:rsidRPr="00216A71">
        <w:rPr>
          <w:rFonts w:cstheme="minorHAnsi"/>
          <w:bCs/>
          <w:szCs w:val="20"/>
        </w:rPr>
        <w:t>paying tax.</w:t>
      </w:r>
      <w:r w:rsidR="001224E6" w:rsidRPr="00216A71">
        <w:rPr>
          <w:rStyle w:val="EndnoteReference"/>
          <w:rFonts w:cstheme="minorHAnsi"/>
          <w:bCs/>
          <w:szCs w:val="20"/>
        </w:rPr>
        <w:endnoteReference w:id="87"/>
      </w:r>
    </w:p>
    <w:p w:rsidR="009372DB" w:rsidRPr="00216A71" w:rsidRDefault="00B9450C">
      <w:pPr>
        <w:rPr>
          <w:rFonts w:cstheme="minorHAnsi"/>
          <w:bCs/>
        </w:rPr>
      </w:pPr>
      <w:r w:rsidRPr="00216A71">
        <w:rPr>
          <w:rFonts w:cstheme="minorHAnsi"/>
        </w:rPr>
        <w:t>The IFC itself has financed a number of individual PPPs in healthcare, all of which are single hospitals, clinics within hospitals, or specific technical services within hospitals. Their impact on public healthcare systems as a whole is inevitably very small and patchy, and the results – for example in Lesotho – may be very poor.</w:t>
      </w:r>
    </w:p>
    <w:p w:rsidR="00C831B7" w:rsidRPr="00216A71" w:rsidRDefault="00C831B7" w:rsidP="0080036E">
      <w:pPr>
        <w:pStyle w:val="Heading6"/>
        <w:rPr>
          <w:rFonts w:cstheme="minorHAnsi"/>
          <w:szCs w:val="20"/>
        </w:rPr>
      </w:pPr>
      <w:r w:rsidRPr="00216A71">
        <w:rPr>
          <w:rFonts w:cstheme="minorHAnsi"/>
          <w:szCs w:val="20"/>
        </w:rPr>
        <w:t xml:space="preserve">Lesotho hospital PPP: understaffing, delays and reduced services </w:t>
      </w:r>
    </w:p>
    <w:p w:rsidR="000C629A" w:rsidRDefault="003501EF" w:rsidP="00C831B7">
      <w:pPr>
        <w:pBdr>
          <w:top w:val="single" w:sz="4" w:space="1" w:color="auto"/>
          <w:left w:val="single" w:sz="4" w:space="4" w:color="auto"/>
          <w:bottom w:val="single" w:sz="4" w:space="1" w:color="auto"/>
          <w:right w:val="single" w:sz="4" w:space="4" w:color="auto"/>
        </w:pBdr>
        <w:rPr>
          <w:rFonts w:cstheme="minorHAnsi"/>
          <w:bCs/>
          <w:szCs w:val="20"/>
        </w:rPr>
      </w:pPr>
      <w:r w:rsidRPr="00216A71">
        <w:rPr>
          <w:rFonts w:cstheme="minorHAnsi"/>
          <w:bCs/>
          <w:szCs w:val="20"/>
        </w:rPr>
        <w:t>O</w:t>
      </w:r>
      <w:r w:rsidR="00396189" w:rsidRPr="00216A71">
        <w:rPr>
          <w:rFonts w:cstheme="minorHAnsi"/>
          <w:bCs/>
          <w:szCs w:val="20"/>
        </w:rPr>
        <w:t xml:space="preserve">ne major healthcare PPP </w:t>
      </w:r>
      <w:r w:rsidR="009105D8" w:rsidRPr="00216A71">
        <w:rPr>
          <w:rFonts w:cstheme="minorHAnsi"/>
          <w:bCs/>
          <w:szCs w:val="20"/>
        </w:rPr>
        <w:t xml:space="preserve">has been </w:t>
      </w:r>
      <w:r w:rsidR="00CD5564" w:rsidRPr="00216A71">
        <w:rPr>
          <w:rFonts w:cstheme="minorHAnsi"/>
          <w:bCs/>
          <w:szCs w:val="20"/>
        </w:rPr>
        <w:t xml:space="preserve">created </w:t>
      </w:r>
      <w:r w:rsidRPr="00216A71">
        <w:rPr>
          <w:rFonts w:cstheme="minorHAnsi"/>
          <w:bCs/>
          <w:szCs w:val="20"/>
        </w:rPr>
        <w:t xml:space="preserve">in </w:t>
      </w:r>
      <w:r w:rsidR="009E450B" w:rsidRPr="00216A71">
        <w:rPr>
          <w:rFonts w:cstheme="minorHAnsi"/>
          <w:bCs/>
          <w:szCs w:val="20"/>
        </w:rPr>
        <w:t>Sub-Saharan</w:t>
      </w:r>
      <w:r w:rsidRPr="00216A71">
        <w:rPr>
          <w:rFonts w:cstheme="minorHAnsi"/>
          <w:bCs/>
          <w:szCs w:val="20"/>
        </w:rPr>
        <w:t xml:space="preserve"> Africa</w:t>
      </w:r>
      <w:r w:rsidR="00D8485F" w:rsidRPr="00216A71">
        <w:rPr>
          <w:rFonts w:cstheme="minorHAnsi"/>
          <w:bCs/>
          <w:szCs w:val="20"/>
        </w:rPr>
        <w:t>,</w:t>
      </w:r>
      <w:r w:rsidRPr="00216A71">
        <w:rPr>
          <w:rFonts w:cstheme="minorHAnsi"/>
          <w:bCs/>
          <w:szCs w:val="20"/>
        </w:rPr>
        <w:t xml:space="preserve"> </w:t>
      </w:r>
      <w:r w:rsidR="009105D8" w:rsidRPr="00216A71">
        <w:rPr>
          <w:rFonts w:cstheme="minorHAnsi"/>
          <w:bCs/>
          <w:szCs w:val="20"/>
        </w:rPr>
        <w:t>the</w:t>
      </w:r>
      <w:r w:rsidR="00396189" w:rsidRPr="00216A71">
        <w:rPr>
          <w:rFonts w:cstheme="minorHAnsi"/>
          <w:bCs/>
          <w:szCs w:val="20"/>
        </w:rPr>
        <w:t xml:space="preserve"> Queen ‘Mamohato Memorial Hospital in Lesotho</w:t>
      </w:r>
      <w:r w:rsidR="00CD5564" w:rsidRPr="00216A71">
        <w:rPr>
          <w:rFonts w:cstheme="minorHAnsi"/>
          <w:bCs/>
          <w:szCs w:val="20"/>
        </w:rPr>
        <w:t xml:space="preserve">. </w:t>
      </w:r>
      <w:r w:rsidR="00396189" w:rsidRPr="00216A71">
        <w:rPr>
          <w:rFonts w:cstheme="minorHAnsi"/>
          <w:bCs/>
          <w:szCs w:val="20"/>
        </w:rPr>
        <w:t xml:space="preserve">It is owned by a South African private healthcare company (Netcare) which runs the healthcare services as well as the hospital. </w:t>
      </w:r>
      <w:r w:rsidR="00CD5564" w:rsidRPr="00216A71">
        <w:rPr>
          <w:rFonts w:cstheme="minorHAnsi"/>
          <w:bCs/>
          <w:szCs w:val="20"/>
        </w:rPr>
        <w:t>It opened in 2011, replacing a larger state-run hospital. It was given a $6.25</w:t>
      </w:r>
      <w:r w:rsidR="006A390A">
        <w:rPr>
          <w:rFonts w:cstheme="minorHAnsi"/>
          <w:bCs/>
          <w:szCs w:val="20"/>
        </w:rPr>
        <w:t xml:space="preserve"> </w:t>
      </w:r>
      <w:r w:rsidR="00CD5564" w:rsidRPr="00216A71">
        <w:rPr>
          <w:rFonts w:cstheme="minorHAnsi"/>
          <w:bCs/>
          <w:szCs w:val="20"/>
        </w:rPr>
        <w:t>million grant by the World Bank and advice from the IFC.</w:t>
      </w:r>
      <w:r w:rsidR="00D8485F" w:rsidRPr="00216A71">
        <w:rPr>
          <w:rStyle w:val="EndnoteReference"/>
          <w:rFonts w:cstheme="minorHAnsi"/>
          <w:bCs/>
          <w:szCs w:val="20"/>
        </w:rPr>
        <w:endnoteReference w:id="88"/>
      </w:r>
      <w:r w:rsidR="004045AD">
        <w:rPr>
          <w:rFonts w:cstheme="minorHAnsi"/>
          <w:bCs/>
          <w:szCs w:val="20"/>
        </w:rPr>
        <w:t xml:space="preserve"> </w:t>
      </w:r>
    </w:p>
    <w:p w:rsidR="000C629A" w:rsidRDefault="00CD5564" w:rsidP="00C831B7">
      <w:pPr>
        <w:pBdr>
          <w:top w:val="single" w:sz="4" w:space="1" w:color="auto"/>
          <w:left w:val="single" w:sz="4" w:space="4" w:color="auto"/>
          <w:bottom w:val="single" w:sz="4" w:space="1" w:color="auto"/>
          <w:right w:val="single" w:sz="4" w:space="4" w:color="auto"/>
        </w:pBdr>
        <w:rPr>
          <w:rFonts w:cstheme="minorHAnsi"/>
          <w:bCs/>
          <w:szCs w:val="20"/>
        </w:rPr>
      </w:pPr>
      <w:r w:rsidRPr="00216A71">
        <w:rPr>
          <w:rFonts w:cstheme="minorHAnsi"/>
          <w:bCs/>
          <w:szCs w:val="20"/>
        </w:rPr>
        <w:t xml:space="preserve">There are already major </w:t>
      </w:r>
      <w:r w:rsidR="003501EF" w:rsidRPr="00216A71">
        <w:rPr>
          <w:rFonts w:cstheme="minorHAnsi"/>
          <w:bCs/>
          <w:szCs w:val="20"/>
        </w:rPr>
        <w:t xml:space="preserve">financial and performance problems </w:t>
      </w:r>
      <w:r w:rsidRPr="00216A71">
        <w:rPr>
          <w:rFonts w:cstheme="minorHAnsi"/>
          <w:bCs/>
          <w:szCs w:val="20"/>
        </w:rPr>
        <w:t>– from the perspective of Lesotho’s health services</w:t>
      </w:r>
      <w:r w:rsidR="004045AD">
        <w:rPr>
          <w:rFonts w:cstheme="minorHAnsi"/>
          <w:bCs/>
          <w:szCs w:val="20"/>
        </w:rPr>
        <w:t xml:space="preserve"> – </w:t>
      </w:r>
      <w:r w:rsidR="003501EF" w:rsidRPr="00216A71">
        <w:rPr>
          <w:rFonts w:cstheme="minorHAnsi"/>
          <w:bCs/>
          <w:szCs w:val="20"/>
        </w:rPr>
        <w:t xml:space="preserve">though it is very profitable for the new owners. </w:t>
      </w:r>
      <w:r w:rsidR="00396189" w:rsidRPr="00216A71">
        <w:rPr>
          <w:rFonts w:cstheme="minorHAnsi"/>
          <w:bCs/>
          <w:szCs w:val="20"/>
        </w:rPr>
        <w:t xml:space="preserve">In the first year of operation, the government had to pay </w:t>
      </w:r>
      <w:r w:rsidR="006A390A">
        <w:rPr>
          <w:rFonts w:cstheme="minorHAnsi"/>
          <w:bCs/>
          <w:szCs w:val="20"/>
        </w:rPr>
        <w:t xml:space="preserve">a </w:t>
      </w:r>
      <w:r w:rsidR="00396189" w:rsidRPr="00216A71">
        <w:rPr>
          <w:rFonts w:cstheme="minorHAnsi"/>
          <w:bCs/>
          <w:szCs w:val="20"/>
        </w:rPr>
        <w:t>$</w:t>
      </w:r>
      <w:r w:rsidR="009105D8" w:rsidRPr="00216A71">
        <w:rPr>
          <w:rFonts w:cstheme="minorHAnsi"/>
          <w:bCs/>
          <w:szCs w:val="20"/>
        </w:rPr>
        <w:t>32.6</w:t>
      </w:r>
      <w:r w:rsidR="006A390A">
        <w:rPr>
          <w:rFonts w:cstheme="minorHAnsi"/>
          <w:bCs/>
          <w:szCs w:val="20"/>
        </w:rPr>
        <w:t xml:space="preserve"> </w:t>
      </w:r>
      <w:r w:rsidR="009105D8" w:rsidRPr="00216A71">
        <w:rPr>
          <w:rFonts w:cstheme="minorHAnsi"/>
          <w:bCs/>
          <w:szCs w:val="20"/>
        </w:rPr>
        <w:t>million annual charge – almost double the annual budget of the old hospital. The PPP was persistently understaffed for over a year after its opening, failed to recruit enough doctors</w:t>
      </w:r>
      <w:r w:rsidR="003501EF" w:rsidRPr="00216A71">
        <w:rPr>
          <w:rFonts w:cstheme="minorHAnsi"/>
          <w:bCs/>
          <w:szCs w:val="20"/>
        </w:rPr>
        <w:t>, and pays staff less than their former salaries</w:t>
      </w:r>
      <w:r w:rsidR="006A390A">
        <w:rPr>
          <w:rFonts w:cstheme="minorHAnsi"/>
          <w:bCs/>
          <w:szCs w:val="20"/>
        </w:rPr>
        <w:t>.</w:t>
      </w:r>
      <w:r w:rsidR="009105D8" w:rsidRPr="00216A71">
        <w:rPr>
          <w:rFonts w:cstheme="minorHAnsi"/>
          <w:bCs/>
          <w:szCs w:val="20"/>
        </w:rPr>
        <w:t xml:space="preserve"> </w:t>
      </w:r>
      <w:r w:rsidR="006A390A">
        <w:rPr>
          <w:rFonts w:cstheme="minorHAnsi"/>
          <w:bCs/>
          <w:szCs w:val="20"/>
        </w:rPr>
        <w:t>I</w:t>
      </w:r>
      <w:r w:rsidR="009105D8" w:rsidRPr="00216A71">
        <w:rPr>
          <w:rFonts w:cstheme="minorHAnsi"/>
          <w:bCs/>
          <w:szCs w:val="20"/>
        </w:rPr>
        <w:t xml:space="preserve">t did not prepare its admission systems or its drugs licenses properly, as a result of which it “was unable to provide tuberculosis treatment or antiretroviral drugs, leaving a </w:t>
      </w:r>
      <w:r w:rsidR="009105D8" w:rsidRPr="00216A71">
        <w:rPr>
          <w:rFonts w:cstheme="minorHAnsi"/>
          <w:bCs/>
          <w:szCs w:val="20"/>
        </w:rPr>
        <w:lastRenderedPageBreak/>
        <w:t>significant care gap” and “patients were troubled by long waits due to new triage procedures and new data entry requirements</w:t>
      </w:r>
      <w:r w:rsidR="006A390A">
        <w:rPr>
          <w:rFonts w:cstheme="minorHAnsi"/>
          <w:bCs/>
          <w:szCs w:val="20"/>
        </w:rPr>
        <w:t>.</w:t>
      </w:r>
      <w:r w:rsidR="009105D8" w:rsidRPr="00216A71">
        <w:rPr>
          <w:rFonts w:cstheme="minorHAnsi"/>
          <w:bCs/>
          <w:szCs w:val="20"/>
        </w:rPr>
        <w:t>”</w:t>
      </w:r>
      <w:r w:rsidR="00C831B7" w:rsidRPr="00216A71">
        <w:rPr>
          <w:rFonts w:cstheme="minorHAnsi"/>
          <w:bCs/>
          <w:szCs w:val="20"/>
        </w:rPr>
        <w:t xml:space="preserve"> </w:t>
      </w:r>
      <w:r w:rsidR="00201070">
        <w:rPr>
          <w:rFonts w:cstheme="minorHAnsi"/>
          <w:bCs/>
          <w:szCs w:val="20"/>
        </w:rPr>
        <w:t>T</w:t>
      </w:r>
      <w:r w:rsidR="00C831B7" w:rsidRPr="00216A71">
        <w:rPr>
          <w:rFonts w:cstheme="minorHAnsi"/>
          <w:bCs/>
          <w:szCs w:val="20"/>
        </w:rPr>
        <w:t>he le</w:t>
      </w:r>
      <w:r w:rsidR="003501EF" w:rsidRPr="00216A71">
        <w:rPr>
          <w:rFonts w:cstheme="minorHAnsi"/>
          <w:bCs/>
          <w:szCs w:val="20"/>
        </w:rPr>
        <w:t xml:space="preserve">vel of services was deliberately reduced, including the exclusion of some services, as well as a cut in the number of beds, and limits on the number of patients. </w:t>
      </w:r>
    </w:p>
    <w:p w:rsidR="000C629A" w:rsidRDefault="003501EF" w:rsidP="00C831B7">
      <w:pPr>
        <w:pBdr>
          <w:top w:val="single" w:sz="4" w:space="1" w:color="auto"/>
          <w:left w:val="single" w:sz="4" w:space="4" w:color="auto"/>
          <w:bottom w:val="single" w:sz="4" w:space="1" w:color="auto"/>
          <w:right w:val="single" w:sz="4" w:space="4" w:color="auto"/>
        </w:pBdr>
        <w:rPr>
          <w:rFonts w:cstheme="minorHAnsi"/>
          <w:bCs/>
          <w:szCs w:val="20"/>
        </w:rPr>
      </w:pPr>
      <w:r w:rsidRPr="00216A71">
        <w:rPr>
          <w:rFonts w:cstheme="minorHAnsi"/>
          <w:bCs/>
          <w:szCs w:val="20"/>
        </w:rPr>
        <w:t>A newly elected government in 2012 pledged to improve services</w:t>
      </w:r>
      <w:r w:rsidR="00CD5564" w:rsidRPr="00216A71">
        <w:rPr>
          <w:rFonts w:cstheme="minorHAnsi"/>
          <w:bCs/>
          <w:szCs w:val="20"/>
        </w:rPr>
        <w:t>. A report by</w:t>
      </w:r>
      <w:r w:rsidRPr="00216A71">
        <w:rPr>
          <w:rFonts w:cstheme="minorHAnsi"/>
          <w:bCs/>
          <w:szCs w:val="20"/>
        </w:rPr>
        <w:t xml:space="preserve"> PWC saw </w:t>
      </w:r>
      <w:r w:rsidR="00CD5564" w:rsidRPr="00216A71">
        <w:rPr>
          <w:rFonts w:cstheme="minorHAnsi"/>
          <w:bCs/>
          <w:szCs w:val="20"/>
        </w:rPr>
        <w:t xml:space="preserve">this </w:t>
      </w:r>
      <w:r w:rsidRPr="00216A71">
        <w:rPr>
          <w:rFonts w:cstheme="minorHAnsi"/>
          <w:bCs/>
          <w:szCs w:val="20"/>
        </w:rPr>
        <w:t>as a challenge</w:t>
      </w:r>
      <w:r w:rsidR="00CD5564" w:rsidRPr="00216A71">
        <w:rPr>
          <w:rFonts w:cstheme="minorHAnsi"/>
          <w:bCs/>
          <w:szCs w:val="20"/>
        </w:rPr>
        <w:t xml:space="preserve"> – not to improve services and show that a PPP can provide affordable universal healthcare – but rather to set up a programme of re-education for the </w:t>
      </w:r>
      <w:r w:rsidR="00042AEC" w:rsidRPr="00216A71">
        <w:rPr>
          <w:rFonts w:cstheme="minorHAnsi"/>
          <w:bCs/>
          <w:szCs w:val="20"/>
        </w:rPr>
        <w:t xml:space="preserve">new ministers: “the PPIP </w:t>
      </w:r>
      <w:r w:rsidR="00201070">
        <w:rPr>
          <w:rFonts w:cstheme="minorHAnsi"/>
          <w:bCs/>
          <w:szCs w:val="20"/>
        </w:rPr>
        <w:t xml:space="preserve">(public-private investment partnership) </w:t>
      </w:r>
      <w:r w:rsidR="00042AEC" w:rsidRPr="00216A71">
        <w:rPr>
          <w:rFonts w:cstheme="minorHAnsi"/>
          <w:bCs/>
          <w:szCs w:val="20"/>
        </w:rPr>
        <w:t>must educate and navigate the new Government leadership structure and build new working relationships quickly.”</w:t>
      </w:r>
      <w:r w:rsidR="00042AEC" w:rsidRPr="00216A71">
        <w:rPr>
          <w:rStyle w:val="EndnoteReference"/>
          <w:rFonts w:cstheme="minorHAnsi"/>
          <w:bCs/>
          <w:szCs w:val="20"/>
        </w:rPr>
        <w:t xml:space="preserve"> </w:t>
      </w:r>
      <w:r w:rsidR="00042AEC" w:rsidRPr="00216A71">
        <w:rPr>
          <w:rStyle w:val="EndnoteReference"/>
          <w:rFonts w:cstheme="minorHAnsi"/>
          <w:bCs/>
          <w:szCs w:val="20"/>
        </w:rPr>
        <w:endnoteReference w:id="89"/>
      </w:r>
    </w:p>
    <w:p w:rsidR="008D1B6E" w:rsidRPr="00216A71" w:rsidRDefault="008D1B6E" w:rsidP="008D1B6E">
      <w:pPr>
        <w:pStyle w:val="Heading3"/>
        <w:rPr>
          <w:rFonts w:asciiTheme="minorHAnsi" w:hAnsiTheme="minorHAnsi" w:cstheme="minorHAnsi"/>
          <w:szCs w:val="20"/>
        </w:rPr>
      </w:pPr>
      <w:r w:rsidRPr="00216A71">
        <w:rPr>
          <w:rFonts w:asciiTheme="minorHAnsi" w:hAnsiTheme="minorHAnsi" w:cstheme="minorHAnsi"/>
          <w:szCs w:val="20"/>
        </w:rPr>
        <w:t xml:space="preserve">PPPs </w:t>
      </w:r>
      <w:r w:rsidR="00456977" w:rsidRPr="00216A71">
        <w:rPr>
          <w:rFonts w:asciiTheme="minorHAnsi" w:hAnsiTheme="minorHAnsi" w:cstheme="minorHAnsi"/>
          <w:szCs w:val="20"/>
        </w:rPr>
        <w:t>in</w:t>
      </w:r>
      <w:r w:rsidRPr="00216A71">
        <w:rPr>
          <w:rFonts w:asciiTheme="minorHAnsi" w:hAnsiTheme="minorHAnsi" w:cstheme="minorHAnsi"/>
          <w:szCs w:val="20"/>
        </w:rPr>
        <w:t xml:space="preserve"> renewable energy</w:t>
      </w:r>
      <w:r w:rsidR="00456977" w:rsidRPr="00216A71">
        <w:rPr>
          <w:rFonts w:asciiTheme="minorHAnsi" w:hAnsiTheme="minorHAnsi" w:cstheme="minorHAnsi"/>
          <w:szCs w:val="20"/>
        </w:rPr>
        <w:t>, water</w:t>
      </w:r>
      <w:r w:rsidRPr="00216A71">
        <w:rPr>
          <w:rFonts w:asciiTheme="minorHAnsi" w:hAnsiTheme="minorHAnsi" w:cstheme="minorHAnsi"/>
          <w:szCs w:val="20"/>
        </w:rPr>
        <w:t xml:space="preserve"> </w:t>
      </w:r>
      <w:r w:rsidR="00456977" w:rsidRPr="00216A71">
        <w:rPr>
          <w:rFonts w:asciiTheme="minorHAnsi" w:hAnsiTheme="minorHAnsi" w:cstheme="minorHAnsi"/>
          <w:szCs w:val="20"/>
        </w:rPr>
        <w:t xml:space="preserve">and waste </w:t>
      </w:r>
      <w:r w:rsidRPr="00216A71">
        <w:rPr>
          <w:rFonts w:asciiTheme="minorHAnsi" w:hAnsiTheme="minorHAnsi" w:cstheme="minorHAnsi"/>
          <w:szCs w:val="20"/>
        </w:rPr>
        <w:t>– the Global Green Growth Forum</w:t>
      </w:r>
    </w:p>
    <w:p w:rsidR="000C629A" w:rsidRDefault="008D1B6E" w:rsidP="008D1B6E">
      <w:pPr>
        <w:rPr>
          <w:rFonts w:cstheme="minorHAnsi"/>
          <w:szCs w:val="20"/>
        </w:rPr>
      </w:pPr>
      <w:r w:rsidRPr="00216A71">
        <w:rPr>
          <w:rFonts w:cstheme="minorHAnsi"/>
          <w:szCs w:val="20"/>
        </w:rPr>
        <w:t>The Global Green Growth Forum (</w:t>
      </w:r>
      <w:r w:rsidR="00456977" w:rsidRPr="00216A71">
        <w:rPr>
          <w:rFonts w:cstheme="minorHAnsi"/>
          <w:szCs w:val="20"/>
        </w:rPr>
        <w:t xml:space="preserve">3GF: </w:t>
      </w:r>
      <w:hyperlink r:id="rId118" w:history="1">
        <w:r w:rsidRPr="00216A71">
          <w:rPr>
            <w:rStyle w:val="Hyperlink"/>
            <w:rFonts w:cstheme="minorHAnsi"/>
            <w:szCs w:val="20"/>
          </w:rPr>
          <w:t>http://3GF.dk</w:t>
        </w:r>
      </w:hyperlink>
      <w:r w:rsidRPr="00216A71">
        <w:rPr>
          <w:rFonts w:cstheme="minorHAnsi"/>
          <w:szCs w:val="20"/>
        </w:rPr>
        <w:t xml:space="preserve"> ) was set up </w:t>
      </w:r>
      <w:r w:rsidR="0085442D" w:rsidRPr="00216A71">
        <w:rPr>
          <w:rFonts w:cstheme="minorHAnsi"/>
          <w:szCs w:val="20"/>
        </w:rPr>
        <w:t>in 2011</w:t>
      </w:r>
      <w:r w:rsidR="00201070">
        <w:rPr>
          <w:rFonts w:cstheme="minorHAnsi"/>
          <w:szCs w:val="20"/>
        </w:rPr>
        <w:t xml:space="preserve"> </w:t>
      </w:r>
      <w:r w:rsidRPr="00216A71">
        <w:rPr>
          <w:rFonts w:cstheme="minorHAnsi"/>
          <w:szCs w:val="20"/>
        </w:rPr>
        <w:t>by the governments of Denmark, China, Kenya, South Korea, Mexico, and Qatar together with “businesses, investors and international organisations to act together for inclusive green growth.”</w:t>
      </w:r>
      <w:r w:rsidR="004045AD">
        <w:rPr>
          <w:rFonts w:cstheme="minorHAnsi"/>
          <w:szCs w:val="20"/>
        </w:rPr>
        <w:t xml:space="preserve"> </w:t>
      </w:r>
      <w:r w:rsidRPr="00216A71">
        <w:rPr>
          <w:rFonts w:cstheme="minorHAnsi"/>
          <w:szCs w:val="20"/>
        </w:rPr>
        <w:t xml:space="preserve">These other partners include </w:t>
      </w:r>
      <w:r w:rsidR="000E505F" w:rsidRPr="00216A71">
        <w:rPr>
          <w:rFonts w:cstheme="minorHAnsi"/>
          <w:szCs w:val="20"/>
        </w:rPr>
        <w:t>public international institutions such as the OECD, IFC, IEA;</w:t>
      </w:r>
      <w:r w:rsidR="004045AD">
        <w:rPr>
          <w:rFonts w:cstheme="minorHAnsi"/>
          <w:szCs w:val="20"/>
        </w:rPr>
        <w:t xml:space="preserve"> </w:t>
      </w:r>
      <w:r w:rsidR="000E505F" w:rsidRPr="00216A71">
        <w:rPr>
          <w:rFonts w:cstheme="minorHAnsi"/>
          <w:szCs w:val="20"/>
        </w:rPr>
        <w:t>the consultancy firm McKinsey</w:t>
      </w:r>
      <w:r w:rsidRPr="00216A71">
        <w:rPr>
          <w:rFonts w:cstheme="minorHAnsi"/>
          <w:szCs w:val="20"/>
        </w:rPr>
        <w:t xml:space="preserve">; </w:t>
      </w:r>
      <w:r w:rsidR="000E505F" w:rsidRPr="00216A71">
        <w:rPr>
          <w:rFonts w:cstheme="minorHAnsi"/>
          <w:szCs w:val="20"/>
        </w:rPr>
        <w:t xml:space="preserve">and </w:t>
      </w:r>
      <w:r w:rsidRPr="00216A71">
        <w:rPr>
          <w:rFonts w:cstheme="minorHAnsi"/>
          <w:szCs w:val="20"/>
        </w:rPr>
        <w:t>multinational</w:t>
      </w:r>
      <w:r w:rsidR="000E505F" w:rsidRPr="00216A71">
        <w:rPr>
          <w:rFonts w:cstheme="minorHAnsi"/>
          <w:szCs w:val="20"/>
        </w:rPr>
        <w:t xml:space="preserve"> corporation</w:t>
      </w:r>
      <w:r w:rsidRPr="00216A71">
        <w:rPr>
          <w:rFonts w:cstheme="minorHAnsi"/>
          <w:szCs w:val="20"/>
        </w:rPr>
        <w:t xml:space="preserve">s including Siemens, ABB and General Electric (all </w:t>
      </w:r>
      <w:r w:rsidR="000E505F" w:rsidRPr="00216A71">
        <w:rPr>
          <w:rFonts w:cstheme="minorHAnsi"/>
          <w:szCs w:val="20"/>
        </w:rPr>
        <w:t xml:space="preserve">three </w:t>
      </w:r>
      <w:r w:rsidRPr="00216A71">
        <w:rPr>
          <w:rFonts w:cstheme="minorHAnsi"/>
          <w:szCs w:val="20"/>
        </w:rPr>
        <w:t xml:space="preserve">of whom have recently paid millions of dollars to settle indictments </w:t>
      </w:r>
      <w:r w:rsidR="00456977" w:rsidRPr="00216A71">
        <w:rPr>
          <w:rFonts w:cstheme="minorHAnsi"/>
          <w:szCs w:val="20"/>
        </w:rPr>
        <w:t xml:space="preserve">in the USA </w:t>
      </w:r>
      <w:r w:rsidRPr="00216A71">
        <w:rPr>
          <w:rFonts w:cstheme="minorHAnsi"/>
          <w:szCs w:val="20"/>
        </w:rPr>
        <w:t>for bribery)</w:t>
      </w:r>
      <w:r w:rsidR="00F66291" w:rsidRPr="00216A71">
        <w:rPr>
          <w:rFonts w:cstheme="minorHAnsi"/>
          <w:szCs w:val="20"/>
        </w:rPr>
        <w:t>; and the World Resources Institute, a research NGO</w:t>
      </w:r>
      <w:r w:rsidRPr="00216A71">
        <w:rPr>
          <w:rFonts w:cstheme="minorHAnsi"/>
          <w:szCs w:val="20"/>
        </w:rPr>
        <w:t>.</w:t>
      </w:r>
      <w:r w:rsidR="00F66291" w:rsidRPr="00216A71">
        <w:rPr>
          <w:rStyle w:val="EndnoteReference"/>
          <w:rFonts w:cstheme="minorHAnsi"/>
          <w:szCs w:val="20"/>
        </w:rPr>
        <w:t xml:space="preserve"> </w:t>
      </w:r>
      <w:r w:rsidR="00F66291" w:rsidRPr="00216A71">
        <w:rPr>
          <w:rStyle w:val="EndnoteReference"/>
          <w:rFonts w:cstheme="minorHAnsi"/>
          <w:szCs w:val="20"/>
        </w:rPr>
        <w:endnoteReference w:id="90"/>
      </w:r>
    </w:p>
    <w:p w:rsidR="000C629A" w:rsidRDefault="008D1B6E" w:rsidP="00C831B7">
      <w:pPr>
        <w:rPr>
          <w:rFonts w:cstheme="minorHAnsi"/>
          <w:szCs w:val="20"/>
        </w:rPr>
      </w:pPr>
      <w:r w:rsidRPr="00216A71">
        <w:rPr>
          <w:rFonts w:cstheme="minorHAnsi"/>
          <w:szCs w:val="20"/>
        </w:rPr>
        <w:t>The objectives of 3GF are almost exclusively concerned with promoting PPPs:</w:t>
      </w:r>
      <w:r w:rsidR="00C831B7" w:rsidRPr="00216A71">
        <w:rPr>
          <w:rFonts w:cstheme="minorHAnsi"/>
          <w:szCs w:val="20"/>
        </w:rPr>
        <w:t xml:space="preserve"> </w:t>
      </w:r>
      <w:r w:rsidRPr="00216A71">
        <w:rPr>
          <w:rFonts w:cstheme="minorHAnsi"/>
          <w:szCs w:val="20"/>
        </w:rPr>
        <w:t>“</w:t>
      </w:r>
      <w:r w:rsidR="00C831B7" w:rsidRPr="00216A71">
        <w:rPr>
          <w:rFonts w:cstheme="minorHAnsi"/>
          <w:szCs w:val="20"/>
        </w:rPr>
        <w:t xml:space="preserve">to </w:t>
      </w:r>
      <w:r w:rsidRPr="00216A71">
        <w:rPr>
          <w:rFonts w:cstheme="minorHAnsi"/>
          <w:szCs w:val="20"/>
        </w:rPr>
        <w:t>demonstrate ways to realize the potential for long term green growth through the development and show casing of concrete public-private partnerships that can bring green growth to scale</w:t>
      </w:r>
      <w:r w:rsidR="00201070">
        <w:rPr>
          <w:rFonts w:cstheme="minorHAnsi"/>
          <w:szCs w:val="20"/>
        </w:rPr>
        <w:t xml:space="preserve">… </w:t>
      </w:r>
      <w:r w:rsidR="00C831B7" w:rsidRPr="00216A71">
        <w:rPr>
          <w:rFonts w:cstheme="minorHAnsi"/>
          <w:szCs w:val="20"/>
        </w:rPr>
        <w:t>t</w:t>
      </w:r>
      <w:r w:rsidRPr="00216A71">
        <w:rPr>
          <w:rFonts w:cstheme="minorHAnsi"/>
          <w:szCs w:val="20"/>
        </w:rPr>
        <w:t>o provide a platform for carrying forward major public-private initiatives like G2A2, Friends of Rio, SE4All etc.”</w:t>
      </w:r>
      <w:r w:rsidR="004045AD">
        <w:rPr>
          <w:rFonts w:cstheme="minorHAnsi"/>
          <w:szCs w:val="20"/>
        </w:rPr>
        <w:t xml:space="preserve"> </w:t>
      </w:r>
    </w:p>
    <w:p w:rsidR="000C629A" w:rsidRDefault="008D1B6E" w:rsidP="00DE5A75">
      <w:pPr>
        <w:rPr>
          <w:rFonts w:cstheme="minorHAnsi"/>
          <w:szCs w:val="20"/>
        </w:rPr>
      </w:pPr>
      <w:r w:rsidRPr="00216A71">
        <w:rPr>
          <w:rFonts w:cstheme="minorHAnsi"/>
          <w:szCs w:val="20"/>
        </w:rPr>
        <w:t>In 2012 3GF published a report prepared by McKinsey on ‘</w:t>
      </w:r>
      <w:hyperlink r:id="rId119" w:history="1">
        <w:r w:rsidRPr="00216A71">
          <w:rPr>
            <w:rStyle w:val="Hyperlink"/>
            <w:rFonts w:cstheme="minorHAnsi"/>
            <w:szCs w:val="20"/>
          </w:rPr>
          <w:t>Accelerating Green Growth through Public-Private Partnerships</w:t>
        </w:r>
      </w:hyperlink>
      <w:r w:rsidRPr="00216A71">
        <w:rPr>
          <w:rFonts w:cstheme="minorHAnsi"/>
          <w:szCs w:val="20"/>
        </w:rPr>
        <w:t>’ which is described as “an analytical tool for 3GF to identify and focus on PPPs with a scalable, transformative growth potential</w:t>
      </w:r>
      <w:r w:rsidR="00201070">
        <w:rPr>
          <w:rFonts w:cstheme="minorHAnsi"/>
          <w:szCs w:val="20"/>
        </w:rPr>
        <w:t>.</w:t>
      </w:r>
      <w:r w:rsidRPr="00216A71">
        <w:rPr>
          <w:rFonts w:cstheme="minorHAnsi"/>
          <w:szCs w:val="20"/>
        </w:rPr>
        <w:t>”</w:t>
      </w:r>
      <w:r w:rsidR="004045AD">
        <w:rPr>
          <w:rFonts w:cstheme="minorHAnsi"/>
          <w:szCs w:val="20"/>
        </w:rPr>
        <w:t xml:space="preserve"> </w:t>
      </w:r>
      <w:r w:rsidR="00AB085C" w:rsidRPr="00216A71">
        <w:rPr>
          <w:rFonts w:cstheme="minorHAnsi"/>
          <w:szCs w:val="20"/>
        </w:rPr>
        <w:t xml:space="preserve">It focusses on </w:t>
      </w:r>
      <w:r w:rsidR="006154BD" w:rsidRPr="00216A71">
        <w:rPr>
          <w:rFonts w:cstheme="minorHAnsi"/>
          <w:szCs w:val="20"/>
        </w:rPr>
        <w:t xml:space="preserve">business </w:t>
      </w:r>
      <w:r w:rsidR="00AB085C" w:rsidRPr="00216A71">
        <w:rPr>
          <w:rFonts w:cstheme="minorHAnsi"/>
          <w:szCs w:val="20"/>
        </w:rPr>
        <w:t xml:space="preserve">opportunities </w:t>
      </w:r>
      <w:r w:rsidR="006154BD" w:rsidRPr="00216A71">
        <w:rPr>
          <w:rFonts w:cstheme="minorHAnsi"/>
          <w:szCs w:val="20"/>
        </w:rPr>
        <w:t>in six areas: food waste, energy efficient motors, water leakage, electricity transmission grids, industrial wastewater, and biofuels.</w:t>
      </w:r>
      <w:r w:rsidR="00105A31" w:rsidRPr="00216A71">
        <w:rPr>
          <w:rFonts w:cstheme="minorHAnsi"/>
          <w:szCs w:val="20"/>
        </w:rPr>
        <w:t xml:space="preserve"> Much of the opportunity lies in identifying potential streams of public spending that could be captured, for example IFC/World Bank funding, municipal spending on water systems, </w:t>
      </w:r>
      <w:r w:rsidR="00201070">
        <w:rPr>
          <w:rFonts w:cstheme="minorHAnsi"/>
          <w:szCs w:val="20"/>
        </w:rPr>
        <w:t xml:space="preserve">and </w:t>
      </w:r>
      <w:r w:rsidR="00105A31" w:rsidRPr="00216A71">
        <w:rPr>
          <w:rFonts w:cstheme="minorHAnsi"/>
          <w:szCs w:val="20"/>
        </w:rPr>
        <w:t xml:space="preserve">subsidies for biofuels. </w:t>
      </w:r>
    </w:p>
    <w:p w:rsidR="006154BD" w:rsidRPr="00216A71" w:rsidRDefault="00DE5A75" w:rsidP="008D1B6E">
      <w:pPr>
        <w:rPr>
          <w:rFonts w:cstheme="minorHAnsi"/>
          <w:szCs w:val="20"/>
        </w:rPr>
      </w:pPr>
      <w:r w:rsidRPr="00216A71">
        <w:rPr>
          <w:rFonts w:cstheme="minorHAnsi"/>
          <w:szCs w:val="20"/>
        </w:rPr>
        <w:t xml:space="preserve">The 3GF </w:t>
      </w:r>
      <w:r w:rsidR="00772C9A" w:rsidRPr="00216A71">
        <w:rPr>
          <w:rFonts w:cstheme="minorHAnsi"/>
          <w:szCs w:val="20"/>
        </w:rPr>
        <w:t>organises</w:t>
      </w:r>
      <w:r w:rsidRPr="00216A71">
        <w:rPr>
          <w:rFonts w:cstheme="minorHAnsi"/>
          <w:szCs w:val="20"/>
        </w:rPr>
        <w:t xml:space="preserve"> annual forums</w:t>
      </w:r>
      <w:r w:rsidR="00201070">
        <w:rPr>
          <w:rFonts w:cstheme="minorHAnsi"/>
          <w:szCs w:val="20"/>
        </w:rPr>
        <w:t xml:space="preserve">. The </w:t>
      </w:r>
      <w:r w:rsidR="00772C9A" w:rsidRPr="00216A71">
        <w:rPr>
          <w:rFonts w:cstheme="minorHAnsi"/>
          <w:szCs w:val="20"/>
        </w:rPr>
        <w:t>theme of the 2013 forum was ‘greening the value chain’ in the energy-water-food sectors</w:t>
      </w:r>
      <w:r w:rsidR="004045AD">
        <w:rPr>
          <w:rFonts w:cstheme="minorHAnsi"/>
          <w:szCs w:val="20"/>
        </w:rPr>
        <w:t xml:space="preserve"> – </w:t>
      </w:r>
      <w:r w:rsidR="00772C9A" w:rsidRPr="00216A71">
        <w:rPr>
          <w:rFonts w:cstheme="minorHAnsi"/>
          <w:szCs w:val="20"/>
        </w:rPr>
        <w:t>with the emphasis on ‘developing and launching new PPP</w:t>
      </w:r>
      <w:r w:rsidR="00201070">
        <w:rPr>
          <w:rFonts w:cstheme="minorHAnsi"/>
          <w:szCs w:val="20"/>
        </w:rPr>
        <w:t>’</w:t>
      </w:r>
      <w:r w:rsidR="00772C9A" w:rsidRPr="00216A71">
        <w:rPr>
          <w:rFonts w:cstheme="minorHAnsi"/>
          <w:szCs w:val="20"/>
        </w:rPr>
        <w:t>s</w:t>
      </w:r>
      <w:r w:rsidR="00201070">
        <w:rPr>
          <w:rFonts w:cstheme="minorHAnsi"/>
          <w:szCs w:val="20"/>
        </w:rPr>
        <w:t>,</w:t>
      </w:r>
      <w:r w:rsidR="00772C9A" w:rsidRPr="00216A71">
        <w:rPr>
          <w:rFonts w:cstheme="minorHAnsi"/>
          <w:szCs w:val="20"/>
        </w:rPr>
        <w:t>’ discussing ‘opportunities</w:t>
      </w:r>
      <w:r w:rsidR="00201070">
        <w:rPr>
          <w:rFonts w:cstheme="minorHAnsi"/>
          <w:szCs w:val="20"/>
        </w:rPr>
        <w:t xml:space="preserve">… </w:t>
      </w:r>
      <w:r w:rsidR="00772C9A" w:rsidRPr="00216A71">
        <w:rPr>
          <w:rFonts w:cstheme="minorHAnsi"/>
          <w:szCs w:val="20"/>
        </w:rPr>
        <w:t>barriers</w:t>
      </w:r>
      <w:r w:rsidR="00201070">
        <w:rPr>
          <w:rFonts w:cstheme="minorHAnsi"/>
          <w:szCs w:val="20"/>
        </w:rPr>
        <w:t xml:space="preserve">… </w:t>
      </w:r>
      <w:r w:rsidR="00772C9A" w:rsidRPr="00216A71">
        <w:rPr>
          <w:rFonts w:cstheme="minorHAnsi"/>
          <w:szCs w:val="20"/>
        </w:rPr>
        <w:t>the design of partnerships to overcome those barriers</w:t>
      </w:r>
      <w:r w:rsidR="00201070">
        <w:rPr>
          <w:rFonts w:cstheme="minorHAnsi"/>
          <w:szCs w:val="20"/>
        </w:rPr>
        <w:t>…</w:t>
      </w:r>
      <w:r w:rsidR="00772C9A" w:rsidRPr="00216A71">
        <w:rPr>
          <w:rFonts w:cstheme="minorHAnsi"/>
          <w:szCs w:val="20"/>
        </w:rPr>
        <w:t xml:space="preserve"> </w:t>
      </w:r>
      <w:r w:rsidR="00201070">
        <w:rPr>
          <w:rFonts w:cstheme="minorHAnsi"/>
          <w:szCs w:val="20"/>
        </w:rPr>
        <w:t>(</w:t>
      </w:r>
      <w:r w:rsidR="00772C9A" w:rsidRPr="00216A71">
        <w:rPr>
          <w:rFonts w:cstheme="minorHAnsi"/>
          <w:szCs w:val="20"/>
        </w:rPr>
        <w:t>and</w:t>
      </w:r>
      <w:r w:rsidR="00201070">
        <w:rPr>
          <w:rFonts w:cstheme="minorHAnsi"/>
          <w:szCs w:val="20"/>
        </w:rPr>
        <w:t>)</w:t>
      </w:r>
      <w:r w:rsidR="00772C9A" w:rsidRPr="00216A71">
        <w:rPr>
          <w:rFonts w:cstheme="minorHAnsi"/>
          <w:szCs w:val="20"/>
        </w:rPr>
        <w:t xml:space="preserve"> who should be involved</w:t>
      </w:r>
      <w:r w:rsidR="00201070">
        <w:rPr>
          <w:rFonts w:cstheme="minorHAnsi"/>
          <w:szCs w:val="20"/>
        </w:rPr>
        <w:t>.</w:t>
      </w:r>
      <w:r w:rsidR="00772C9A" w:rsidRPr="00216A71">
        <w:rPr>
          <w:rFonts w:cstheme="minorHAnsi"/>
          <w:szCs w:val="20"/>
        </w:rPr>
        <w:t xml:space="preserve">’ </w:t>
      </w:r>
      <w:r w:rsidRPr="00216A71">
        <w:rPr>
          <w:rFonts w:cstheme="minorHAnsi"/>
          <w:szCs w:val="20"/>
        </w:rPr>
        <w:t>The forum helped address the last question when it co-opted NGOs and public officials to act as designated ‘PPP contact persons’ for specific sub-sectors.</w:t>
      </w:r>
    </w:p>
    <w:p w:rsidR="006154BD" w:rsidRPr="00216A71" w:rsidRDefault="006154BD" w:rsidP="006154BD">
      <w:pPr>
        <w:pStyle w:val="Heading7"/>
        <w:rPr>
          <w:rFonts w:asciiTheme="minorHAnsi" w:hAnsiTheme="minorHAnsi" w:cstheme="minorHAnsi"/>
          <w:sz w:val="18"/>
          <w:szCs w:val="18"/>
        </w:rPr>
      </w:pPr>
      <w:r w:rsidRPr="00216A71">
        <w:rPr>
          <w:rFonts w:asciiTheme="minorHAnsi" w:hAnsiTheme="minorHAnsi" w:cstheme="minorHAnsi"/>
          <w:szCs w:val="20"/>
        </w:rPr>
        <w:t>Business opportunities</w:t>
      </w:r>
      <w:r w:rsidR="004A4A9E" w:rsidRPr="00216A71">
        <w:rPr>
          <w:rFonts w:asciiTheme="minorHAnsi" w:hAnsiTheme="minorHAnsi" w:cstheme="minorHAnsi"/>
          <w:szCs w:val="20"/>
        </w:rPr>
        <w:t xml:space="preserve"> and political lobbying </w:t>
      </w:r>
      <w:r w:rsidRPr="00216A71">
        <w:rPr>
          <w:rFonts w:asciiTheme="minorHAnsi" w:hAnsiTheme="minorHAnsi" w:cstheme="minorHAnsi"/>
          <w:szCs w:val="20"/>
        </w:rPr>
        <w:t>for PPPs in energy, water, and waste (McKinsey</w:t>
      </w:r>
      <w:r w:rsidR="00152861" w:rsidRPr="00216A71">
        <w:rPr>
          <w:rFonts w:asciiTheme="minorHAnsi" w:hAnsiTheme="minorHAnsi" w:cstheme="minorHAnsi"/>
          <w:szCs w:val="20"/>
        </w:rPr>
        <w:t xml:space="preserve"> for 3GF</w:t>
      </w:r>
      <w:r w:rsidRPr="00216A71">
        <w:rPr>
          <w:rFonts w:asciiTheme="minorHAnsi" w:hAnsiTheme="minorHAnsi" w:cstheme="minorHAnsi"/>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134"/>
        <w:gridCol w:w="5386"/>
      </w:tblGrid>
      <w:tr w:rsidR="004A4A9E" w:rsidRPr="00216A71" w:rsidTr="00182B4C">
        <w:trPr>
          <w:trHeight w:val="276"/>
        </w:trPr>
        <w:tc>
          <w:tcPr>
            <w:tcW w:w="3227" w:type="dxa"/>
            <w:vAlign w:val="center"/>
          </w:tcPr>
          <w:p w:rsidR="004A4A9E" w:rsidRPr="00216A71" w:rsidRDefault="004A4A9E" w:rsidP="00182B4C">
            <w:pPr>
              <w:rPr>
                <w:rFonts w:cstheme="minorHAnsi"/>
              </w:rPr>
            </w:pPr>
            <w:r w:rsidRPr="00216A71">
              <w:rPr>
                <w:rFonts w:cstheme="minorHAnsi"/>
              </w:rPr>
              <w:t>Area</w:t>
            </w:r>
          </w:p>
        </w:tc>
        <w:tc>
          <w:tcPr>
            <w:tcW w:w="1134" w:type="dxa"/>
          </w:tcPr>
          <w:p w:rsidR="004A4A9E" w:rsidRPr="00216A71" w:rsidRDefault="004A4A9E" w:rsidP="00182B4C">
            <w:pPr>
              <w:rPr>
                <w:rFonts w:cstheme="minorHAnsi"/>
              </w:rPr>
            </w:pPr>
            <w:r w:rsidRPr="00216A71">
              <w:rPr>
                <w:rFonts w:cstheme="minorHAnsi"/>
              </w:rPr>
              <w:t>Potential annual value of market (USD</w:t>
            </w:r>
            <w:r w:rsidR="00201070">
              <w:rPr>
                <w:rFonts w:cstheme="minorHAnsi"/>
              </w:rPr>
              <w:t xml:space="preserve"> </w:t>
            </w:r>
            <w:r w:rsidRPr="00216A71">
              <w:rPr>
                <w:rFonts w:cstheme="minorHAnsi"/>
              </w:rPr>
              <w:t>$</w:t>
            </w:r>
            <w:r w:rsidR="00201070">
              <w:rPr>
                <w:rFonts w:cstheme="minorHAnsi"/>
              </w:rPr>
              <w:t>billion</w:t>
            </w:r>
            <w:r w:rsidRPr="00216A71">
              <w:rPr>
                <w:rFonts w:cstheme="minorHAnsi"/>
              </w:rPr>
              <w:t>)</w:t>
            </w:r>
          </w:p>
        </w:tc>
        <w:tc>
          <w:tcPr>
            <w:tcW w:w="5386" w:type="dxa"/>
            <w:vAlign w:val="center"/>
          </w:tcPr>
          <w:p w:rsidR="004A4A9E" w:rsidRPr="00216A71" w:rsidRDefault="004A4A9E" w:rsidP="00182B4C">
            <w:pPr>
              <w:rPr>
                <w:rFonts w:cstheme="minorHAnsi"/>
              </w:rPr>
            </w:pPr>
            <w:r w:rsidRPr="00216A71">
              <w:rPr>
                <w:rFonts w:cstheme="minorHAnsi"/>
              </w:rPr>
              <w:t xml:space="preserve">Key actors </w:t>
            </w:r>
          </w:p>
        </w:tc>
      </w:tr>
      <w:tr w:rsidR="004A4A9E" w:rsidRPr="00216A71" w:rsidTr="00182B4C">
        <w:trPr>
          <w:trHeight w:val="276"/>
        </w:trPr>
        <w:tc>
          <w:tcPr>
            <w:tcW w:w="3227" w:type="dxa"/>
            <w:vAlign w:val="center"/>
          </w:tcPr>
          <w:p w:rsidR="004A4A9E" w:rsidRPr="00216A71" w:rsidRDefault="004A4A9E" w:rsidP="00182B4C">
            <w:pPr>
              <w:rPr>
                <w:rFonts w:cstheme="minorHAnsi"/>
              </w:rPr>
            </w:pPr>
            <w:r w:rsidRPr="00216A71">
              <w:rPr>
                <w:rFonts w:cstheme="minorHAnsi"/>
              </w:rPr>
              <w:t xml:space="preserve">Food waste </w:t>
            </w:r>
          </w:p>
        </w:tc>
        <w:tc>
          <w:tcPr>
            <w:tcW w:w="1134" w:type="dxa"/>
            <w:vAlign w:val="center"/>
          </w:tcPr>
          <w:p w:rsidR="004A4A9E" w:rsidRPr="00216A71" w:rsidRDefault="004A4A9E" w:rsidP="00201070">
            <w:pPr>
              <w:rPr>
                <w:rFonts w:cstheme="minorHAnsi"/>
              </w:rPr>
            </w:pPr>
            <w:r w:rsidRPr="00216A71">
              <w:rPr>
                <w:rFonts w:cstheme="minorHAnsi"/>
              </w:rPr>
              <w:t>$340</w:t>
            </w:r>
          </w:p>
        </w:tc>
        <w:tc>
          <w:tcPr>
            <w:tcW w:w="5386" w:type="dxa"/>
            <w:vAlign w:val="center"/>
          </w:tcPr>
          <w:p w:rsidR="004A4A9E" w:rsidRPr="00216A71" w:rsidRDefault="004A4A9E" w:rsidP="00182B4C">
            <w:pPr>
              <w:rPr>
                <w:rFonts w:cstheme="minorHAnsi"/>
              </w:rPr>
            </w:pPr>
            <w:r w:rsidRPr="00216A71">
              <w:rPr>
                <w:rFonts w:cstheme="minorHAnsi"/>
              </w:rPr>
              <w:t>▪ Food industry players, government, logistics providers</w:t>
            </w:r>
            <w:r w:rsidR="00896460" w:rsidRPr="00216A71">
              <w:rPr>
                <w:rFonts w:cstheme="minorHAnsi"/>
              </w:rPr>
              <w:t>, gov</w:t>
            </w:r>
            <w:r w:rsidR="00201070">
              <w:rPr>
                <w:rFonts w:cstheme="minorHAnsi"/>
              </w:rPr>
              <w:t>ernmen</w:t>
            </w:r>
            <w:r w:rsidRPr="00216A71">
              <w:rPr>
                <w:rFonts w:cstheme="minorHAnsi"/>
              </w:rPr>
              <w:t>t</w:t>
            </w:r>
          </w:p>
        </w:tc>
      </w:tr>
      <w:tr w:rsidR="004A4A9E" w:rsidRPr="00216A71" w:rsidTr="00182B4C">
        <w:trPr>
          <w:trHeight w:val="276"/>
        </w:trPr>
        <w:tc>
          <w:tcPr>
            <w:tcW w:w="3227" w:type="dxa"/>
            <w:vAlign w:val="center"/>
          </w:tcPr>
          <w:p w:rsidR="004A4A9E" w:rsidRPr="00216A71" w:rsidRDefault="004A4A9E" w:rsidP="00182B4C">
            <w:pPr>
              <w:rPr>
                <w:rFonts w:cstheme="minorHAnsi"/>
              </w:rPr>
            </w:pPr>
            <w:r w:rsidRPr="00216A71">
              <w:rPr>
                <w:rFonts w:cstheme="minorHAnsi"/>
              </w:rPr>
              <w:t xml:space="preserve">Motor systems </w:t>
            </w:r>
          </w:p>
        </w:tc>
        <w:tc>
          <w:tcPr>
            <w:tcW w:w="1134" w:type="dxa"/>
            <w:vAlign w:val="center"/>
          </w:tcPr>
          <w:p w:rsidR="004A4A9E" w:rsidRPr="00216A71" w:rsidRDefault="004A4A9E" w:rsidP="00182B4C">
            <w:pPr>
              <w:rPr>
                <w:rFonts w:cstheme="minorHAnsi"/>
              </w:rPr>
            </w:pPr>
            <w:r w:rsidRPr="00216A71">
              <w:rPr>
                <w:rFonts w:cstheme="minorHAnsi"/>
              </w:rPr>
              <w:t>$240</w:t>
            </w:r>
          </w:p>
        </w:tc>
        <w:tc>
          <w:tcPr>
            <w:tcW w:w="5386" w:type="dxa"/>
            <w:vAlign w:val="center"/>
          </w:tcPr>
          <w:p w:rsidR="004A4A9E" w:rsidRPr="00216A71" w:rsidRDefault="004A4A9E" w:rsidP="00201070">
            <w:pPr>
              <w:rPr>
                <w:rFonts w:cstheme="minorHAnsi"/>
              </w:rPr>
            </w:pPr>
            <w:r w:rsidRPr="00216A71">
              <w:rPr>
                <w:rFonts w:cstheme="minorHAnsi"/>
              </w:rPr>
              <w:t>▪ Gov</w:t>
            </w:r>
            <w:r w:rsidR="00201070">
              <w:rPr>
                <w:rFonts w:cstheme="minorHAnsi"/>
              </w:rPr>
              <w:t>ernmen</w:t>
            </w:r>
            <w:r w:rsidRPr="00216A71">
              <w:rPr>
                <w:rFonts w:cstheme="minorHAnsi"/>
              </w:rPr>
              <w:t>t, motor manuf</w:t>
            </w:r>
            <w:r w:rsidR="00201070">
              <w:rPr>
                <w:rFonts w:cstheme="minorHAnsi"/>
              </w:rPr>
              <w:t>acturers</w:t>
            </w:r>
            <w:r w:rsidRPr="00216A71">
              <w:rPr>
                <w:rFonts w:cstheme="minorHAnsi"/>
              </w:rPr>
              <w:t xml:space="preserve">, manufacturing industry representatives </w:t>
            </w:r>
          </w:p>
        </w:tc>
      </w:tr>
      <w:tr w:rsidR="004A4A9E" w:rsidRPr="00216A71" w:rsidTr="00182B4C">
        <w:trPr>
          <w:trHeight w:val="276"/>
        </w:trPr>
        <w:tc>
          <w:tcPr>
            <w:tcW w:w="3227" w:type="dxa"/>
            <w:vAlign w:val="center"/>
          </w:tcPr>
          <w:p w:rsidR="004A4A9E" w:rsidRPr="00216A71" w:rsidRDefault="004A4A9E" w:rsidP="00182B4C">
            <w:pPr>
              <w:rPr>
                <w:rFonts w:cstheme="minorHAnsi"/>
              </w:rPr>
            </w:pPr>
            <w:r w:rsidRPr="00216A71">
              <w:rPr>
                <w:rFonts w:cstheme="minorHAnsi"/>
              </w:rPr>
              <w:t xml:space="preserve">Municipal water leakage </w:t>
            </w:r>
          </w:p>
        </w:tc>
        <w:tc>
          <w:tcPr>
            <w:tcW w:w="1134" w:type="dxa"/>
            <w:vAlign w:val="center"/>
          </w:tcPr>
          <w:p w:rsidR="004A4A9E" w:rsidRPr="00216A71" w:rsidRDefault="004A4A9E" w:rsidP="00201070">
            <w:pPr>
              <w:rPr>
                <w:rFonts w:cstheme="minorHAnsi"/>
              </w:rPr>
            </w:pPr>
            <w:r w:rsidRPr="00216A71">
              <w:rPr>
                <w:rFonts w:cstheme="minorHAnsi"/>
              </w:rPr>
              <w:t>$170</w:t>
            </w:r>
          </w:p>
        </w:tc>
        <w:tc>
          <w:tcPr>
            <w:tcW w:w="5386" w:type="dxa"/>
            <w:vAlign w:val="center"/>
          </w:tcPr>
          <w:p w:rsidR="004A4A9E" w:rsidRPr="00216A71" w:rsidRDefault="003662A2" w:rsidP="00201070">
            <w:pPr>
              <w:rPr>
                <w:rFonts w:cstheme="minorHAnsi"/>
              </w:rPr>
            </w:pPr>
            <w:r w:rsidRPr="00216A71">
              <w:rPr>
                <w:rFonts w:cstheme="minorHAnsi"/>
              </w:rPr>
              <w:t>▪ Municipal water</w:t>
            </w:r>
            <w:r w:rsidR="004A4A9E" w:rsidRPr="00216A71">
              <w:rPr>
                <w:rFonts w:cstheme="minorHAnsi"/>
              </w:rPr>
              <w:t>, equipment manuf</w:t>
            </w:r>
            <w:r w:rsidR="00201070">
              <w:rPr>
                <w:rFonts w:cstheme="minorHAnsi"/>
              </w:rPr>
              <w:t>acturers</w:t>
            </w:r>
            <w:r w:rsidR="004A4A9E" w:rsidRPr="00216A71">
              <w:rPr>
                <w:rFonts w:cstheme="minorHAnsi"/>
              </w:rPr>
              <w:t xml:space="preserve">, multilateral </w:t>
            </w:r>
            <w:r w:rsidR="00896460" w:rsidRPr="00216A71">
              <w:rPr>
                <w:rFonts w:cstheme="minorHAnsi"/>
              </w:rPr>
              <w:t>bodie</w:t>
            </w:r>
            <w:r w:rsidR="004A4A9E" w:rsidRPr="00216A71">
              <w:rPr>
                <w:rFonts w:cstheme="minorHAnsi"/>
              </w:rPr>
              <w:t xml:space="preserve">s </w:t>
            </w:r>
          </w:p>
        </w:tc>
      </w:tr>
      <w:tr w:rsidR="004A4A9E" w:rsidRPr="00216A71" w:rsidTr="00182B4C">
        <w:trPr>
          <w:trHeight w:val="276"/>
        </w:trPr>
        <w:tc>
          <w:tcPr>
            <w:tcW w:w="3227" w:type="dxa"/>
            <w:vAlign w:val="center"/>
          </w:tcPr>
          <w:p w:rsidR="004A4A9E" w:rsidRPr="00216A71" w:rsidRDefault="004A4A9E" w:rsidP="00182B4C">
            <w:pPr>
              <w:rPr>
                <w:rFonts w:cstheme="minorHAnsi"/>
              </w:rPr>
            </w:pPr>
            <w:r w:rsidRPr="00216A71">
              <w:rPr>
                <w:rFonts w:cstheme="minorHAnsi"/>
              </w:rPr>
              <w:t xml:space="preserve">Grid integration </w:t>
            </w:r>
          </w:p>
        </w:tc>
        <w:tc>
          <w:tcPr>
            <w:tcW w:w="1134" w:type="dxa"/>
            <w:vAlign w:val="center"/>
          </w:tcPr>
          <w:p w:rsidR="004A4A9E" w:rsidRPr="00216A71" w:rsidRDefault="00896460" w:rsidP="00182B4C">
            <w:pPr>
              <w:rPr>
                <w:rFonts w:cstheme="minorHAnsi"/>
              </w:rPr>
            </w:pPr>
            <w:r w:rsidRPr="00216A71">
              <w:rPr>
                <w:rFonts w:cstheme="minorHAnsi"/>
              </w:rPr>
              <w:t>$45</w:t>
            </w:r>
          </w:p>
        </w:tc>
        <w:tc>
          <w:tcPr>
            <w:tcW w:w="5386" w:type="dxa"/>
            <w:vAlign w:val="center"/>
          </w:tcPr>
          <w:p w:rsidR="004A4A9E" w:rsidRPr="00216A71" w:rsidRDefault="004A4A9E" w:rsidP="00182B4C">
            <w:pPr>
              <w:rPr>
                <w:rFonts w:cstheme="minorHAnsi"/>
              </w:rPr>
            </w:pPr>
            <w:r w:rsidRPr="00216A71">
              <w:rPr>
                <w:rFonts w:cstheme="minorHAnsi"/>
              </w:rPr>
              <w:t xml:space="preserve">▪ TSOs, NGOs, regulators, utilities, and equipment suppliers </w:t>
            </w:r>
          </w:p>
        </w:tc>
      </w:tr>
      <w:tr w:rsidR="004A4A9E" w:rsidRPr="00216A71" w:rsidTr="00182B4C">
        <w:trPr>
          <w:trHeight w:val="276"/>
        </w:trPr>
        <w:tc>
          <w:tcPr>
            <w:tcW w:w="3227" w:type="dxa"/>
            <w:vAlign w:val="center"/>
          </w:tcPr>
          <w:p w:rsidR="004A4A9E" w:rsidRPr="00216A71" w:rsidRDefault="004A4A9E" w:rsidP="00182B4C">
            <w:pPr>
              <w:rPr>
                <w:rFonts w:cstheme="minorHAnsi"/>
              </w:rPr>
            </w:pPr>
            <w:r w:rsidRPr="00216A71">
              <w:rPr>
                <w:rFonts w:cstheme="minorHAnsi"/>
              </w:rPr>
              <w:t xml:space="preserve">Industrial waste water </w:t>
            </w:r>
          </w:p>
        </w:tc>
        <w:tc>
          <w:tcPr>
            <w:tcW w:w="1134" w:type="dxa"/>
            <w:vAlign w:val="center"/>
          </w:tcPr>
          <w:p w:rsidR="004A4A9E" w:rsidRPr="00216A71" w:rsidRDefault="00896460" w:rsidP="00201070">
            <w:pPr>
              <w:rPr>
                <w:rFonts w:cstheme="minorHAnsi"/>
              </w:rPr>
            </w:pPr>
            <w:r w:rsidRPr="00216A71">
              <w:rPr>
                <w:rFonts w:cstheme="minorHAnsi"/>
              </w:rPr>
              <w:t>$35</w:t>
            </w:r>
          </w:p>
        </w:tc>
        <w:tc>
          <w:tcPr>
            <w:tcW w:w="5386" w:type="dxa"/>
            <w:vAlign w:val="center"/>
          </w:tcPr>
          <w:p w:rsidR="004A4A9E" w:rsidRPr="00216A71" w:rsidRDefault="004A4A9E" w:rsidP="00182B4C">
            <w:pPr>
              <w:rPr>
                <w:rFonts w:cstheme="minorHAnsi"/>
              </w:rPr>
            </w:pPr>
            <w:r w:rsidRPr="00216A71">
              <w:rPr>
                <w:rFonts w:cstheme="minorHAnsi"/>
              </w:rPr>
              <w:t xml:space="preserve">▪ Wastewater utilities, water-intensive industry, regulators </w:t>
            </w:r>
          </w:p>
        </w:tc>
      </w:tr>
      <w:tr w:rsidR="004A4A9E" w:rsidRPr="00216A71" w:rsidTr="00182B4C">
        <w:trPr>
          <w:trHeight w:val="276"/>
        </w:trPr>
        <w:tc>
          <w:tcPr>
            <w:tcW w:w="3227" w:type="dxa"/>
            <w:vAlign w:val="center"/>
          </w:tcPr>
          <w:p w:rsidR="004A4A9E" w:rsidRPr="00216A71" w:rsidRDefault="00182B4C" w:rsidP="00182B4C">
            <w:pPr>
              <w:rPr>
                <w:rFonts w:cstheme="minorHAnsi"/>
              </w:rPr>
            </w:pPr>
            <w:r w:rsidRPr="00216A71">
              <w:rPr>
                <w:rFonts w:cstheme="minorHAnsi"/>
              </w:rPr>
              <w:t>B</w:t>
            </w:r>
            <w:r w:rsidR="004A4A9E" w:rsidRPr="00216A71">
              <w:rPr>
                <w:rFonts w:cstheme="minorHAnsi"/>
              </w:rPr>
              <w:t xml:space="preserve">io-based fuels </w:t>
            </w:r>
            <w:r w:rsidR="00896460" w:rsidRPr="00216A71">
              <w:rPr>
                <w:rFonts w:cstheme="minorHAnsi"/>
              </w:rPr>
              <w:t xml:space="preserve">&amp; </w:t>
            </w:r>
            <w:r w:rsidR="004A4A9E" w:rsidRPr="00216A71">
              <w:rPr>
                <w:rFonts w:cstheme="minorHAnsi"/>
              </w:rPr>
              <w:t xml:space="preserve">chemicals </w:t>
            </w:r>
          </w:p>
        </w:tc>
        <w:tc>
          <w:tcPr>
            <w:tcW w:w="1134" w:type="dxa"/>
            <w:vAlign w:val="center"/>
          </w:tcPr>
          <w:p w:rsidR="004A4A9E" w:rsidRPr="00216A71" w:rsidRDefault="00896460" w:rsidP="00182B4C">
            <w:pPr>
              <w:rPr>
                <w:rFonts w:cstheme="minorHAnsi"/>
              </w:rPr>
            </w:pPr>
            <w:r w:rsidRPr="00216A71">
              <w:rPr>
                <w:rFonts w:cstheme="minorHAnsi"/>
              </w:rPr>
              <w:t>$10</w:t>
            </w:r>
          </w:p>
        </w:tc>
        <w:tc>
          <w:tcPr>
            <w:tcW w:w="5386" w:type="dxa"/>
            <w:vAlign w:val="center"/>
          </w:tcPr>
          <w:p w:rsidR="004A4A9E" w:rsidRPr="00216A71" w:rsidRDefault="004A4A9E" w:rsidP="00182B4C">
            <w:pPr>
              <w:rPr>
                <w:rFonts w:cstheme="minorHAnsi"/>
              </w:rPr>
            </w:pPr>
            <w:r w:rsidRPr="00216A71">
              <w:rPr>
                <w:rFonts w:cstheme="minorHAnsi"/>
              </w:rPr>
              <w:t xml:space="preserve">▪ Government, biofuel producers, academics </w:t>
            </w:r>
          </w:p>
        </w:tc>
      </w:tr>
    </w:tbl>
    <w:p w:rsidR="000C629A" w:rsidRDefault="00DE5A75" w:rsidP="006154BD">
      <w:pPr>
        <w:rPr>
          <w:rFonts w:cstheme="minorHAnsi"/>
          <w:szCs w:val="20"/>
        </w:rPr>
      </w:pPr>
      <w:r w:rsidRPr="00216A71">
        <w:rPr>
          <w:rFonts w:cstheme="minorHAnsi"/>
          <w:szCs w:val="20"/>
        </w:rPr>
        <w:t xml:space="preserve">Source: McKinsey </w:t>
      </w:r>
      <w:hyperlink r:id="rId120" w:history="1">
        <w:r w:rsidRPr="00216A71">
          <w:rPr>
            <w:rStyle w:val="Hyperlink"/>
            <w:rFonts w:cstheme="minorHAnsi"/>
            <w:szCs w:val="20"/>
          </w:rPr>
          <w:t>Accelerating Green Growth through Public-Private Partnerships</w:t>
        </w:r>
      </w:hyperlink>
    </w:p>
    <w:p w:rsidR="008D1B6E" w:rsidRPr="00216A71" w:rsidRDefault="008D1B6E" w:rsidP="008D1B6E">
      <w:pPr>
        <w:pStyle w:val="Heading7"/>
        <w:rPr>
          <w:rFonts w:asciiTheme="minorHAnsi" w:hAnsiTheme="minorHAnsi" w:cstheme="minorHAnsi"/>
          <w:szCs w:val="20"/>
        </w:rPr>
      </w:pPr>
      <w:r w:rsidRPr="00216A71">
        <w:rPr>
          <w:rFonts w:asciiTheme="minorHAnsi" w:hAnsiTheme="minorHAnsi" w:cstheme="minorHAnsi"/>
          <w:szCs w:val="20"/>
        </w:rPr>
        <w:lastRenderedPageBreak/>
        <w:t>NGOs acting as ‘PPP contact persons’ for 3GF, 2013</w:t>
      </w:r>
    </w:p>
    <w:tbl>
      <w:tblPr>
        <w:tblStyle w:val="TableGrid"/>
        <w:tblW w:w="0" w:type="auto"/>
        <w:tblLayout w:type="fixed"/>
        <w:tblLook w:val="04A0" w:firstRow="1" w:lastRow="0" w:firstColumn="1" w:lastColumn="0" w:noHBand="0" w:noVBand="1"/>
      </w:tblPr>
      <w:tblGrid>
        <w:gridCol w:w="4077"/>
        <w:gridCol w:w="2410"/>
        <w:gridCol w:w="2977"/>
      </w:tblGrid>
      <w:tr w:rsidR="00456977" w:rsidRPr="00216A71" w:rsidTr="00456977">
        <w:tc>
          <w:tcPr>
            <w:tcW w:w="4077" w:type="dxa"/>
          </w:tcPr>
          <w:p w:rsidR="00456977" w:rsidRPr="00216A71" w:rsidRDefault="00456977" w:rsidP="006D54D1">
            <w:pPr>
              <w:rPr>
                <w:rFonts w:cstheme="minorHAnsi"/>
                <w:b/>
                <w:szCs w:val="20"/>
              </w:rPr>
            </w:pPr>
            <w:r w:rsidRPr="00216A71">
              <w:rPr>
                <w:rFonts w:cstheme="minorHAnsi"/>
                <w:b/>
                <w:szCs w:val="20"/>
              </w:rPr>
              <w:t xml:space="preserve"> NGO</w:t>
            </w:r>
          </w:p>
        </w:tc>
        <w:tc>
          <w:tcPr>
            <w:tcW w:w="2410" w:type="dxa"/>
          </w:tcPr>
          <w:p w:rsidR="00456977" w:rsidRPr="00216A71" w:rsidRDefault="00456977" w:rsidP="006D54D1">
            <w:pPr>
              <w:rPr>
                <w:rFonts w:cstheme="minorHAnsi"/>
                <w:b/>
                <w:szCs w:val="20"/>
              </w:rPr>
            </w:pPr>
            <w:r w:rsidRPr="00216A71">
              <w:rPr>
                <w:rFonts w:cstheme="minorHAnsi"/>
                <w:b/>
                <w:szCs w:val="20"/>
              </w:rPr>
              <w:t>Contact</w:t>
            </w:r>
          </w:p>
        </w:tc>
        <w:tc>
          <w:tcPr>
            <w:tcW w:w="2977" w:type="dxa"/>
          </w:tcPr>
          <w:p w:rsidR="00456977" w:rsidRPr="00216A71" w:rsidRDefault="00456977" w:rsidP="006D54D1">
            <w:pPr>
              <w:rPr>
                <w:rFonts w:cstheme="minorHAnsi"/>
                <w:b/>
                <w:szCs w:val="20"/>
              </w:rPr>
            </w:pPr>
            <w:r w:rsidRPr="00216A71">
              <w:rPr>
                <w:rFonts w:cstheme="minorHAnsi"/>
                <w:b/>
                <w:szCs w:val="20"/>
              </w:rPr>
              <w:t>Sector</w:t>
            </w:r>
          </w:p>
        </w:tc>
      </w:tr>
      <w:tr w:rsidR="00456977" w:rsidRPr="00216A71" w:rsidTr="00456977">
        <w:tc>
          <w:tcPr>
            <w:tcW w:w="4077" w:type="dxa"/>
          </w:tcPr>
          <w:p w:rsidR="00456977" w:rsidRPr="00216A71" w:rsidRDefault="00456977" w:rsidP="006D54D1">
            <w:pPr>
              <w:rPr>
                <w:rFonts w:cstheme="minorHAnsi"/>
                <w:szCs w:val="20"/>
              </w:rPr>
            </w:pPr>
            <w:r w:rsidRPr="00216A71">
              <w:rPr>
                <w:rFonts w:cstheme="minorHAnsi"/>
                <w:szCs w:val="20"/>
              </w:rPr>
              <w:t>Danish Nature Agency</w:t>
            </w:r>
          </w:p>
        </w:tc>
        <w:tc>
          <w:tcPr>
            <w:tcW w:w="2410" w:type="dxa"/>
          </w:tcPr>
          <w:p w:rsidR="00456977" w:rsidRPr="00216A71" w:rsidRDefault="00456977" w:rsidP="00456977">
            <w:pPr>
              <w:rPr>
                <w:rFonts w:cstheme="minorHAnsi"/>
                <w:szCs w:val="20"/>
              </w:rPr>
            </w:pPr>
            <w:r w:rsidRPr="00216A71">
              <w:rPr>
                <w:rFonts w:cstheme="minorHAnsi"/>
                <w:szCs w:val="20"/>
              </w:rPr>
              <w:t xml:space="preserve">Christian Hald-Mortensen </w:t>
            </w:r>
          </w:p>
        </w:tc>
        <w:tc>
          <w:tcPr>
            <w:tcW w:w="2977" w:type="dxa"/>
          </w:tcPr>
          <w:p w:rsidR="00456977" w:rsidRPr="00216A71" w:rsidRDefault="00456977" w:rsidP="006D54D1">
            <w:pPr>
              <w:rPr>
                <w:rFonts w:cstheme="minorHAnsi"/>
                <w:szCs w:val="20"/>
              </w:rPr>
            </w:pPr>
            <w:r w:rsidRPr="00216A71">
              <w:rPr>
                <w:rFonts w:cstheme="minorHAnsi"/>
                <w:szCs w:val="20"/>
              </w:rPr>
              <w:t>Water</w:t>
            </w:r>
          </w:p>
        </w:tc>
      </w:tr>
      <w:tr w:rsidR="00456977" w:rsidRPr="00216A71" w:rsidTr="00456977">
        <w:tc>
          <w:tcPr>
            <w:tcW w:w="4077" w:type="dxa"/>
          </w:tcPr>
          <w:p w:rsidR="00456977" w:rsidRPr="00216A71" w:rsidRDefault="00456977" w:rsidP="006D54D1">
            <w:pPr>
              <w:rPr>
                <w:rFonts w:cstheme="minorHAnsi"/>
                <w:szCs w:val="20"/>
              </w:rPr>
            </w:pPr>
            <w:r w:rsidRPr="00216A71">
              <w:rPr>
                <w:rFonts w:cstheme="minorHAnsi"/>
                <w:szCs w:val="20"/>
              </w:rPr>
              <w:t>Stockholm International Water Institute (SIWI)</w:t>
            </w:r>
          </w:p>
        </w:tc>
        <w:tc>
          <w:tcPr>
            <w:tcW w:w="2410" w:type="dxa"/>
          </w:tcPr>
          <w:p w:rsidR="00456977" w:rsidRPr="00216A71" w:rsidRDefault="00456977" w:rsidP="00456977">
            <w:pPr>
              <w:rPr>
                <w:rFonts w:cstheme="minorHAnsi"/>
                <w:szCs w:val="20"/>
              </w:rPr>
            </w:pPr>
            <w:r w:rsidRPr="00216A71">
              <w:rPr>
                <w:rFonts w:cstheme="minorHAnsi"/>
                <w:szCs w:val="20"/>
              </w:rPr>
              <w:t>John Joyce</w:t>
            </w:r>
          </w:p>
        </w:tc>
        <w:tc>
          <w:tcPr>
            <w:tcW w:w="2977" w:type="dxa"/>
          </w:tcPr>
          <w:p w:rsidR="00456977" w:rsidRPr="00216A71" w:rsidRDefault="00456977" w:rsidP="006D54D1">
            <w:pPr>
              <w:rPr>
                <w:rFonts w:cstheme="minorHAnsi"/>
                <w:szCs w:val="20"/>
              </w:rPr>
            </w:pPr>
            <w:r w:rsidRPr="00216A71">
              <w:rPr>
                <w:rFonts w:cstheme="minorHAnsi"/>
                <w:szCs w:val="20"/>
              </w:rPr>
              <w:t>Water Resource Management</w:t>
            </w:r>
          </w:p>
        </w:tc>
      </w:tr>
      <w:tr w:rsidR="00456977" w:rsidRPr="00216A71" w:rsidTr="00456977">
        <w:tc>
          <w:tcPr>
            <w:tcW w:w="4077" w:type="dxa"/>
          </w:tcPr>
          <w:p w:rsidR="00456977" w:rsidRPr="00216A71" w:rsidRDefault="00456977" w:rsidP="006D54D1">
            <w:pPr>
              <w:rPr>
                <w:rFonts w:cstheme="minorHAnsi"/>
                <w:szCs w:val="20"/>
              </w:rPr>
            </w:pPr>
            <w:r w:rsidRPr="00216A71">
              <w:rPr>
                <w:rFonts w:cstheme="minorHAnsi"/>
                <w:szCs w:val="20"/>
              </w:rPr>
              <w:t>World Resources Institute (WRI)</w:t>
            </w:r>
          </w:p>
        </w:tc>
        <w:tc>
          <w:tcPr>
            <w:tcW w:w="2410" w:type="dxa"/>
          </w:tcPr>
          <w:p w:rsidR="00456977" w:rsidRPr="00216A71" w:rsidRDefault="00456977" w:rsidP="00456977">
            <w:pPr>
              <w:rPr>
                <w:rFonts w:cstheme="minorHAnsi"/>
                <w:szCs w:val="20"/>
                <w:lang w:val="fr-FR"/>
              </w:rPr>
            </w:pPr>
            <w:r w:rsidRPr="00216A71">
              <w:rPr>
                <w:rFonts w:cstheme="minorHAnsi"/>
                <w:szCs w:val="20"/>
                <w:lang w:val="fr-FR"/>
              </w:rPr>
              <w:t xml:space="preserve">Craig Hanson </w:t>
            </w:r>
          </w:p>
        </w:tc>
        <w:tc>
          <w:tcPr>
            <w:tcW w:w="2977" w:type="dxa"/>
          </w:tcPr>
          <w:p w:rsidR="00456977" w:rsidRPr="00216A71" w:rsidRDefault="00456977" w:rsidP="00456977">
            <w:pPr>
              <w:rPr>
                <w:rFonts w:cstheme="minorHAnsi"/>
                <w:szCs w:val="20"/>
                <w:lang w:val="fr-FR"/>
              </w:rPr>
            </w:pPr>
            <w:r w:rsidRPr="00216A71">
              <w:rPr>
                <w:rFonts w:cstheme="minorHAnsi"/>
                <w:szCs w:val="20"/>
              </w:rPr>
              <w:t>Waste management</w:t>
            </w:r>
          </w:p>
        </w:tc>
      </w:tr>
      <w:tr w:rsidR="00456977" w:rsidRPr="00216A71" w:rsidTr="00456977">
        <w:tc>
          <w:tcPr>
            <w:tcW w:w="4077" w:type="dxa"/>
          </w:tcPr>
          <w:p w:rsidR="00456977" w:rsidRPr="00216A71" w:rsidRDefault="00456977" w:rsidP="006D54D1">
            <w:pPr>
              <w:rPr>
                <w:rFonts w:cstheme="minorHAnsi"/>
                <w:szCs w:val="20"/>
                <w:lang w:val="fr-FR"/>
              </w:rPr>
            </w:pPr>
            <w:r w:rsidRPr="00216A71">
              <w:rPr>
                <w:rFonts w:cstheme="minorHAnsi"/>
                <w:szCs w:val="20"/>
                <w:lang w:val="es-ES_tradnl"/>
              </w:rPr>
              <w:t>IISD</w:t>
            </w:r>
          </w:p>
        </w:tc>
        <w:tc>
          <w:tcPr>
            <w:tcW w:w="2410" w:type="dxa"/>
          </w:tcPr>
          <w:p w:rsidR="00456977" w:rsidRPr="00216A71" w:rsidRDefault="00456977" w:rsidP="00456977">
            <w:pPr>
              <w:rPr>
                <w:rFonts w:cstheme="minorHAnsi"/>
                <w:szCs w:val="20"/>
                <w:lang w:val="es-ES_tradnl"/>
              </w:rPr>
            </w:pPr>
            <w:r w:rsidRPr="00216A71">
              <w:rPr>
                <w:rFonts w:cstheme="minorHAnsi"/>
                <w:szCs w:val="20"/>
                <w:lang w:val="es-ES_tradnl"/>
              </w:rPr>
              <w:t>Oshani Perera</w:t>
            </w:r>
          </w:p>
        </w:tc>
        <w:tc>
          <w:tcPr>
            <w:tcW w:w="2977" w:type="dxa"/>
          </w:tcPr>
          <w:p w:rsidR="00456977" w:rsidRPr="00216A71" w:rsidRDefault="00456977" w:rsidP="006D54D1">
            <w:pPr>
              <w:rPr>
                <w:rFonts w:cstheme="minorHAnsi"/>
                <w:szCs w:val="20"/>
              </w:rPr>
            </w:pPr>
            <w:r w:rsidRPr="00216A71">
              <w:rPr>
                <w:rFonts w:cstheme="minorHAnsi"/>
                <w:szCs w:val="20"/>
              </w:rPr>
              <w:t>‘Green infrastructure’</w:t>
            </w:r>
          </w:p>
        </w:tc>
      </w:tr>
    </w:tbl>
    <w:p w:rsidR="009515FC" w:rsidRPr="00216A71" w:rsidRDefault="00DE5A75" w:rsidP="008D1B6E">
      <w:pPr>
        <w:rPr>
          <w:rFonts w:cstheme="minorHAnsi"/>
          <w:szCs w:val="20"/>
        </w:rPr>
      </w:pPr>
      <w:r w:rsidRPr="00216A71">
        <w:rPr>
          <w:rFonts w:cstheme="minorHAnsi"/>
          <w:szCs w:val="20"/>
        </w:rPr>
        <w:t>Source: 3GF</w:t>
      </w:r>
      <w:r w:rsidR="004045AD">
        <w:rPr>
          <w:rFonts w:cstheme="minorHAnsi"/>
          <w:szCs w:val="20"/>
        </w:rPr>
        <w:t xml:space="preserve"> </w:t>
      </w:r>
      <w:hyperlink r:id="rId121" w:history="1">
        <w:r w:rsidRPr="00216A71">
          <w:rPr>
            <w:rStyle w:val="Hyperlink"/>
            <w:rFonts w:cstheme="minorHAnsi"/>
            <w:szCs w:val="20"/>
          </w:rPr>
          <w:t>PPP tracks and contact persons 2013</w:t>
        </w:r>
      </w:hyperlink>
      <w:r w:rsidRPr="00216A71">
        <w:rPr>
          <w:rFonts w:cstheme="minorHAnsi"/>
          <w:szCs w:val="20"/>
        </w:rPr>
        <w:t xml:space="preserve"> </w:t>
      </w:r>
    </w:p>
    <w:p w:rsidR="009515FC" w:rsidRPr="00216A71" w:rsidRDefault="009515FC" w:rsidP="00BB23B3">
      <w:pPr>
        <w:pStyle w:val="Heading3"/>
        <w:rPr>
          <w:rFonts w:asciiTheme="minorHAnsi" w:hAnsiTheme="minorHAnsi" w:cstheme="minorHAnsi"/>
          <w:szCs w:val="20"/>
        </w:rPr>
      </w:pPr>
      <w:r w:rsidRPr="00216A71">
        <w:rPr>
          <w:rFonts w:asciiTheme="minorHAnsi" w:hAnsiTheme="minorHAnsi" w:cstheme="minorHAnsi"/>
          <w:szCs w:val="20"/>
        </w:rPr>
        <w:t>PPP</w:t>
      </w:r>
      <w:r w:rsidR="00BB23B3" w:rsidRPr="00216A71">
        <w:rPr>
          <w:rFonts w:asciiTheme="minorHAnsi" w:hAnsiTheme="minorHAnsi" w:cstheme="minorHAnsi"/>
          <w:szCs w:val="20"/>
        </w:rPr>
        <w:t xml:space="preserve">s in </w:t>
      </w:r>
      <w:r w:rsidR="000E505F" w:rsidRPr="00216A71">
        <w:rPr>
          <w:rFonts w:asciiTheme="minorHAnsi" w:hAnsiTheme="minorHAnsi" w:cstheme="minorHAnsi"/>
          <w:szCs w:val="20"/>
        </w:rPr>
        <w:t xml:space="preserve">the </w:t>
      </w:r>
      <w:r w:rsidR="00BB23B3" w:rsidRPr="00216A71">
        <w:rPr>
          <w:rFonts w:asciiTheme="minorHAnsi" w:hAnsiTheme="minorHAnsi" w:cstheme="minorHAnsi"/>
          <w:szCs w:val="20"/>
        </w:rPr>
        <w:t>Caribbean</w:t>
      </w:r>
    </w:p>
    <w:p w:rsidR="000C629A" w:rsidRDefault="00456977" w:rsidP="009515FC">
      <w:pPr>
        <w:rPr>
          <w:rFonts w:cstheme="minorHAnsi"/>
          <w:bCs/>
          <w:szCs w:val="20"/>
        </w:rPr>
      </w:pPr>
      <w:r w:rsidRPr="00216A71">
        <w:rPr>
          <w:rFonts w:cstheme="minorHAnsi"/>
          <w:bCs/>
          <w:szCs w:val="20"/>
        </w:rPr>
        <w:t>The</w:t>
      </w:r>
      <w:r w:rsidR="009515FC" w:rsidRPr="00216A71">
        <w:rPr>
          <w:rFonts w:cstheme="minorHAnsi"/>
          <w:bCs/>
          <w:szCs w:val="20"/>
        </w:rPr>
        <w:t xml:space="preserve"> </w:t>
      </w:r>
      <w:r w:rsidR="009A4436" w:rsidRPr="00216A71">
        <w:rPr>
          <w:rFonts w:cstheme="minorHAnsi"/>
          <w:bCs/>
          <w:szCs w:val="20"/>
        </w:rPr>
        <w:t xml:space="preserve">International Finance Corporation (IFC) </w:t>
      </w:r>
      <w:r w:rsidRPr="00216A71">
        <w:rPr>
          <w:rFonts w:cstheme="minorHAnsi"/>
          <w:bCs/>
          <w:szCs w:val="20"/>
        </w:rPr>
        <w:t>told a</w:t>
      </w:r>
      <w:r w:rsidR="009515FC" w:rsidRPr="00216A71">
        <w:rPr>
          <w:rFonts w:cstheme="minorHAnsi"/>
          <w:bCs/>
          <w:szCs w:val="20"/>
        </w:rPr>
        <w:t xml:space="preserve"> Caribbean conference in 2013</w:t>
      </w:r>
      <w:r w:rsidRPr="00216A71">
        <w:rPr>
          <w:rFonts w:cstheme="minorHAnsi"/>
          <w:bCs/>
          <w:szCs w:val="20"/>
        </w:rPr>
        <w:t xml:space="preserve"> that the ‘challenges’ in developing PPPs in the region includ</w:t>
      </w:r>
      <w:r w:rsidR="009A4436" w:rsidRPr="00216A71">
        <w:rPr>
          <w:rFonts w:cstheme="minorHAnsi"/>
          <w:bCs/>
          <w:szCs w:val="20"/>
        </w:rPr>
        <w:t>ed</w:t>
      </w:r>
      <w:r w:rsidRPr="00216A71">
        <w:rPr>
          <w:rFonts w:cstheme="minorHAnsi"/>
          <w:bCs/>
          <w:szCs w:val="20"/>
        </w:rPr>
        <w:t xml:space="preserve"> ‘lack of political will</w:t>
      </w:r>
      <w:r w:rsidR="00201070">
        <w:rPr>
          <w:rFonts w:cstheme="minorHAnsi"/>
          <w:bCs/>
          <w:szCs w:val="20"/>
        </w:rPr>
        <w:t>.</w:t>
      </w:r>
      <w:r w:rsidRPr="00216A71">
        <w:rPr>
          <w:rFonts w:cstheme="minorHAnsi"/>
          <w:bCs/>
          <w:szCs w:val="20"/>
        </w:rPr>
        <w:t xml:space="preserve">’ </w:t>
      </w:r>
      <w:r w:rsidR="009A4436" w:rsidRPr="00216A71">
        <w:rPr>
          <w:rFonts w:cstheme="minorHAnsi"/>
          <w:bCs/>
          <w:szCs w:val="20"/>
        </w:rPr>
        <w:t>It identified collaboration between IFIs as the key factor in fostering the necessary ‘political support by hos</w:t>
      </w:r>
      <w:r w:rsidR="00BF7FC8" w:rsidRPr="00216A71">
        <w:rPr>
          <w:rFonts w:cstheme="minorHAnsi"/>
          <w:bCs/>
          <w:szCs w:val="20"/>
        </w:rPr>
        <w:t>t country</w:t>
      </w:r>
      <w:r w:rsidR="00201070">
        <w:rPr>
          <w:rFonts w:cstheme="minorHAnsi"/>
          <w:bCs/>
          <w:szCs w:val="20"/>
        </w:rPr>
        <w:t>,</w:t>
      </w:r>
      <w:r w:rsidR="00BF7FC8" w:rsidRPr="00216A71">
        <w:rPr>
          <w:rFonts w:cstheme="minorHAnsi"/>
          <w:bCs/>
          <w:szCs w:val="20"/>
        </w:rPr>
        <w:t xml:space="preserve">’ and explained that </w:t>
      </w:r>
      <w:r w:rsidR="009515FC" w:rsidRPr="00216A71">
        <w:rPr>
          <w:rFonts w:cstheme="minorHAnsi"/>
          <w:bCs/>
          <w:szCs w:val="20"/>
        </w:rPr>
        <w:t>the World Bank,</w:t>
      </w:r>
      <w:r w:rsidR="009E2299" w:rsidRPr="00216A71">
        <w:rPr>
          <w:rFonts w:cstheme="minorHAnsi"/>
          <w:bCs/>
          <w:szCs w:val="20"/>
        </w:rPr>
        <w:t xml:space="preserve"> </w:t>
      </w:r>
      <w:r w:rsidR="009A4436" w:rsidRPr="00216A71">
        <w:rPr>
          <w:rFonts w:cstheme="minorHAnsi"/>
          <w:bCs/>
          <w:szCs w:val="20"/>
        </w:rPr>
        <w:t>IFC</w:t>
      </w:r>
      <w:r w:rsidR="009515FC" w:rsidRPr="00216A71">
        <w:rPr>
          <w:rFonts w:cstheme="minorHAnsi"/>
          <w:bCs/>
          <w:szCs w:val="20"/>
        </w:rPr>
        <w:t>, PPIAF</w:t>
      </w:r>
      <w:r w:rsidR="00F43030" w:rsidRPr="00216A71">
        <w:rPr>
          <w:rFonts w:cstheme="minorHAnsi"/>
          <w:bCs/>
          <w:szCs w:val="20"/>
        </w:rPr>
        <w:t xml:space="preserve"> (the World Bank’s privatisation promotion agency), the</w:t>
      </w:r>
      <w:r w:rsidR="009515FC" w:rsidRPr="00216A71">
        <w:rPr>
          <w:rFonts w:cstheme="minorHAnsi"/>
          <w:bCs/>
          <w:szCs w:val="20"/>
        </w:rPr>
        <w:t xml:space="preserve"> IADB, </w:t>
      </w:r>
      <w:r w:rsidR="00F43030" w:rsidRPr="00216A71">
        <w:rPr>
          <w:rFonts w:cstheme="minorHAnsi"/>
          <w:bCs/>
          <w:szCs w:val="20"/>
        </w:rPr>
        <w:t xml:space="preserve">the </w:t>
      </w:r>
      <w:r w:rsidR="009515FC" w:rsidRPr="00216A71">
        <w:rPr>
          <w:rFonts w:cstheme="minorHAnsi"/>
          <w:bCs/>
          <w:szCs w:val="20"/>
        </w:rPr>
        <w:t>C</w:t>
      </w:r>
      <w:r w:rsidR="005A3A65" w:rsidRPr="00216A71">
        <w:rPr>
          <w:rFonts w:cstheme="minorHAnsi"/>
          <w:bCs/>
          <w:szCs w:val="20"/>
        </w:rPr>
        <w:t xml:space="preserve">ommonwealth </w:t>
      </w:r>
      <w:r w:rsidR="009515FC" w:rsidRPr="00216A71">
        <w:rPr>
          <w:rFonts w:cstheme="minorHAnsi"/>
          <w:bCs/>
          <w:szCs w:val="20"/>
        </w:rPr>
        <w:t>D</w:t>
      </w:r>
      <w:r w:rsidR="005A3A65" w:rsidRPr="00216A71">
        <w:rPr>
          <w:rFonts w:cstheme="minorHAnsi"/>
          <w:bCs/>
          <w:szCs w:val="20"/>
        </w:rPr>
        <w:t xml:space="preserve">evelopment </w:t>
      </w:r>
      <w:r w:rsidR="009515FC" w:rsidRPr="00216A71">
        <w:rPr>
          <w:rFonts w:cstheme="minorHAnsi"/>
          <w:bCs/>
          <w:szCs w:val="20"/>
        </w:rPr>
        <w:t>B</w:t>
      </w:r>
      <w:r w:rsidR="005A3A65" w:rsidRPr="00216A71">
        <w:rPr>
          <w:rFonts w:cstheme="minorHAnsi"/>
          <w:bCs/>
          <w:szCs w:val="20"/>
        </w:rPr>
        <w:t>ank (CDB)</w:t>
      </w:r>
      <w:r w:rsidR="009515FC" w:rsidRPr="00216A71">
        <w:rPr>
          <w:rFonts w:cstheme="minorHAnsi"/>
          <w:bCs/>
          <w:szCs w:val="20"/>
        </w:rPr>
        <w:t>, and donors USA, Canada, EU and UK</w:t>
      </w:r>
      <w:r w:rsidR="009A4436" w:rsidRPr="00216A71">
        <w:rPr>
          <w:rFonts w:cstheme="minorHAnsi"/>
          <w:bCs/>
          <w:szCs w:val="20"/>
        </w:rPr>
        <w:t xml:space="preserve"> were all ‘collaborating closely’ to achieve this.</w:t>
      </w:r>
      <w:r w:rsidR="009515FC" w:rsidRPr="00216A71">
        <w:rPr>
          <w:rFonts w:cstheme="minorHAnsi"/>
          <w:bCs/>
          <w:szCs w:val="20"/>
        </w:rPr>
        <w:t xml:space="preserve"> </w:t>
      </w:r>
    </w:p>
    <w:p w:rsidR="000C629A" w:rsidRDefault="009515FC" w:rsidP="001E4A41">
      <w:pPr>
        <w:rPr>
          <w:rFonts w:cstheme="minorHAnsi"/>
          <w:bCs/>
          <w:szCs w:val="20"/>
        </w:rPr>
      </w:pPr>
      <w:r w:rsidRPr="00216A71">
        <w:rPr>
          <w:rFonts w:cstheme="minorHAnsi"/>
          <w:bCs/>
          <w:szCs w:val="20"/>
        </w:rPr>
        <w:t xml:space="preserve">Jamaica, </w:t>
      </w:r>
      <w:r w:rsidR="009A4436" w:rsidRPr="00216A71">
        <w:rPr>
          <w:rFonts w:cstheme="minorHAnsi"/>
          <w:bCs/>
          <w:szCs w:val="20"/>
        </w:rPr>
        <w:t xml:space="preserve">like other Caribbean countries, </w:t>
      </w:r>
      <w:r w:rsidRPr="00216A71">
        <w:rPr>
          <w:rFonts w:cstheme="minorHAnsi"/>
          <w:bCs/>
          <w:szCs w:val="20"/>
        </w:rPr>
        <w:t xml:space="preserve">has been </w:t>
      </w:r>
      <w:r w:rsidR="00DC0718" w:rsidRPr="00216A71">
        <w:rPr>
          <w:rFonts w:cstheme="minorHAnsi"/>
          <w:bCs/>
          <w:szCs w:val="20"/>
        </w:rPr>
        <w:t xml:space="preserve">experiencing this </w:t>
      </w:r>
      <w:r w:rsidRPr="00216A71">
        <w:rPr>
          <w:rFonts w:cstheme="minorHAnsi"/>
          <w:bCs/>
          <w:szCs w:val="20"/>
        </w:rPr>
        <w:t xml:space="preserve">pressure </w:t>
      </w:r>
      <w:r w:rsidR="009A4436" w:rsidRPr="00216A71">
        <w:rPr>
          <w:rFonts w:cstheme="minorHAnsi"/>
          <w:bCs/>
          <w:szCs w:val="20"/>
        </w:rPr>
        <w:t>for some years</w:t>
      </w:r>
      <w:r w:rsidRPr="00216A71">
        <w:rPr>
          <w:rFonts w:cstheme="minorHAnsi"/>
          <w:bCs/>
          <w:szCs w:val="20"/>
        </w:rPr>
        <w:t>.</w:t>
      </w:r>
      <w:r w:rsidR="004045AD">
        <w:rPr>
          <w:rFonts w:cstheme="minorHAnsi"/>
          <w:bCs/>
          <w:szCs w:val="20"/>
        </w:rPr>
        <w:t xml:space="preserve"> </w:t>
      </w:r>
      <w:r w:rsidRPr="00216A71">
        <w:rPr>
          <w:rFonts w:cstheme="minorHAnsi"/>
          <w:bCs/>
          <w:szCs w:val="20"/>
        </w:rPr>
        <w:t xml:space="preserve">In 2007, a report </w:t>
      </w:r>
      <w:r w:rsidR="009D3466" w:rsidRPr="00216A71">
        <w:rPr>
          <w:rFonts w:cstheme="minorHAnsi"/>
          <w:bCs/>
          <w:szCs w:val="20"/>
        </w:rPr>
        <w:t xml:space="preserve">by the World Bank and the PPIAF </w:t>
      </w:r>
      <w:r w:rsidR="009A4436" w:rsidRPr="00216A71">
        <w:rPr>
          <w:rFonts w:cstheme="minorHAnsi"/>
          <w:bCs/>
          <w:szCs w:val="20"/>
        </w:rPr>
        <w:t xml:space="preserve">criticised the country </w:t>
      </w:r>
      <w:r w:rsidRPr="00216A71">
        <w:rPr>
          <w:rFonts w:cstheme="minorHAnsi"/>
          <w:bCs/>
          <w:szCs w:val="20"/>
        </w:rPr>
        <w:t xml:space="preserve">for failing to deliver PPPs. </w:t>
      </w:r>
      <w:r w:rsidR="001E4A41" w:rsidRPr="00216A71">
        <w:rPr>
          <w:rFonts w:cstheme="minorHAnsi"/>
          <w:bCs/>
          <w:szCs w:val="20"/>
        </w:rPr>
        <w:t>The IADB later paid a private consultancy, Castalia, to formulate a new procedure on PPPs for Jamaica, under which the World Bank and the PPIAF identify and screen potential projects, while the IFC helps Jamaica prepare the projects, manage the tendering process, evaluate the bids, and award the contracts. In addition, the IADB is spending $347,000 to train civil servants in the benefits of PPPs, and the IFC in 2013 offered further training in the benefits of PPPs, at a regional centre of PPP excellence, to be funded by the CDB.</w:t>
      </w:r>
    </w:p>
    <w:p w:rsidR="000C629A" w:rsidRDefault="009515FC" w:rsidP="009E2299">
      <w:pPr>
        <w:rPr>
          <w:rFonts w:cstheme="minorHAnsi"/>
          <w:szCs w:val="20"/>
        </w:rPr>
      </w:pPr>
      <w:r w:rsidRPr="00216A71">
        <w:rPr>
          <w:rFonts w:cstheme="minorHAnsi"/>
          <w:bCs/>
          <w:szCs w:val="20"/>
        </w:rPr>
        <w:t>The government</w:t>
      </w:r>
      <w:r w:rsidR="00DC0718" w:rsidRPr="00216A71">
        <w:rPr>
          <w:rFonts w:cstheme="minorHAnsi"/>
          <w:bCs/>
          <w:szCs w:val="20"/>
        </w:rPr>
        <w:t xml:space="preserve"> </w:t>
      </w:r>
      <w:r w:rsidR="00BB23B3" w:rsidRPr="00216A71">
        <w:rPr>
          <w:rFonts w:cstheme="minorHAnsi"/>
          <w:bCs/>
          <w:szCs w:val="20"/>
        </w:rPr>
        <w:t xml:space="preserve">subsequently </w:t>
      </w:r>
      <w:r w:rsidR="00DC0718" w:rsidRPr="00216A71">
        <w:rPr>
          <w:rFonts w:cstheme="minorHAnsi"/>
          <w:bCs/>
          <w:szCs w:val="20"/>
        </w:rPr>
        <w:t xml:space="preserve">tried to set up </w:t>
      </w:r>
      <w:r w:rsidRPr="00216A71">
        <w:rPr>
          <w:rFonts w:cstheme="minorHAnsi"/>
          <w:bCs/>
          <w:szCs w:val="20"/>
        </w:rPr>
        <w:t>PPP</w:t>
      </w:r>
      <w:r w:rsidR="00BB23B3" w:rsidRPr="00216A71">
        <w:rPr>
          <w:rFonts w:cstheme="minorHAnsi"/>
          <w:bCs/>
          <w:szCs w:val="20"/>
        </w:rPr>
        <w:t xml:space="preserve">s, including one </w:t>
      </w:r>
      <w:r w:rsidRPr="00216A71">
        <w:rPr>
          <w:rFonts w:cstheme="minorHAnsi"/>
          <w:bCs/>
          <w:szCs w:val="20"/>
        </w:rPr>
        <w:t xml:space="preserve">for a </w:t>
      </w:r>
      <w:r w:rsidR="00DC0718" w:rsidRPr="00216A71">
        <w:rPr>
          <w:rFonts w:cstheme="minorHAnsi"/>
          <w:bCs/>
          <w:szCs w:val="20"/>
        </w:rPr>
        <w:t xml:space="preserve">completely </w:t>
      </w:r>
      <w:r w:rsidRPr="00216A71">
        <w:rPr>
          <w:rFonts w:cstheme="minorHAnsi"/>
          <w:bCs/>
          <w:szCs w:val="20"/>
        </w:rPr>
        <w:t xml:space="preserve">new port, to be built and operated by a Chinese firm, </w:t>
      </w:r>
      <w:r w:rsidRPr="00216A71">
        <w:rPr>
          <w:rFonts w:cstheme="minorHAnsi"/>
          <w:iCs/>
          <w:szCs w:val="20"/>
        </w:rPr>
        <w:t>CHEC (China Harbour Engineering Company)</w:t>
      </w:r>
      <w:r w:rsidR="0000166B" w:rsidRPr="00216A71">
        <w:rPr>
          <w:rFonts w:cstheme="minorHAnsi"/>
          <w:iCs/>
          <w:szCs w:val="20"/>
        </w:rPr>
        <w:t xml:space="preserve">, which was expected to take advantage of the planned new canal across </w:t>
      </w:r>
      <w:r w:rsidR="00FF6D63" w:rsidRPr="00216A71">
        <w:rPr>
          <w:rFonts w:cstheme="minorHAnsi"/>
          <w:iCs/>
          <w:szCs w:val="20"/>
        </w:rPr>
        <w:t>Central</w:t>
      </w:r>
      <w:r w:rsidR="0000166B" w:rsidRPr="00216A71">
        <w:rPr>
          <w:rFonts w:cstheme="minorHAnsi"/>
          <w:iCs/>
          <w:szCs w:val="20"/>
        </w:rPr>
        <w:t xml:space="preserve"> America.</w:t>
      </w:r>
      <w:r w:rsidR="00BB23B3" w:rsidRPr="00216A71">
        <w:rPr>
          <w:rFonts w:cstheme="minorHAnsi"/>
          <w:iCs/>
          <w:szCs w:val="20"/>
        </w:rPr>
        <w:t xml:space="preserve"> B</w:t>
      </w:r>
      <w:r w:rsidR="00DC0718" w:rsidRPr="00216A71">
        <w:rPr>
          <w:rFonts w:cstheme="minorHAnsi"/>
          <w:iCs/>
          <w:szCs w:val="20"/>
        </w:rPr>
        <w:t xml:space="preserve">ut in </w:t>
      </w:r>
      <w:r w:rsidRPr="00216A71">
        <w:rPr>
          <w:rFonts w:cstheme="minorHAnsi"/>
          <w:iCs/>
          <w:szCs w:val="20"/>
        </w:rPr>
        <w:t>2013 CHEC pulled out saying it no longer suited their corporate strategy.</w:t>
      </w:r>
      <w:r w:rsidR="004045AD">
        <w:rPr>
          <w:rFonts w:cstheme="minorHAnsi"/>
          <w:iCs/>
          <w:szCs w:val="20"/>
        </w:rPr>
        <w:t xml:space="preserve"> </w:t>
      </w:r>
      <w:r w:rsidR="009E2299" w:rsidRPr="00216A71">
        <w:rPr>
          <w:rFonts w:cstheme="minorHAnsi"/>
          <w:bCs/>
          <w:szCs w:val="20"/>
        </w:rPr>
        <w:t xml:space="preserve">Jamaica is now in the process of tendering for </w:t>
      </w:r>
      <w:r w:rsidR="00FF6D63" w:rsidRPr="00216A71">
        <w:rPr>
          <w:rFonts w:cstheme="minorHAnsi"/>
          <w:bCs/>
          <w:szCs w:val="20"/>
        </w:rPr>
        <w:t>another port</w:t>
      </w:r>
      <w:r w:rsidR="009E2299" w:rsidRPr="00216A71">
        <w:rPr>
          <w:rFonts w:cstheme="minorHAnsi"/>
          <w:bCs/>
          <w:szCs w:val="20"/>
        </w:rPr>
        <w:t xml:space="preserve"> PPP, Kingston Container Terminals, for which companies from France, Dubai and Singapore have been short-listed. </w:t>
      </w:r>
    </w:p>
    <w:p w:rsidR="009E2299" w:rsidRPr="00216A71" w:rsidRDefault="009515FC" w:rsidP="009E2299">
      <w:pPr>
        <w:rPr>
          <w:rFonts w:cstheme="minorHAnsi"/>
          <w:szCs w:val="20"/>
        </w:rPr>
      </w:pPr>
      <w:r w:rsidRPr="00216A71">
        <w:rPr>
          <w:rFonts w:cstheme="minorHAnsi"/>
          <w:iCs/>
          <w:szCs w:val="20"/>
        </w:rPr>
        <w:t>The Jamaica</w:t>
      </w:r>
      <w:r w:rsidR="004045AD">
        <w:rPr>
          <w:rFonts w:cstheme="minorHAnsi"/>
          <w:iCs/>
          <w:szCs w:val="20"/>
        </w:rPr>
        <w:t xml:space="preserve"> </w:t>
      </w:r>
      <w:r w:rsidRPr="00216A71">
        <w:rPr>
          <w:rFonts w:cstheme="minorHAnsi"/>
          <w:bCs/>
          <w:iCs/>
          <w:szCs w:val="20"/>
        </w:rPr>
        <w:t>Civil Society Coalition published a damning critique of the policy, under the title ‘Whose plan for Jamaica is it anyway?’</w:t>
      </w:r>
      <w:r w:rsidR="00B94CE0">
        <w:rPr>
          <w:rFonts w:cstheme="minorHAnsi"/>
          <w:bCs/>
          <w:iCs/>
          <w:szCs w:val="20"/>
        </w:rPr>
        <w:t xml:space="preserve"> T</w:t>
      </w:r>
      <w:r w:rsidR="00FA23A4">
        <w:rPr>
          <w:rFonts w:cstheme="minorHAnsi"/>
          <w:bCs/>
          <w:iCs/>
          <w:szCs w:val="20"/>
        </w:rPr>
        <w:t>he report said</w:t>
      </w:r>
      <w:r w:rsidRPr="00216A71">
        <w:rPr>
          <w:rFonts w:cstheme="minorHAnsi"/>
          <w:bCs/>
          <w:iCs/>
          <w:szCs w:val="20"/>
        </w:rPr>
        <w:t>,</w:t>
      </w:r>
      <w:r w:rsidR="00B94CE0">
        <w:rPr>
          <w:rFonts w:cstheme="minorHAnsi"/>
          <w:bCs/>
          <w:iCs/>
          <w:szCs w:val="20"/>
        </w:rPr>
        <w:t xml:space="preserve"> </w:t>
      </w:r>
      <w:r w:rsidRPr="00216A71">
        <w:rPr>
          <w:rFonts w:cstheme="minorHAnsi"/>
          <w:bCs/>
          <w:iCs/>
          <w:szCs w:val="20"/>
        </w:rPr>
        <w:t>“</w:t>
      </w:r>
      <w:r w:rsidR="00B94CE0">
        <w:rPr>
          <w:rFonts w:cstheme="minorHAnsi"/>
          <w:bCs/>
          <w:iCs/>
          <w:szCs w:val="20"/>
        </w:rPr>
        <w:t>I</w:t>
      </w:r>
      <w:r w:rsidRPr="00216A71">
        <w:rPr>
          <w:rFonts w:cstheme="minorHAnsi"/>
          <w:szCs w:val="20"/>
        </w:rPr>
        <w:t>t appears that Jamaica has no plan of its own, but is prepared to go wherever the investor wind blows. This is no way for a country to manage its resources.”</w:t>
      </w:r>
      <w:r w:rsidR="00192C03" w:rsidRPr="00216A71">
        <w:rPr>
          <w:rStyle w:val="EndnoteReference"/>
          <w:rFonts w:cstheme="minorHAnsi"/>
          <w:bCs/>
          <w:szCs w:val="20"/>
        </w:rPr>
        <w:endnoteReference w:id="91"/>
      </w:r>
    </w:p>
    <w:p w:rsidR="000C64CB" w:rsidRPr="00216A71" w:rsidRDefault="000C64CB" w:rsidP="00BB23B3">
      <w:pPr>
        <w:pStyle w:val="Heading3"/>
        <w:rPr>
          <w:rFonts w:asciiTheme="minorHAnsi" w:hAnsiTheme="minorHAnsi" w:cstheme="minorHAnsi"/>
          <w:szCs w:val="20"/>
        </w:rPr>
      </w:pPr>
      <w:r w:rsidRPr="00216A71">
        <w:rPr>
          <w:rFonts w:asciiTheme="minorHAnsi" w:hAnsiTheme="minorHAnsi" w:cstheme="minorHAnsi"/>
          <w:szCs w:val="20"/>
        </w:rPr>
        <w:t>PPPs in North Africa</w:t>
      </w:r>
    </w:p>
    <w:p w:rsidR="000C629A" w:rsidRDefault="00FA4962" w:rsidP="000A6315">
      <w:pPr>
        <w:rPr>
          <w:rFonts w:cstheme="minorHAnsi"/>
          <w:szCs w:val="20"/>
        </w:rPr>
      </w:pPr>
      <w:r w:rsidRPr="00216A71">
        <w:rPr>
          <w:rFonts w:cstheme="minorHAnsi"/>
          <w:szCs w:val="20"/>
        </w:rPr>
        <w:t xml:space="preserve">The </w:t>
      </w:r>
      <w:r w:rsidR="0076727C" w:rsidRPr="00216A71">
        <w:rPr>
          <w:rFonts w:cstheme="minorHAnsi"/>
          <w:szCs w:val="20"/>
        </w:rPr>
        <w:t xml:space="preserve">USA, the </w:t>
      </w:r>
      <w:r w:rsidRPr="00216A71">
        <w:rPr>
          <w:rFonts w:cstheme="minorHAnsi"/>
          <w:szCs w:val="20"/>
        </w:rPr>
        <w:t xml:space="preserve">EU and the IFIs, especially the </w:t>
      </w:r>
      <w:r w:rsidR="00FA23A4">
        <w:rPr>
          <w:rFonts w:cstheme="minorHAnsi"/>
          <w:szCs w:val="20"/>
        </w:rPr>
        <w:t>European Investment Bank (</w:t>
      </w:r>
      <w:r w:rsidRPr="00216A71">
        <w:rPr>
          <w:rFonts w:cstheme="minorHAnsi"/>
          <w:szCs w:val="20"/>
        </w:rPr>
        <w:t>E</w:t>
      </w:r>
      <w:r w:rsidR="00BF7FC8" w:rsidRPr="00216A71">
        <w:rPr>
          <w:rFonts w:cstheme="minorHAnsi"/>
          <w:szCs w:val="20"/>
        </w:rPr>
        <w:t>IB</w:t>
      </w:r>
      <w:r w:rsidR="00FA23A4">
        <w:rPr>
          <w:rFonts w:cstheme="minorHAnsi"/>
          <w:szCs w:val="20"/>
        </w:rPr>
        <w:t>)</w:t>
      </w:r>
      <w:r w:rsidR="00BF7FC8" w:rsidRPr="00216A71">
        <w:rPr>
          <w:rFonts w:cstheme="minorHAnsi"/>
          <w:szCs w:val="20"/>
        </w:rPr>
        <w:t>, had been promoting PPPs in N</w:t>
      </w:r>
      <w:r w:rsidRPr="00216A71">
        <w:rPr>
          <w:rFonts w:cstheme="minorHAnsi"/>
          <w:szCs w:val="20"/>
        </w:rPr>
        <w:t xml:space="preserve">orth Africa for many years before the democratic uprisings of the Arab spring in 2011. </w:t>
      </w:r>
      <w:bookmarkStart w:id="21" w:name="_Toc374451090"/>
      <w:r w:rsidR="000A6315" w:rsidRPr="00216A71">
        <w:rPr>
          <w:rFonts w:cstheme="minorHAnsi"/>
          <w:szCs w:val="20"/>
        </w:rPr>
        <w:t xml:space="preserve">PPPs were being developed on a large scale, and by 2008 </w:t>
      </w:r>
      <w:r w:rsidR="00BF7FC8" w:rsidRPr="00216A71">
        <w:rPr>
          <w:rFonts w:cstheme="minorHAnsi"/>
          <w:szCs w:val="20"/>
        </w:rPr>
        <w:t>“</w:t>
      </w:r>
      <w:r w:rsidR="000A6315" w:rsidRPr="00216A71">
        <w:rPr>
          <w:rFonts w:cstheme="minorHAnsi"/>
          <w:szCs w:val="20"/>
        </w:rPr>
        <w:t>the PPP ‘pipeline’ in health, education, social infrastructure and medical facilities was up to 32 projects and $15.3 billion.”</w:t>
      </w:r>
      <w:r w:rsidR="004045AD">
        <w:rPr>
          <w:rFonts w:cstheme="minorHAnsi"/>
          <w:szCs w:val="20"/>
        </w:rPr>
        <w:t xml:space="preserve"> </w:t>
      </w:r>
    </w:p>
    <w:p w:rsidR="000C629A" w:rsidRDefault="000A6315" w:rsidP="000A6315">
      <w:pPr>
        <w:rPr>
          <w:rFonts w:cstheme="minorHAnsi"/>
          <w:szCs w:val="20"/>
        </w:rPr>
      </w:pPr>
      <w:r w:rsidRPr="00216A71">
        <w:rPr>
          <w:rFonts w:cstheme="minorHAnsi"/>
          <w:szCs w:val="20"/>
        </w:rPr>
        <w:t>With the help of the IFC</w:t>
      </w:r>
      <w:r w:rsidR="00FA23A4">
        <w:rPr>
          <w:rFonts w:cstheme="minorHAnsi"/>
          <w:szCs w:val="20"/>
        </w:rPr>
        <w:t>,</w:t>
      </w:r>
      <w:r w:rsidRPr="00216A71">
        <w:rPr>
          <w:rFonts w:cstheme="minorHAnsi"/>
          <w:szCs w:val="20"/>
        </w:rPr>
        <w:t xml:space="preserve"> “The Mubarak regime launched a ‘Supportive Legislative Environment’ for PPPs, including a PPP Authority, which promoted use and administered tenders.</w:t>
      </w:r>
      <w:r w:rsidR="00FA23A4">
        <w:rPr>
          <w:rFonts w:cstheme="minorHAnsi"/>
          <w:szCs w:val="20"/>
        </w:rPr>
        <w:t>”</w:t>
      </w:r>
      <w:r w:rsidRPr="00216A71">
        <w:rPr>
          <w:rFonts w:cstheme="minorHAnsi"/>
          <w:szCs w:val="20"/>
        </w:rPr>
        <w:t xml:space="preserve"> </w:t>
      </w:r>
      <w:r w:rsidR="00FA23A4">
        <w:rPr>
          <w:rFonts w:cstheme="minorHAnsi"/>
          <w:szCs w:val="20"/>
        </w:rPr>
        <w:t>This included “</w:t>
      </w:r>
      <w:r w:rsidRPr="00216A71">
        <w:rPr>
          <w:rFonts w:cstheme="minorHAnsi"/>
          <w:szCs w:val="20"/>
        </w:rPr>
        <w:t>paying companies for the costs of preparing tenders, a fund for lending to PPP projects, and a ‘viability gap fund’ to subsidise PPPs.”</w:t>
      </w:r>
      <w:r w:rsidRPr="00216A71">
        <w:rPr>
          <w:rStyle w:val="EndnoteReference"/>
          <w:rFonts w:cstheme="minorHAnsi"/>
          <w:szCs w:val="20"/>
        </w:rPr>
        <w:endnoteReference w:id="92"/>
      </w:r>
      <w:r w:rsidR="00BB23B3" w:rsidRPr="00216A71">
        <w:rPr>
          <w:rFonts w:cstheme="minorHAnsi"/>
          <w:szCs w:val="20"/>
        </w:rPr>
        <w:t xml:space="preserve"> </w:t>
      </w:r>
    </w:p>
    <w:p w:rsidR="000C629A" w:rsidRDefault="00FA4962" w:rsidP="009537B9">
      <w:pPr>
        <w:rPr>
          <w:rFonts w:cstheme="minorHAnsi"/>
          <w:szCs w:val="20"/>
        </w:rPr>
      </w:pPr>
      <w:r w:rsidRPr="00216A71">
        <w:rPr>
          <w:rFonts w:cstheme="minorHAnsi"/>
          <w:szCs w:val="20"/>
        </w:rPr>
        <w:t>In February 2011, in the midst of the uprisings, the</w:t>
      </w:r>
      <w:r w:rsidR="00BB23B3" w:rsidRPr="00216A71">
        <w:rPr>
          <w:rFonts w:cstheme="minorHAnsi"/>
          <w:szCs w:val="20"/>
        </w:rPr>
        <w:t xml:space="preserve"> EIB and the OECD organised a workshop on PPPs in the Mediterranean region, which was also attended by the IFC. It was advertised as the “launch of an ambitious PPP programme in the region by the EIB</w:t>
      </w:r>
      <w:r w:rsidR="00FA23A4">
        <w:rPr>
          <w:rFonts w:cstheme="minorHAnsi"/>
          <w:szCs w:val="20"/>
        </w:rPr>
        <w:t>.</w:t>
      </w:r>
      <w:r w:rsidR="00BB23B3" w:rsidRPr="00216A71">
        <w:rPr>
          <w:rFonts w:cstheme="minorHAnsi"/>
          <w:szCs w:val="20"/>
        </w:rPr>
        <w:t>”</w:t>
      </w:r>
      <w:r w:rsidR="004045AD">
        <w:rPr>
          <w:rFonts w:cstheme="minorHAnsi"/>
          <w:szCs w:val="20"/>
        </w:rPr>
        <w:t xml:space="preserve"> </w:t>
      </w:r>
      <w:r w:rsidR="00BB23B3" w:rsidRPr="00216A71">
        <w:rPr>
          <w:rFonts w:cstheme="minorHAnsi"/>
          <w:szCs w:val="20"/>
        </w:rPr>
        <w:t>Presentations identified IPPs in electricity, renewable energy projects,</w:t>
      </w:r>
      <w:r w:rsidR="004045AD">
        <w:rPr>
          <w:rFonts w:cstheme="minorHAnsi"/>
          <w:szCs w:val="20"/>
        </w:rPr>
        <w:t xml:space="preserve"> </w:t>
      </w:r>
      <w:r w:rsidR="00BB23B3" w:rsidRPr="00216A71">
        <w:rPr>
          <w:rFonts w:cstheme="minorHAnsi"/>
          <w:szCs w:val="20"/>
        </w:rPr>
        <w:t>water treatment plants and desalination plants as the main sectors for PPPs.</w:t>
      </w:r>
      <w:r w:rsidR="004045AD">
        <w:rPr>
          <w:rFonts w:cstheme="minorHAnsi"/>
          <w:szCs w:val="20"/>
        </w:rPr>
        <w:t xml:space="preserve"> </w:t>
      </w:r>
      <w:r w:rsidR="0076727C" w:rsidRPr="00216A71">
        <w:rPr>
          <w:rFonts w:cstheme="minorHAnsi"/>
          <w:szCs w:val="20"/>
        </w:rPr>
        <w:t>T</w:t>
      </w:r>
      <w:r w:rsidR="00BB23B3" w:rsidRPr="00216A71">
        <w:rPr>
          <w:rFonts w:cstheme="minorHAnsi"/>
          <w:szCs w:val="20"/>
        </w:rPr>
        <w:t xml:space="preserve">he EIB produced a detailed review of laws and practices on PPPs in Mediterranean countries, while no less than two conferences were organised in Morocco in May 2011 on the subject of PPPs, one of them by </w:t>
      </w:r>
      <w:r w:rsidR="00FA23A4">
        <w:rPr>
          <w:rFonts w:cstheme="minorHAnsi"/>
          <w:szCs w:val="20"/>
        </w:rPr>
        <w:t>the EIB’s Facility for Euro-Mediterranean Investment and Partnership (</w:t>
      </w:r>
      <w:r w:rsidR="00BB23B3" w:rsidRPr="00216A71">
        <w:rPr>
          <w:rFonts w:cstheme="minorHAnsi"/>
          <w:szCs w:val="20"/>
        </w:rPr>
        <w:t>FEMIP</w:t>
      </w:r>
      <w:r w:rsidR="00FA23A4">
        <w:rPr>
          <w:rFonts w:cstheme="minorHAnsi"/>
          <w:szCs w:val="20"/>
        </w:rPr>
        <w:t>)</w:t>
      </w:r>
      <w:r w:rsidR="00BB23B3" w:rsidRPr="00216A71">
        <w:rPr>
          <w:rFonts w:cstheme="minorHAnsi"/>
          <w:szCs w:val="20"/>
        </w:rPr>
        <w:t>.</w:t>
      </w:r>
      <w:r w:rsidR="00BB23B3" w:rsidRPr="00216A71">
        <w:rPr>
          <w:rFonts w:cstheme="minorHAnsi"/>
          <w:szCs w:val="20"/>
          <w:vertAlign w:val="superscript"/>
        </w:rPr>
        <w:endnoteReference w:id="93"/>
      </w:r>
      <w:r w:rsidR="00BF7FC8" w:rsidRPr="00216A71">
        <w:rPr>
          <w:rFonts w:cstheme="minorHAnsi"/>
          <w:szCs w:val="20"/>
        </w:rPr>
        <w:t xml:space="preserve"> The USA promised an extra $1 </w:t>
      </w:r>
      <w:r w:rsidR="009537B9" w:rsidRPr="00216A71">
        <w:rPr>
          <w:rFonts w:cstheme="minorHAnsi"/>
          <w:szCs w:val="20"/>
        </w:rPr>
        <w:t xml:space="preserve">billion in aid from the </w:t>
      </w:r>
      <w:r w:rsidR="00FA23A4">
        <w:rPr>
          <w:rFonts w:cstheme="minorHAnsi"/>
          <w:szCs w:val="20"/>
        </w:rPr>
        <w:t>Overseas Private Investment Corporation (</w:t>
      </w:r>
      <w:r w:rsidR="009537B9" w:rsidRPr="00216A71">
        <w:rPr>
          <w:rFonts w:cstheme="minorHAnsi"/>
          <w:szCs w:val="20"/>
        </w:rPr>
        <w:t>OPIC</w:t>
      </w:r>
      <w:r w:rsidR="00FA23A4">
        <w:rPr>
          <w:rFonts w:cstheme="minorHAnsi"/>
          <w:szCs w:val="20"/>
        </w:rPr>
        <w:t>)</w:t>
      </w:r>
      <w:r w:rsidR="009537B9" w:rsidRPr="00216A71">
        <w:rPr>
          <w:rFonts w:cstheme="minorHAnsi"/>
          <w:szCs w:val="20"/>
        </w:rPr>
        <w:t xml:space="preserve"> to be used “to identify Egyptian government owned enterprises investing in public‐private partnerships (PPPs) in order to promote growth in mutually agreed‐upon sectors of the Egyptian economy.”</w:t>
      </w:r>
      <w:r w:rsidR="004045AD">
        <w:rPr>
          <w:rFonts w:cstheme="minorHAnsi"/>
          <w:szCs w:val="20"/>
        </w:rPr>
        <w:t xml:space="preserve"> </w:t>
      </w:r>
      <w:r w:rsidR="009537B9" w:rsidRPr="00216A71">
        <w:rPr>
          <w:rFonts w:cstheme="minorHAnsi"/>
          <w:szCs w:val="20"/>
        </w:rPr>
        <w:t xml:space="preserve">The USA had earlier promised that OPIC would </w:t>
      </w:r>
      <w:r w:rsidR="009537B9" w:rsidRPr="00216A71">
        <w:rPr>
          <w:rFonts w:cstheme="minorHAnsi"/>
          <w:szCs w:val="20"/>
        </w:rPr>
        <w:lastRenderedPageBreak/>
        <w:t>invest “up to $2 billion in financial support to catalyze private sector investment in the Middle East and No</w:t>
      </w:r>
      <w:r w:rsidR="006B65C5" w:rsidRPr="00216A71">
        <w:rPr>
          <w:rFonts w:cstheme="minorHAnsi"/>
          <w:szCs w:val="20"/>
        </w:rPr>
        <w:t>rth Africa region</w:t>
      </w:r>
      <w:r w:rsidR="00FA23A4">
        <w:rPr>
          <w:rFonts w:cstheme="minorHAnsi"/>
          <w:szCs w:val="20"/>
        </w:rPr>
        <w:t>.</w:t>
      </w:r>
      <w:r w:rsidR="006B65C5" w:rsidRPr="00216A71">
        <w:rPr>
          <w:rFonts w:cstheme="minorHAnsi"/>
          <w:szCs w:val="20"/>
        </w:rPr>
        <w:t>”</w:t>
      </w:r>
      <w:r w:rsidR="009537B9" w:rsidRPr="00216A71">
        <w:rPr>
          <w:rFonts w:cstheme="minorHAnsi"/>
          <w:szCs w:val="20"/>
          <w:vertAlign w:val="superscript"/>
        </w:rPr>
        <w:endnoteReference w:id="94"/>
      </w:r>
    </w:p>
    <w:p w:rsidR="000C629A" w:rsidRDefault="00B51D2D" w:rsidP="00B51D2D">
      <w:pPr>
        <w:rPr>
          <w:rFonts w:cstheme="minorHAnsi"/>
          <w:szCs w:val="20"/>
        </w:rPr>
      </w:pPr>
      <w:r w:rsidRPr="00216A71">
        <w:rPr>
          <w:rFonts w:cstheme="minorHAnsi"/>
          <w:szCs w:val="20"/>
        </w:rPr>
        <w:t xml:space="preserve">In May 2011, a conference of the richest countries in the world (the G8) </w:t>
      </w:r>
      <w:r w:rsidR="009537B9" w:rsidRPr="00216A71">
        <w:rPr>
          <w:rFonts w:cstheme="minorHAnsi"/>
          <w:szCs w:val="20"/>
        </w:rPr>
        <w:t>was held in Deauville, France.</w:t>
      </w:r>
      <w:r w:rsidR="004045AD">
        <w:rPr>
          <w:rFonts w:cstheme="minorHAnsi"/>
          <w:szCs w:val="20"/>
        </w:rPr>
        <w:t xml:space="preserve"> </w:t>
      </w:r>
      <w:r w:rsidR="009537B9" w:rsidRPr="00216A71">
        <w:rPr>
          <w:rFonts w:cstheme="minorHAnsi"/>
          <w:szCs w:val="20"/>
        </w:rPr>
        <w:t xml:space="preserve">It </w:t>
      </w:r>
      <w:r w:rsidRPr="00216A71">
        <w:rPr>
          <w:rFonts w:cstheme="minorHAnsi"/>
          <w:szCs w:val="20"/>
        </w:rPr>
        <w:t>agreed to encourage loans worth $20</w:t>
      </w:r>
      <w:r w:rsidR="00BF7FC8" w:rsidRPr="00216A71">
        <w:rPr>
          <w:rFonts w:cstheme="minorHAnsi"/>
          <w:szCs w:val="20"/>
        </w:rPr>
        <w:t xml:space="preserve"> </w:t>
      </w:r>
      <w:r w:rsidRPr="00216A71">
        <w:rPr>
          <w:rFonts w:cstheme="minorHAnsi"/>
          <w:szCs w:val="20"/>
        </w:rPr>
        <w:t>billion</w:t>
      </w:r>
      <w:r w:rsidR="004045AD">
        <w:rPr>
          <w:rFonts w:cstheme="minorHAnsi"/>
          <w:szCs w:val="20"/>
        </w:rPr>
        <w:t xml:space="preserve"> </w:t>
      </w:r>
      <w:r w:rsidRPr="00216A71">
        <w:rPr>
          <w:rFonts w:cstheme="minorHAnsi"/>
          <w:szCs w:val="20"/>
        </w:rPr>
        <w:t>by development banks to Egypt and Tunisia.</w:t>
      </w:r>
      <w:r w:rsidR="004045AD">
        <w:rPr>
          <w:rFonts w:cstheme="minorHAnsi"/>
          <w:szCs w:val="20"/>
        </w:rPr>
        <w:t xml:space="preserve"> </w:t>
      </w:r>
      <w:r w:rsidRPr="00216A71">
        <w:rPr>
          <w:rFonts w:cstheme="minorHAnsi"/>
          <w:szCs w:val="20"/>
        </w:rPr>
        <w:t xml:space="preserve">But </w:t>
      </w:r>
      <w:r w:rsidR="009537B9" w:rsidRPr="00216A71">
        <w:rPr>
          <w:rFonts w:cstheme="minorHAnsi"/>
          <w:szCs w:val="20"/>
        </w:rPr>
        <w:t xml:space="preserve">it </w:t>
      </w:r>
      <w:r w:rsidRPr="00216A71">
        <w:rPr>
          <w:rFonts w:cstheme="minorHAnsi"/>
          <w:szCs w:val="20"/>
        </w:rPr>
        <w:t>was also agreed that the IMF would provide a framework for the coordination of loans from the World Bank, the African Development Bank, the European Investment Bank / FEMIP, the European Bank for Reconstruction and Development (EBRD), the Islamic Development Bank and aid from donor countries.</w:t>
      </w:r>
      <w:r w:rsidR="004045AD">
        <w:rPr>
          <w:rFonts w:cstheme="minorHAnsi"/>
          <w:szCs w:val="20"/>
        </w:rPr>
        <w:t xml:space="preserve"> </w:t>
      </w:r>
      <w:r w:rsidRPr="00216A71">
        <w:rPr>
          <w:rFonts w:cstheme="minorHAnsi"/>
          <w:szCs w:val="20"/>
        </w:rPr>
        <w:t>As a result, Arab countries are now faced with a consolidated international consortium of international financial institutions led by rich countries and the IMF.</w:t>
      </w:r>
      <w:r w:rsidR="004045AD">
        <w:rPr>
          <w:rFonts w:cstheme="minorHAnsi"/>
          <w:szCs w:val="20"/>
        </w:rPr>
        <w:t xml:space="preserve"> </w:t>
      </w:r>
      <w:r w:rsidRPr="00216A71">
        <w:rPr>
          <w:rFonts w:cstheme="minorHAnsi"/>
          <w:szCs w:val="20"/>
        </w:rPr>
        <w:t>This group effectively controls access to the great majority of the world’s development funds, and is in a powerful position to impose policy conditions on access to these funds, including the privatization of infrastructure through PPPs.</w:t>
      </w:r>
      <w:r w:rsidR="004045AD">
        <w:rPr>
          <w:rFonts w:cstheme="minorHAnsi"/>
          <w:szCs w:val="20"/>
        </w:rPr>
        <w:t xml:space="preserve"> </w:t>
      </w:r>
    </w:p>
    <w:p w:rsidR="000C629A" w:rsidRDefault="00B51D2D" w:rsidP="00BD45E4">
      <w:pPr>
        <w:rPr>
          <w:rFonts w:cstheme="minorHAnsi"/>
          <w:szCs w:val="20"/>
        </w:rPr>
      </w:pPr>
      <w:r w:rsidRPr="00216A71">
        <w:rPr>
          <w:rFonts w:cstheme="minorHAnsi"/>
          <w:szCs w:val="20"/>
        </w:rPr>
        <w:t xml:space="preserve">The IMF offer of a loan </w:t>
      </w:r>
      <w:r w:rsidR="00BD45E4" w:rsidRPr="00216A71">
        <w:rPr>
          <w:rFonts w:cstheme="minorHAnsi"/>
          <w:szCs w:val="20"/>
        </w:rPr>
        <w:t xml:space="preserve">has been </w:t>
      </w:r>
      <w:r w:rsidRPr="00216A71">
        <w:rPr>
          <w:rFonts w:cstheme="minorHAnsi"/>
          <w:szCs w:val="20"/>
        </w:rPr>
        <w:t>strongly resisted by social movements</w:t>
      </w:r>
      <w:r w:rsidR="00BD45E4" w:rsidRPr="00216A71">
        <w:rPr>
          <w:rFonts w:cstheme="minorHAnsi"/>
          <w:szCs w:val="20"/>
        </w:rPr>
        <w:t>.</w:t>
      </w:r>
      <w:r w:rsidR="004045AD">
        <w:rPr>
          <w:rFonts w:cstheme="minorHAnsi"/>
          <w:szCs w:val="20"/>
        </w:rPr>
        <w:t xml:space="preserve"> </w:t>
      </w:r>
      <w:r w:rsidR="00BD45E4" w:rsidRPr="00216A71">
        <w:rPr>
          <w:rFonts w:cstheme="minorHAnsi"/>
          <w:szCs w:val="20"/>
        </w:rPr>
        <w:t>This resistance forced the post-uprising military government to withdraw from their planned agreement with the IMF in 2011. P</w:t>
      </w:r>
      <w:r w:rsidRPr="00216A71">
        <w:rPr>
          <w:rFonts w:cstheme="minorHAnsi"/>
          <w:szCs w:val="20"/>
        </w:rPr>
        <w:t xml:space="preserve">resident Morsi </w:t>
      </w:r>
      <w:r w:rsidR="007B56A0" w:rsidRPr="00216A71">
        <w:rPr>
          <w:rFonts w:cstheme="minorHAnsi"/>
          <w:szCs w:val="20"/>
        </w:rPr>
        <w:t xml:space="preserve">finally </w:t>
      </w:r>
      <w:r w:rsidR="00BD45E4" w:rsidRPr="00216A71">
        <w:rPr>
          <w:rFonts w:cstheme="minorHAnsi"/>
          <w:szCs w:val="20"/>
        </w:rPr>
        <w:t xml:space="preserve">announced he would </w:t>
      </w:r>
      <w:r w:rsidR="007B56A0" w:rsidRPr="00216A71">
        <w:rPr>
          <w:rFonts w:cstheme="minorHAnsi"/>
          <w:szCs w:val="20"/>
        </w:rPr>
        <w:t xml:space="preserve">agree </w:t>
      </w:r>
      <w:r w:rsidRPr="00216A71">
        <w:rPr>
          <w:rFonts w:cstheme="minorHAnsi"/>
          <w:szCs w:val="20"/>
        </w:rPr>
        <w:t>to the loan</w:t>
      </w:r>
      <w:r w:rsidR="00BD45E4" w:rsidRPr="00216A71">
        <w:rPr>
          <w:rFonts w:cstheme="minorHAnsi"/>
          <w:szCs w:val="20"/>
        </w:rPr>
        <w:t xml:space="preserve"> in 2013, and one day later </w:t>
      </w:r>
      <w:r w:rsidR="007B56A0" w:rsidRPr="00216A71">
        <w:rPr>
          <w:rFonts w:cstheme="minorHAnsi"/>
          <w:szCs w:val="20"/>
        </w:rPr>
        <w:t>granted himself extensive immunities and powers “to take any measures he sees fit to protect the country’s national unity, national security and the revolution.”</w:t>
      </w:r>
      <w:r w:rsidR="004045AD">
        <w:rPr>
          <w:rFonts w:cstheme="minorHAnsi"/>
          <w:szCs w:val="20"/>
        </w:rPr>
        <w:t xml:space="preserve"> </w:t>
      </w:r>
      <w:r w:rsidR="00BD45E4" w:rsidRPr="00216A71">
        <w:rPr>
          <w:rFonts w:cstheme="minorHAnsi"/>
          <w:szCs w:val="20"/>
        </w:rPr>
        <w:t xml:space="preserve">However, </w:t>
      </w:r>
      <w:r w:rsidR="007B56A0" w:rsidRPr="00216A71">
        <w:rPr>
          <w:rFonts w:cstheme="minorHAnsi"/>
          <w:szCs w:val="20"/>
        </w:rPr>
        <w:t>this led to the second uprising, which led to the overthrow of Morsi himself</w:t>
      </w:r>
      <w:r w:rsidR="00BD45E4" w:rsidRPr="00216A71">
        <w:rPr>
          <w:rFonts w:cstheme="minorHAnsi"/>
          <w:szCs w:val="20"/>
        </w:rPr>
        <w:t xml:space="preserve"> – as a result of which the </w:t>
      </w:r>
      <w:r w:rsidRPr="00216A71">
        <w:rPr>
          <w:rFonts w:cstheme="minorHAnsi"/>
          <w:szCs w:val="20"/>
        </w:rPr>
        <w:t xml:space="preserve">IMF loan is once again uncertain. And meanwhile, the EU has dropped a reference to PPPs in the conditions of its aid for the water sector, </w:t>
      </w:r>
      <w:r w:rsidR="00BD45E4" w:rsidRPr="00216A71">
        <w:rPr>
          <w:rFonts w:cstheme="minorHAnsi"/>
          <w:szCs w:val="20"/>
        </w:rPr>
        <w:t>partly because of the resistance:</w:t>
      </w:r>
      <w:r w:rsidR="00BD45E4" w:rsidRPr="00216A71">
        <w:rPr>
          <w:rStyle w:val="EndnoteReference"/>
          <w:rFonts w:cstheme="minorHAnsi"/>
          <w:szCs w:val="20"/>
        </w:rPr>
        <w:endnoteReference w:id="95"/>
      </w:r>
    </w:p>
    <w:p w:rsidR="00BD45E4" w:rsidRPr="00216A71" w:rsidRDefault="00BD45E4" w:rsidP="00713C54">
      <w:pPr>
        <w:ind w:firstLine="360"/>
        <w:rPr>
          <w:rFonts w:cstheme="minorHAnsi"/>
          <w:szCs w:val="20"/>
        </w:rPr>
      </w:pPr>
      <w:r w:rsidRPr="00216A71">
        <w:rPr>
          <w:rFonts w:cstheme="minorHAnsi"/>
          <w:szCs w:val="20"/>
        </w:rPr>
        <w:t>“</w:t>
      </w:r>
      <w:r w:rsidR="00FA23A4">
        <w:rPr>
          <w:rFonts w:cstheme="minorHAnsi"/>
          <w:szCs w:val="20"/>
        </w:rPr>
        <w:t>A</w:t>
      </w:r>
      <w:r w:rsidRPr="00216A71">
        <w:rPr>
          <w:rFonts w:cstheme="minorHAnsi"/>
          <w:szCs w:val="20"/>
        </w:rPr>
        <w:t xml:space="preserve"> number of factors have brought the initiation of PPP operations to a virtual halt:</w:t>
      </w:r>
    </w:p>
    <w:p w:rsidR="00BD45E4" w:rsidRPr="00216A71" w:rsidRDefault="00FA23A4" w:rsidP="00781FBC">
      <w:pPr>
        <w:pStyle w:val="ListParagraph"/>
        <w:numPr>
          <w:ilvl w:val="0"/>
          <w:numId w:val="32"/>
        </w:numPr>
        <w:rPr>
          <w:rFonts w:cstheme="minorHAnsi"/>
          <w:szCs w:val="20"/>
        </w:rPr>
      </w:pPr>
      <w:r>
        <w:rPr>
          <w:rFonts w:cstheme="minorHAnsi"/>
          <w:szCs w:val="20"/>
        </w:rPr>
        <w:t>“</w:t>
      </w:r>
      <w:r w:rsidR="00BD45E4" w:rsidRPr="00216A71">
        <w:rPr>
          <w:rFonts w:cstheme="minorHAnsi"/>
          <w:szCs w:val="20"/>
        </w:rPr>
        <w:t>Cancellation of ongoing or already attributed tenders on suspicions of frauds</w:t>
      </w:r>
      <w:r>
        <w:rPr>
          <w:rFonts w:cstheme="minorHAnsi"/>
          <w:szCs w:val="20"/>
        </w:rPr>
        <w:t>.</w:t>
      </w:r>
    </w:p>
    <w:p w:rsidR="00BD45E4" w:rsidRPr="00216A71" w:rsidRDefault="00FA23A4" w:rsidP="00781FBC">
      <w:pPr>
        <w:pStyle w:val="ListParagraph"/>
        <w:numPr>
          <w:ilvl w:val="0"/>
          <w:numId w:val="32"/>
        </w:numPr>
        <w:rPr>
          <w:rFonts w:cstheme="minorHAnsi"/>
          <w:szCs w:val="20"/>
        </w:rPr>
      </w:pPr>
      <w:r>
        <w:rPr>
          <w:rFonts w:cstheme="minorHAnsi"/>
          <w:szCs w:val="20"/>
        </w:rPr>
        <w:t>“</w:t>
      </w:r>
      <w:r w:rsidR="00BD45E4" w:rsidRPr="00216A71">
        <w:rPr>
          <w:rFonts w:cstheme="minorHAnsi"/>
          <w:szCs w:val="20"/>
        </w:rPr>
        <w:t>Deteriorated investment climate due to political and financial uncertainties</w:t>
      </w:r>
      <w:r>
        <w:rPr>
          <w:rFonts w:cstheme="minorHAnsi"/>
          <w:szCs w:val="20"/>
        </w:rPr>
        <w:t>.</w:t>
      </w:r>
    </w:p>
    <w:p w:rsidR="00BD45E4" w:rsidRPr="00216A71" w:rsidRDefault="00FA23A4" w:rsidP="00781FBC">
      <w:pPr>
        <w:pStyle w:val="ListParagraph"/>
        <w:numPr>
          <w:ilvl w:val="0"/>
          <w:numId w:val="32"/>
        </w:numPr>
        <w:rPr>
          <w:rFonts w:cstheme="minorHAnsi"/>
          <w:szCs w:val="20"/>
        </w:rPr>
      </w:pPr>
      <w:r>
        <w:rPr>
          <w:rFonts w:cstheme="minorHAnsi"/>
          <w:szCs w:val="20"/>
        </w:rPr>
        <w:t>“</w:t>
      </w:r>
      <w:r w:rsidR="00BD45E4" w:rsidRPr="00216A71">
        <w:rPr>
          <w:rFonts w:cstheme="minorHAnsi"/>
          <w:szCs w:val="20"/>
        </w:rPr>
        <w:t>Lack of long term visibility on the policies of future governing bodies towards private investors</w:t>
      </w:r>
      <w:r>
        <w:rPr>
          <w:rFonts w:cstheme="minorHAnsi"/>
          <w:szCs w:val="20"/>
        </w:rPr>
        <w:t>.</w:t>
      </w:r>
      <w:r w:rsidR="002D36B2" w:rsidRPr="00216A71">
        <w:rPr>
          <w:rFonts w:cstheme="minorHAnsi"/>
          <w:szCs w:val="20"/>
        </w:rPr>
        <w:t>”</w:t>
      </w:r>
    </w:p>
    <w:p w:rsidR="000C64CB" w:rsidRPr="00216A71" w:rsidRDefault="000C64CB" w:rsidP="000C64CB">
      <w:pPr>
        <w:pStyle w:val="Heading6"/>
        <w:rPr>
          <w:rFonts w:cstheme="minorHAnsi"/>
          <w:szCs w:val="20"/>
        </w:rPr>
      </w:pPr>
      <w:r w:rsidRPr="00216A71">
        <w:rPr>
          <w:rFonts w:cstheme="minorHAnsi"/>
          <w:szCs w:val="20"/>
        </w:rPr>
        <w:t>Demands on Tunisia</w:t>
      </w:r>
      <w:bookmarkEnd w:id="21"/>
    </w:p>
    <w:p w:rsidR="000C64CB" w:rsidRPr="00216A71" w:rsidRDefault="000C64CB" w:rsidP="000C64CB">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When President Hollande of France visited Tunisia in July 2013, he was accompanied by a group of leading French companies who met with the ministers of economy and finance. Their priority was PPPs:</w:t>
      </w:r>
      <w:r w:rsidR="004045AD">
        <w:rPr>
          <w:rFonts w:cstheme="minorHAnsi"/>
          <w:szCs w:val="20"/>
        </w:rPr>
        <w:t xml:space="preserve"> </w:t>
      </w:r>
    </w:p>
    <w:p w:rsidR="000E505F" w:rsidRPr="00216A71" w:rsidRDefault="000C64CB" w:rsidP="00182B4C">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“Th</w:t>
      </w:r>
      <w:r w:rsidR="000E505F" w:rsidRPr="00216A71">
        <w:rPr>
          <w:rFonts w:cstheme="minorHAnsi"/>
          <w:szCs w:val="20"/>
        </w:rPr>
        <w:t>e first speaker was Denis Simonn</w:t>
      </w:r>
      <w:r w:rsidRPr="00216A71">
        <w:rPr>
          <w:rFonts w:cstheme="minorHAnsi"/>
          <w:szCs w:val="20"/>
        </w:rPr>
        <w:t>eau of GDF Suez, who asked about Tunisia’s plans for public-private partnerships (PPP), which he wanted to be implemented as quickly as possible.</w:t>
      </w:r>
      <w:r w:rsidR="004045AD">
        <w:rPr>
          <w:rFonts w:cstheme="minorHAnsi"/>
          <w:szCs w:val="20"/>
        </w:rPr>
        <w:t xml:space="preserve"> </w:t>
      </w:r>
      <w:r w:rsidRPr="00216A71">
        <w:rPr>
          <w:rFonts w:cstheme="minorHAnsi"/>
          <w:szCs w:val="20"/>
        </w:rPr>
        <w:t>Saidi [minister for the economy] said that a bill on PPPs is before the National Constituent Assembly and is one of the government’s 10 top legislative priorities: We really want to see it adopted, he added, especially as we have a series of major projects to start as soon as possible, for example the logi</w:t>
      </w:r>
      <w:r w:rsidR="009E450B" w:rsidRPr="00216A71">
        <w:rPr>
          <w:rFonts w:cstheme="minorHAnsi"/>
          <w:szCs w:val="20"/>
        </w:rPr>
        <w:t>stics hub of the port of Rades…</w:t>
      </w:r>
      <w:r w:rsidR="004045AD">
        <w:rPr>
          <w:rFonts w:cstheme="minorHAnsi"/>
          <w:szCs w:val="20"/>
        </w:rPr>
        <w:t xml:space="preserve"> </w:t>
      </w:r>
      <w:r w:rsidRPr="00216A71">
        <w:rPr>
          <w:rFonts w:cstheme="minorHAnsi"/>
          <w:szCs w:val="20"/>
        </w:rPr>
        <w:t>The international vice-president of Sanofi</w:t>
      </w:r>
      <w:r w:rsidR="004045AD">
        <w:rPr>
          <w:rFonts w:cstheme="minorHAnsi"/>
          <w:szCs w:val="20"/>
        </w:rPr>
        <w:t xml:space="preserve"> </w:t>
      </w:r>
      <w:r w:rsidRPr="00216A71">
        <w:rPr>
          <w:rFonts w:cstheme="minorHAnsi"/>
          <w:szCs w:val="20"/>
        </w:rPr>
        <w:t>wanted to work with PPPs in healthcare programmes, for example for cancer or diabetes</w:t>
      </w:r>
      <w:r w:rsidR="00FA23A4">
        <w:rPr>
          <w:rFonts w:cstheme="minorHAnsi"/>
          <w:szCs w:val="20"/>
        </w:rPr>
        <w:t>.</w:t>
      </w:r>
      <w:r w:rsidRPr="00216A71">
        <w:rPr>
          <w:rFonts w:cstheme="minorHAnsi"/>
          <w:szCs w:val="20"/>
        </w:rPr>
        <w:t>…”</w:t>
      </w:r>
    </w:p>
    <w:p w:rsidR="005C377E" w:rsidRPr="00216A71" w:rsidRDefault="000C64CB" w:rsidP="000C64CB">
      <w:pPr>
        <w:pBdr>
          <w:top w:val="single" w:sz="4" w:space="1" w:color="auto"/>
          <w:left w:val="single" w:sz="4" w:space="4" w:color="auto"/>
          <w:bottom w:val="single" w:sz="4" w:space="1" w:color="auto"/>
          <w:right w:val="single" w:sz="4" w:space="4" w:color="auto"/>
        </w:pBdr>
        <w:rPr>
          <w:rFonts w:cstheme="minorHAnsi"/>
          <w:bCs/>
          <w:szCs w:val="20"/>
          <w:lang w:val="fr-FR"/>
        </w:rPr>
      </w:pPr>
      <w:r w:rsidRPr="00216A71">
        <w:rPr>
          <w:rFonts w:cstheme="minorHAnsi"/>
          <w:bCs/>
          <w:szCs w:val="20"/>
          <w:lang w:val="fr-FR"/>
        </w:rPr>
        <w:t>Leaders 2013-07-05</w:t>
      </w:r>
      <w:hyperlink r:id="rId122" w:history="1">
        <w:r w:rsidRPr="00216A71">
          <w:rPr>
            <w:rStyle w:val="Hyperlink"/>
            <w:rFonts w:cstheme="minorHAnsi"/>
            <w:szCs w:val="20"/>
            <w:lang w:val="fr-FR"/>
          </w:rPr>
          <w:t xml:space="preserve"> Ce que les chefs d'entreprise français demandent à la Tunisie</w:t>
        </w:r>
      </w:hyperlink>
    </w:p>
    <w:p w:rsidR="00A65038" w:rsidRPr="00216A71" w:rsidRDefault="00A65038" w:rsidP="0080036E">
      <w:pPr>
        <w:pStyle w:val="Heading2"/>
        <w:rPr>
          <w:rFonts w:asciiTheme="minorHAnsi" w:hAnsiTheme="minorHAnsi" w:cstheme="minorHAnsi"/>
          <w:szCs w:val="20"/>
        </w:rPr>
      </w:pPr>
      <w:bookmarkStart w:id="22" w:name="_Toc374451091"/>
      <w:bookmarkStart w:id="23" w:name="_Toc392857531"/>
      <w:r w:rsidRPr="00216A71">
        <w:rPr>
          <w:rFonts w:asciiTheme="minorHAnsi" w:hAnsiTheme="minorHAnsi" w:cstheme="minorHAnsi"/>
          <w:szCs w:val="20"/>
        </w:rPr>
        <w:t>R</w:t>
      </w:r>
      <w:r w:rsidR="005940E8" w:rsidRPr="00216A71">
        <w:rPr>
          <w:rFonts w:asciiTheme="minorHAnsi" w:hAnsiTheme="minorHAnsi" w:cstheme="minorHAnsi"/>
          <w:szCs w:val="20"/>
        </w:rPr>
        <w:t>esistance</w:t>
      </w:r>
      <w:bookmarkEnd w:id="23"/>
    </w:p>
    <w:p w:rsidR="000C629A" w:rsidRDefault="00BF036D" w:rsidP="00A65038">
      <w:pPr>
        <w:rPr>
          <w:rFonts w:cstheme="minorHAnsi"/>
          <w:szCs w:val="20"/>
        </w:rPr>
      </w:pPr>
      <w:r w:rsidRPr="00216A71">
        <w:rPr>
          <w:rFonts w:cstheme="minorHAnsi"/>
          <w:szCs w:val="20"/>
        </w:rPr>
        <w:t>This PPP-promoting network is facing increasingly vocal opposition from many major NGOs at global and national level</w:t>
      </w:r>
      <w:r w:rsidR="00982DFA">
        <w:rPr>
          <w:rFonts w:cstheme="minorHAnsi"/>
          <w:szCs w:val="20"/>
        </w:rPr>
        <w:t>s</w:t>
      </w:r>
      <w:r w:rsidRPr="00216A71">
        <w:rPr>
          <w:rFonts w:cstheme="minorHAnsi"/>
          <w:szCs w:val="20"/>
        </w:rPr>
        <w:t xml:space="preserve">, as well as encountering strong national resistance. </w:t>
      </w:r>
    </w:p>
    <w:p w:rsidR="000C629A" w:rsidRDefault="00BF036D" w:rsidP="00326552">
      <w:pPr>
        <w:rPr>
          <w:rFonts w:cstheme="minorHAnsi"/>
          <w:szCs w:val="20"/>
        </w:rPr>
      </w:pPr>
      <w:r w:rsidRPr="00216A71">
        <w:rPr>
          <w:rFonts w:cstheme="minorHAnsi"/>
          <w:szCs w:val="20"/>
        </w:rPr>
        <w:t xml:space="preserve">In the past year, </w:t>
      </w:r>
      <w:r w:rsidR="00A33280" w:rsidRPr="00216A71">
        <w:rPr>
          <w:rFonts w:cstheme="minorHAnsi"/>
          <w:szCs w:val="20"/>
        </w:rPr>
        <w:t xml:space="preserve">many </w:t>
      </w:r>
      <w:r w:rsidRPr="00216A71">
        <w:rPr>
          <w:rFonts w:cstheme="minorHAnsi"/>
          <w:szCs w:val="20"/>
        </w:rPr>
        <w:t>international NGOs concerned with development have published a series of reports critical of the effect of PPPs in developing countries.</w:t>
      </w:r>
      <w:r w:rsidR="004045AD">
        <w:rPr>
          <w:rFonts w:cstheme="minorHAnsi"/>
          <w:szCs w:val="20"/>
        </w:rPr>
        <w:t xml:space="preserve"> </w:t>
      </w:r>
      <w:r w:rsidR="00C21627" w:rsidRPr="00216A71">
        <w:rPr>
          <w:rFonts w:cstheme="minorHAnsi"/>
          <w:szCs w:val="20"/>
        </w:rPr>
        <w:t>The</w:t>
      </w:r>
      <w:r w:rsidR="00F2359C" w:rsidRPr="00216A71">
        <w:rPr>
          <w:rFonts w:cstheme="minorHAnsi"/>
          <w:szCs w:val="20"/>
        </w:rPr>
        <w:t xml:space="preserve">y </w:t>
      </w:r>
      <w:r w:rsidR="00C21627" w:rsidRPr="00216A71">
        <w:rPr>
          <w:rFonts w:cstheme="minorHAnsi"/>
          <w:szCs w:val="20"/>
        </w:rPr>
        <w:t>raise a number of concerns:</w:t>
      </w:r>
    </w:p>
    <w:p w:rsidR="00C21627" w:rsidRPr="00216A71" w:rsidRDefault="00C21627" w:rsidP="00781FBC">
      <w:pPr>
        <w:pStyle w:val="ListParagraph"/>
        <w:numPr>
          <w:ilvl w:val="0"/>
          <w:numId w:val="37"/>
        </w:numPr>
        <w:rPr>
          <w:rFonts w:cstheme="minorHAnsi"/>
          <w:szCs w:val="20"/>
        </w:rPr>
      </w:pPr>
      <w:r w:rsidRPr="00216A71">
        <w:rPr>
          <w:rFonts w:cstheme="minorHAnsi"/>
          <w:szCs w:val="20"/>
        </w:rPr>
        <w:t>PPPs add to the long-term debt of developing countries, at the same time as undermining the public sector provision of services</w:t>
      </w:r>
      <w:r w:rsidR="00982DFA">
        <w:rPr>
          <w:rFonts w:cstheme="minorHAnsi"/>
          <w:szCs w:val="20"/>
        </w:rPr>
        <w:t>.</w:t>
      </w:r>
    </w:p>
    <w:p w:rsidR="00C21627" w:rsidRPr="00216A71" w:rsidRDefault="00C21627" w:rsidP="00781FBC">
      <w:pPr>
        <w:pStyle w:val="ListParagraph"/>
        <w:numPr>
          <w:ilvl w:val="0"/>
          <w:numId w:val="37"/>
        </w:numPr>
        <w:rPr>
          <w:rFonts w:cstheme="minorHAnsi"/>
          <w:szCs w:val="20"/>
        </w:rPr>
      </w:pPr>
      <w:r w:rsidRPr="00216A71">
        <w:rPr>
          <w:rFonts w:cstheme="minorHAnsi"/>
          <w:szCs w:val="20"/>
        </w:rPr>
        <w:t>Private finance and PPPs focus on profitable projects at the expense of the needs of the poor</w:t>
      </w:r>
      <w:r w:rsidR="00982DFA">
        <w:rPr>
          <w:rFonts w:cstheme="minorHAnsi"/>
          <w:szCs w:val="20"/>
        </w:rPr>
        <w:t>.</w:t>
      </w:r>
    </w:p>
    <w:p w:rsidR="00C21627" w:rsidRPr="00216A71" w:rsidRDefault="009E450B" w:rsidP="00781FBC">
      <w:pPr>
        <w:pStyle w:val="ListParagraph"/>
        <w:numPr>
          <w:ilvl w:val="0"/>
          <w:numId w:val="37"/>
        </w:numPr>
        <w:rPr>
          <w:rFonts w:cstheme="minorHAnsi"/>
          <w:szCs w:val="20"/>
        </w:rPr>
      </w:pPr>
      <w:r w:rsidRPr="00216A71">
        <w:rPr>
          <w:rFonts w:cstheme="minorHAnsi"/>
          <w:szCs w:val="20"/>
        </w:rPr>
        <w:t>Channelling</w:t>
      </w:r>
      <w:r w:rsidR="00C21627" w:rsidRPr="00216A71">
        <w:rPr>
          <w:rFonts w:cstheme="minorHAnsi"/>
          <w:szCs w:val="20"/>
        </w:rPr>
        <w:t xml:space="preserve"> public money through private funds leads to a loss of transparency, </w:t>
      </w:r>
      <w:r w:rsidR="00A33280" w:rsidRPr="00216A71">
        <w:rPr>
          <w:rFonts w:cstheme="minorHAnsi"/>
          <w:szCs w:val="20"/>
        </w:rPr>
        <w:t>and</w:t>
      </w:r>
      <w:r w:rsidR="00C21627" w:rsidRPr="00216A71">
        <w:rPr>
          <w:rFonts w:cstheme="minorHAnsi"/>
          <w:szCs w:val="20"/>
        </w:rPr>
        <w:t xml:space="preserve"> ‘leveraging’ private finance</w:t>
      </w:r>
      <w:r w:rsidR="00A33280" w:rsidRPr="00216A71">
        <w:rPr>
          <w:rFonts w:cstheme="minorHAnsi"/>
          <w:szCs w:val="20"/>
        </w:rPr>
        <w:t xml:space="preserve"> may just mean reinforcing private investment strategies</w:t>
      </w:r>
      <w:r w:rsidR="00982DFA">
        <w:rPr>
          <w:rFonts w:cstheme="minorHAnsi"/>
          <w:szCs w:val="20"/>
        </w:rPr>
        <w:t>.</w:t>
      </w:r>
    </w:p>
    <w:p w:rsidR="00C21627" w:rsidRPr="00216A71" w:rsidRDefault="00D150F3" w:rsidP="00781FBC">
      <w:pPr>
        <w:pStyle w:val="ListParagraph"/>
        <w:numPr>
          <w:ilvl w:val="0"/>
          <w:numId w:val="37"/>
        </w:numPr>
        <w:rPr>
          <w:rFonts w:cstheme="minorHAnsi"/>
          <w:szCs w:val="20"/>
        </w:rPr>
      </w:pPr>
      <w:r w:rsidRPr="00216A71">
        <w:rPr>
          <w:rFonts w:cstheme="minorHAnsi"/>
          <w:szCs w:val="20"/>
        </w:rPr>
        <w:t>PPPs are a comparatively expensive way of raising money</w:t>
      </w:r>
      <w:r w:rsidR="00982DFA">
        <w:rPr>
          <w:rFonts w:cstheme="minorHAnsi"/>
          <w:szCs w:val="20"/>
        </w:rPr>
        <w:t>.</w:t>
      </w:r>
    </w:p>
    <w:p w:rsidR="00326552" w:rsidRPr="00216A71" w:rsidRDefault="00982DFA" w:rsidP="00781FBC">
      <w:pPr>
        <w:pStyle w:val="ListParagraph"/>
        <w:numPr>
          <w:ilvl w:val="0"/>
          <w:numId w:val="37"/>
        </w:numPr>
        <w:rPr>
          <w:rFonts w:cstheme="minorHAnsi"/>
          <w:szCs w:val="20"/>
        </w:rPr>
      </w:pPr>
      <w:r>
        <w:rPr>
          <w:rFonts w:cstheme="minorHAnsi"/>
          <w:szCs w:val="20"/>
        </w:rPr>
        <w:t>C</w:t>
      </w:r>
      <w:r w:rsidR="00D150F3" w:rsidRPr="00216A71">
        <w:rPr>
          <w:rFonts w:cstheme="minorHAnsi"/>
          <w:szCs w:val="20"/>
        </w:rPr>
        <w:t>ountries have poor capacity</w:t>
      </w:r>
      <w:r w:rsidR="009E450B" w:rsidRPr="00216A71">
        <w:rPr>
          <w:rFonts w:cstheme="minorHAnsi"/>
          <w:szCs w:val="20"/>
        </w:rPr>
        <w:t xml:space="preserve"> to negotiate PPP contracts, </w:t>
      </w:r>
      <w:r w:rsidR="00D150F3" w:rsidRPr="00216A71">
        <w:rPr>
          <w:rFonts w:cstheme="minorHAnsi"/>
          <w:szCs w:val="20"/>
        </w:rPr>
        <w:t xml:space="preserve">expected impacts are </w:t>
      </w:r>
      <w:r w:rsidR="00FF6D63" w:rsidRPr="00216A71">
        <w:rPr>
          <w:rFonts w:cstheme="minorHAnsi"/>
          <w:szCs w:val="20"/>
        </w:rPr>
        <w:t>unclear</w:t>
      </w:r>
      <w:r w:rsidR="00D150F3" w:rsidRPr="00216A71">
        <w:rPr>
          <w:rFonts w:cstheme="minorHAnsi"/>
          <w:szCs w:val="20"/>
        </w:rPr>
        <w:t xml:space="preserve"> and monitoring weak</w:t>
      </w:r>
      <w:r>
        <w:rPr>
          <w:rFonts w:cstheme="minorHAnsi"/>
          <w:szCs w:val="20"/>
        </w:rPr>
        <w:t>.</w:t>
      </w:r>
    </w:p>
    <w:p w:rsidR="00D150F3" w:rsidRPr="00216A71" w:rsidRDefault="00982DFA" w:rsidP="00781FBC">
      <w:pPr>
        <w:pStyle w:val="ListParagraph"/>
        <w:numPr>
          <w:ilvl w:val="0"/>
          <w:numId w:val="37"/>
        </w:numPr>
        <w:rPr>
          <w:rFonts w:cstheme="minorHAnsi"/>
          <w:szCs w:val="20"/>
        </w:rPr>
      </w:pPr>
      <w:r>
        <w:rPr>
          <w:rFonts w:cstheme="minorHAnsi"/>
          <w:szCs w:val="20"/>
        </w:rPr>
        <w:t>T</w:t>
      </w:r>
      <w:r w:rsidR="00D150F3" w:rsidRPr="00216A71">
        <w:rPr>
          <w:rFonts w:cstheme="minorHAnsi"/>
          <w:szCs w:val="20"/>
        </w:rPr>
        <w:t>he international promotion of PPPs undermines local democracy and may reinforce corrupt elites</w:t>
      </w:r>
      <w:r>
        <w:rPr>
          <w:rFonts w:cstheme="minorHAnsi"/>
          <w:szCs w:val="20"/>
        </w:rPr>
        <w:t>.</w:t>
      </w:r>
    </w:p>
    <w:p w:rsidR="00326552" w:rsidRPr="00216A71" w:rsidRDefault="00982DFA" w:rsidP="00781FBC">
      <w:pPr>
        <w:pStyle w:val="ListParagraph"/>
        <w:numPr>
          <w:ilvl w:val="0"/>
          <w:numId w:val="37"/>
        </w:numPr>
        <w:rPr>
          <w:rFonts w:cstheme="minorHAnsi"/>
          <w:szCs w:val="20"/>
        </w:rPr>
      </w:pPr>
      <w:r>
        <w:rPr>
          <w:rFonts w:cstheme="minorHAnsi"/>
          <w:szCs w:val="20"/>
        </w:rPr>
        <w:t>M</w:t>
      </w:r>
      <w:r w:rsidR="00D150F3" w:rsidRPr="00216A71">
        <w:rPr>
          <w:rFonts w:cstheme="minorHAnsi"/>
          <w:szCs w:val="20"/>
        </w:rPr>
        <w:t>any PPPs result in expensive failures to deliver the expected investments</w:t>
      </w:r>
      <w:r>
        <w:rPr>
          <w:rFonts w:cstheme="minorHAnsi"/>
          <w:szCs w:val="20"/>
        </w:rPr>
        <w:t>.</w:t>
      </w:r>
    </w:p>
    <w:p w:rsidR="00071829" w:rsidRPr="00216A71" w:rsidRDefault="00A710DD" w:rsidP="00A33280">
      <w:pPr>
        <w:pStyle w:val="Heading7"/>
        <w:rPr>
          <w:rFonts w:asciiTheme="minorHAnsi" w:hAnsiTheme="minorHAnsi" w:cstheme="minorHAnsi"/>
          <w:szCs w:val="20"/>
        </w:rPr>
      </w:pPr>
      <w:r w:rsidRPr="00216A71">
        <w:rPr>
          <w:rFonts w:asciiTheme="minorHAnsi" w:hAnsiTheme="minorHAnsi" w:cstheme="minorHAnsi"/>
          <w:szCs w:val="20"/>
        </w:rPr>
        <w:t>Civil society</w:t>
      </w:r>
      <w:r w:rsidR="00A33280" w:rsidRPr="00216A71">
        <w:rPr>
          <w:rFonts w:asciiTheme="minorHAnsi" w:hAnsiTheme="minorHAnsi" w:cstheme="minorHAnsi"/>
          <w:szCs w:val="20"/>
        </w:rPr>
        <w:t xml:space="preserve"> critiques of PPPs</w:t>
      </w:r>
    </w:p>
    <w:tbl>
      <w:tblPr>
        <w:tblStyle w:val="TableGrid"/>
        <w:tblW w:w="0" w:type="auto"/>
        <w:tblLayout w:type="fixed"/>
        <w:tblLook w:val="04A0" w:firstRow="1" w:lastRow="0" w:firstColumn="1" w:lastColumn="0" w:noHBand="0" w:noVBand="1"/>
      </w:tblPr>
      <w:tblGrid>
        <w:gridCol w:w="3085"/>
        <w:gridCol w:w="4678"/>
        <w:gridCol w:w="709"/>
        <w:gridCol w:w="1134"/>
      </w:tblGrid>
      <w:tr w:rsidR="00A710DD" w:rsidRPr="00216A71" w:rsidTr="00381974">
        <w:tc>
          <w:tcPr>
            <w:tcW w:w="3085" w:type="dxa"/>
          </w:tcPr>
          <w:p w:rsidR="00A710DD" w:rsidRPr="00216A71" w:rsidRDefault="00A710DD" w:rsidP="0080740F">
            <w:pPr>
              <w:rPr>
                <w:rFonts w:cstheme="minorHAnsi"/>
                <w:szCs w:val="20"/>
              </w:rPr>
            </w:pPr>
            <w:r w:rsidRPr="00216A71">
              <w:rPr>
                <w:rFonts w:cstheme="minorHAnsi"/>
                <w:szCs w:val="20"/>
              </w:rPr>
              <w:lastRenderedPageBreak/>
              <w:t>NGO</w:t>
            </w:r>
          </w:p>
        </w:tc>
        <w:tc>
          <w:tcPr>
            <w:tcW w:w="4678" w:type="dxa"/>
          </w:tcPr>
          <w:p w:rsidR="00A710DD" w:rsidRPr="00216A71" w:rsidRDefault="00A710DD" w:rsidP="00071829">
            <w:pPr>
              <w:rPr>
                <w:rFonts w:cstheme="minorHAnsi"/>
                <w:szCs w:val="20"/>
              </w:rPr>
            </w:pPr>
            <w:r w:rsidRPr="00216A71">
              <w:rPr>
                <w:rFonts w:cstheme="minorHAnsi"/>
                <w:szCs w:val="20"/>
              </w:rPr>
              <w:t>Critical report on PPPs</w:t>
            </w:r>
          </w:p>
        </w:tc>
        <w:tc>
          <w:tcPr>
            <w:tcW w:w="709" w:type="dxa"/>
          </w:tcPr>
          <w:p w:rsidR="00A710DD" w:rsidRPr="00216A71" w:rsidRDefault="00A710DD" w:rsidP="005940E8">
            <w:pPr>
              <w:rPr>
                <w:rFonts w:cstheme="minorHAnsi"/>
                <w:szCs w:val="20"/>
              </w:rPr>
            </w:pPr>
            <w:r w:rsidRPr="00216A71">
              <w:rPr>
                <w:rFonts w:cstheme="minorHAnsi"/>
                <w:szCs w:val="20"/>
              </w:rPr>
              <w:t>Year</w:t>
            </w:r>
          </w:p>
        </w:tc>
        <w:tc>
          <w:tcPr>
            <w:tcW w:w="1134" w:type="dxa"/>
          </w:tcPr>
          <w:p w:rsidR="00A710DD" w:rsidRPr="00216A71" w:rsidRDefault="00982DFA" w:rsidP="005940E8">
            <w:pPr>
              <w:rPr>
                <w:rFonts w:cstheme="minorHAnsi"/>
                <w:szCs w:val="20"/>
              </w:rPr>
            </w:pPr>
            <w:r>
              <w:rPr>
                <w:rFonts w:cstheme="minorHAnsi"/>
                <w:szCs w:val="20"/>
              </w:rPr>
              <w:t>C</w:t>
            </w:r>
            <w:r w:rsidR="00A710DD" w:rsidRPr="00216A71">
              <w:rPr>
                <w:rFonts w:cstheme="minorHAnsi"/>
                <w:szCs w:val="20"/>
              </w:rPr>
              <w:t>ountry</w:t>
            </w:r>
          </w:p>
        </w:tc>
      </w:tr>
      <w:tr w:rsidR="00A710DD" w:rsidRPr="00216A71" w:rsidTr="00381974">
        <w:tc>
          <w:tcPr>
            <w:tcW w:w="3085" w:type="dxa"/>
          </w:tcPr>
          <w:p w:rsidR="00A710DD" w:rsidRPr="00216A71" w:rsidRDefault="00A710DD" w:rsidP="007549B5">
            <w:pPr>
              <w:rPr>
                <w:rFonts w:cstheme="minorHAnsi"/>
                <w:szCs w:val="20"/>
              </w:rPr>
            </w:pPr>
            <w:r w:rsidRPr="00216A71">
              <w:rPr>
                <w:rFonts w:cstheme="minorHAnsi"/>
                <w:szCs w:val="20"/>
              </w:rPr>
              <w:t>Jubilee Debt</w:t>
            </w:r>
          </w:p>
        </w:tc>
        <w:tc>
          <w:tcPr>
            <w:tcW w:w="4678" w:type="dxa"/>
          </w:tcPr>
          <w:p w:rsidR="00A710DD" w:rsidRPr="00216A71" w:rsidRDefault="00A723E5" w:rsidP="007549B5">
            <w:pPr>
              <w:rPr>
                <w:rFonts w:cstheme="minorHAnsi"/>
                <w:szCs w:val="20"/>
              </w:rPr>
            </w:pPr>
            <w:hyperlink r:id="rId123" w:history="1">
              <w:r w:rsidR="00A710DD" w:rsidRPr="00216A71">
                <w:rPr>
                  <w:rStyle w:val="Hyperlink"/>
                  <w:rFonts w:cstheme="minorHAnsi"/>
                  <w:szCs w:val="20"/>
                </w:rPr>
                <w:t>Life and debt: Global studies of debt and resistance</w:t>
              </w:r>
            </w:hyperlink>
          </w:p>
        </w:tc>
        <w:tc>
          <w:tcPr>
            <w:tcW w:w="709" w:type="dxa"/>
          </w:tcPr>
          <w:p w:rsidR="00A710DD" w:rsidRPr="00216A71" w:rsidRDefault="00A710DD" w:rsidP="007549B5">
            <w:pPr>
              <w:rPr>
                <w:rFonts w:cstheme="minorHAnsi"/>
                <w:szCs w:val="20"/>
              </w:rPr>
            </w:pPr>
            <w:r w:rsidRPr="00216A71">
              <w:rPr>
                <w:rFonts w:cstheme="minorHAnsi"/>
                <w:szCs w:val="20"/>
              </w:rPr>
              <w:t>2013</w:t>
            </w:r>
          </w:p>
        </w:tc>
        <w:tc>
          <w:tcPr>
            <w:tcW w:w="1134" w:type="dxa"/>
          </w:tcPr>
          <w:p w:rsidR="00A710DD" w:rsidRPr="00216A71" w:rsidRDefault="006C6874" w:rsidP="007549B5">
            <w:pPr>
              <w:rPr>
                <w:rFonts w:cstheme="minorHAnsi"/>
                <w:szCs w:val="20"/>
              </w:rPr>
            </w:pPr>
            <w:r w:rsidRPr="00216A71">
              <w:rPr>
                <w:rFonts w:cstheme="minorHAnsi"/>
                <w:szCs w:val="20"/>
              </w:rPr>
              <w:t>Global</w:t>
            </w:r>
          </w:p>
        </w:tc>
      </w:tr>
      <w:tr w:rsidR="006C6874" w:rsidRPr="00216A71" w:rsidTr="00381974">
        <w:tc>
          <w:tcPr>
            <w:tcW w:w="3085" w:type="dxa"/>
          </w:tcPr>
          <w:p w:rsidR="006C6874" w:rsidRPr="00216A71" w:rsidRDefault="006C6874" w:rsidP="0088208F">
            <w:pPr>
              <w:rPr>
                <w:rFonts w:cstheme="minorHAnsi"/>
                <w:szCs w:val="20"/>
              </w:rPr>
            </w:pPr>
            <w:r w:rsidRPr="00216A71">
              <w:rPr>
                <w:rFonts w:cstheme="minorHAnsi"/>
                <w:szCs w:val="20"/>
              </w:rPr>
              <w:t>Bond (inc. Christian Aid, Tearfund, Bretton Woods Project, CAFOD, Unicef, WDM)</w:t>
            </w:r>
          </w:p>
        </w:tc>
        <w:tc>
          <w:tcPr>
            <w:tcW w:w="4678" w:type="dxa"/>
          </w:tcPr>
          <w:p w:rsidR="006C6874" w:rsidRPr="00216A71" w:rsidRDefault="00A723E5" w:rsidP="0088208F">
            <w:pPr>
              <w:rPr>
                <w:rFonts w:cstheme="minorHAnsi"/>
                <w:szCs w:val="20"/>
              </w:rPr>
            </w:pPr>
            <w:hyperlink r:id="rId124" w:history="1">
              <w:r w:rsidR="006C6874" w:rsidRPr="00216A71">
                <w:rPr>
                  <w:rStyle w:val="Hyperlink"/>
                  <w:rFonts w:cstheme="minorHAnsi"/>
                  <w:szCs w:val="20"/>
                </w:rPr>
                <w:t>Critical issues for channelling climate finance via private sector actors</w:t>
              </w:r>
            </w:hyperlink>
          </w:p>
        </w:tc>
        <w:tc>
          <w:tcPr>
            <w:tcW w:w="709" w:type="dxa"/>
          </w:tcPr>
          <w:p w:rsidR="006C6874" w:rsidRPr="00216A71" w:rsidRDefault="006C6874" w:rsidP="0088208F">
            <w:pPr>
              <w:rPr>
                <w:rFonts w:cstheme="minorHAnsi"/>
                <w:szCs w:val="20"/>
              </w:rPr>
            </w:pPr>
            <w:r w:rsidRPr="00216A71">
              <w:rPr>
                <w:rFonts w:cstheme="minorHAnsi"/>
                <w:szCs w:val="20"/>
              </w:rPr>
              <w:t>2013</w:t>
            </w:r>
          </w:p>
        </w:tc>
        <w:tc>
          <w:tcPr>
            <w:tcW w:w="1134" w:type="dxa"/>
          </w:tcPr>
          <w:p w:rsidR="006C6874" w:rsidRPr="00216A71" w:rsidRDefault="006C6874" w:rsidP="006F2688">
            <w:pPr>
              <w:rPr>
                <w:rFonts w:cstheme="minorHAnsi"/>
                <w:szCs w:val="20"/>
              </w:rPr>
            </w:pPr>
            <w:r w:rsidRPr="00216A71">
              <w:rPr>
                <w:rFonts w:cstheme="minorHAnsi"/>
                <w:szCs w:val="20"/>
              </w:rPr>
              <w:t>Global</w:t>
            </w:r>
          </w:p>
        </w:tc>
      </w:tr>
      <w:tr w:rsidR="006C6874" w:rsidRPr="00216A71" w:rsidTr="00381974">
        <w:tc>
          <w:tcPr>
            <w:tcW w:w="3085" w:type="dxa"/>
          </w:tcPr>
          <w:p w:rsidR="006C6874" w:rsidRPr="00216A71" w:rsidRDefault="006C6874" w:rsidP="0088208F">
            <w:pPr>
              <w:rPr>
                <w:rFonts w:cstheme="minorHAnsi"/>
                <w:szCs w:val="20"/>
              </w:rPr>
            </w:pPr>
            <w:r w:rsidRPr="00216A71">
              <w:rPr>
                <w:rFonts w:cstheme="minorHAnsi"/>
                <w:szCs w:val="20"/>
              </w:rPr>
              <w:t>CAFOD</w:t>
            </w:r>
          </w:p>
        </w:tc>
        <w:tc>
          <w:tcPr>
            <w:tcW w:w="4678" w:type="dxa"/>
          </w:tcPr>
          <w:p w:rsidR="006C6874" w:rsidRPr="00216A71" w:rsidRDefault="00A723E5" w:rsidP="0088208F">
            <w:pPr>
              <w:rPr>
                <w:rFonts w:cstheme="minorHAnsi"/>
                <w:szCs w:val="20"/>
              </w:rPr>
            </w:pPr>
            <w:hyperlink r:id="rId125" w:history="1">
              <w:r w:rsidR="006C6874" w:rsidRPr="00216A71">
                <w:rPr>
                  <w:rStyle w:val="Hyperlink"/>
                  <w:rFonts w:cstheme="minorHAnsi"/>
                  <w:szCs w:val="20"/>
                </w:rPr>
                <w:t>Public-Private Partnerships (PPPs) in International Development: Are we asking the right questions?</w:t>
              </w:r>
            </w:hyperlink>
          </w:p>
        </w:tc>
        <w:tc>
          <w:tcPr>
            <w:tcW w:w="709" w:type="dxa"/>
          </w:tcPr>
          <w:p w:rsidR="006C6874" w:rsidRPr="00216A71" w:rsidRDefault="006C6874" w:rsidP="0088208F">
            <w:pPr>
              <w:rPr>
                <w:rFonts w:cstheme="minorHAnsi"/>
                <w:szCs w:val="20"/>
              </w:rPr>
            </w:pPr>
            <w:r w:rsidRPr="00216A71">
              <w:rPr>
                <w:rFonts w:cstheme="minorHAnsi"/>
                <w:szCs w:val="20"/>
              </w:rPr>
              <w:t>2013</w:t>
            </w:r>
          </w:p>
        </w:tc>
        <w:tc>
          <w:tcPr>
            <w:tcW w:w="1134" w:type="dxa"/>
          </w:tcPr>
          <w:p w:rsidR="006C6874" w:rsidRPr="00216A71" w:rsidRDefault="006C6874" w:rsidP="0088208F">
            <w:pPr>
              <w:rPr>
                <w:rFonts w:cstheme="minorHAnsi"/>
                <w:szCs w:val="20"/>
              </w:rPr>
            </w:pPr>
            <w:r w:rsidRPr="00216A71">
              <w:rPr>
                <w:rFonts w:cstheme="minorHAnsi"/>
                <w:szCs w:val="20"/>
              </w:rPr>
              <w:t>Global</w:t>
            </w:r>
          </w:p>
        </w:tc>
      </w:tr>
      <w:tr w:rsidR="006C6874" w:rsidRPr="00216A71" w:rsidTr="00381974">
        <w:tc>
          <w:tcPr>
            <w:tcW w:w="3085" w:type="dxa"/>
          </w:tcPr>
          <w:p w:rsidR="006C6874" w:rsidRPr="00216A71" w:rsidRDefault="006C6874" w:rsidP="00697EA3">
            <w:pPr>
              <w:rPr>
                <w:rFonts w:cstheme="minorHAnsi"/>
                <w:szCs w:val="20"/>
              </w:rPr>
            </w:pPr>
            <w:r w:rsidRPr="00216A71">
              <w:rPr>
                <w:rFonts w:cstheme="minorHAnsi"/>
                <w:szCs w:val="20"/>
              </w:rPr>
              <w:t>Heinrich Böll Foundation</w:t>
            </w:r>
          </w:p>
        </w:tc>
        <w:tc>
          <w:tcPr>
            <w:tcW w:w="4678" w:type="dxa"/>
          </w:tcPr>
          <w:p w:rsidR="006C6874" w:rsidRPr="00216A71" w:rsidRDefault="00A723E5" w:rsidP="00697EA3">
            <w:pPr>
              <w:rPr>
                <w:rFonts w:cstheme="minorHAnsi"/>
                <w:szCs w:val="20"/>
              </w:rPr>
            </w:pPr>
            <w:hyperlink r:id="rId126" w:history="1">
              <w:r w:rsidR="006C6874" w:rsidRPr="00216A71">
                <w:rPr>
                  <w:rStyle w:val="Hyperlink"/>
                  <w:rFonts w:cstheme="minorHAnsi"/>
                  <w:szCs w:val="20"/>
                </w:rPr>
                <w:t>Responsible Investment in Infrastructure: Recommendations for the G20</w:t>
              </w:r>
            </w:hyperlink>
          </w:p>
        </w:tc>
        <w:tc>
          <w:tcPr>
            <w:tcW w:w="709" w:type="dxa"/>
          </w:tcPr>
          <w:p w:rsidR="006C6874" w:rsidRPr="00216A71" w:rsidRDefault="006C6874" w:rsidP="00697EA3">
            <w:pPr>
              <w:rPr>
                <w:rFonts w:cstheme="minorHAnsi"/>
                <w:szCs w:val="20"/>
              </w:rPr>
            </w:pPr>
            <w:r w:rsidRPr="00216A71">
              <w:rPr>
                <w:rFonts w:cstheme="minorHAnsi"/>
                <w:szCs w:val="20"/>
              </w:rPr>
              <w:t>2013</w:t>
            </w:r>
          </w:p>
        </w:tc>
        <w:tc>
          <w:tcPr>
            <w:tcW w:w="1134" w:type="dxa"/>
          </w:tcPr>
          <w:p w:rsidR="006C6874" w:rsidRPr="00216A71" w:rsidRDefault="006C6874" w:rsidP="00697EA3">
            <w:pPr>
              <w:rPr>
                <w:rFonts w:cstheme="minorHAnsi"/>
                <w:szCs w:val="20"/>
              </w:rPr>
            </w:pPr>
            <w:r w:rsidRPr="00216A71">
              <w:rPr>
                <w:rFonts w:cstheme="minorHAnsi"/>
                <w:szCs w:val="20"/>
              </w:rPr>
              <w:t>Global</w:t>
            </w:r>
          </w:p>
        </w:tc>
      </w:tr>
      <w:tr w:rsidR="006C6874" w:rsidRPr="00216A71" w:rsidTr="00381974">
        <w:tc>
          <w:tcPr>
            <w:tcW w:w="3085" w:type="dxa"/>
          </w:tcPr>
          <w:p w:rsidR="006C6874" w:rsidRPr="00216A71" w:rsidRDefault="006C6874" w:rsidP="007549B5">
            <w:pPr>
              <w:rPr>
                <w:rFonts w:cstheme="minorHAnsi"/>
                <w:szCs w:val="20"/>
              </w:rPr>
            </w:pPr>
            <w:r w:rsidRPr="00216A71">
              <w:rPr>
                <w:rFonts w:cstheme="minorHAnsi"/>
                <w:szCs w:val="20"/>
              </w:rPr>
              <w:t>Counterbalance (inc. Both Ends (Netherlands); Bretton Woods Project (UK); CEE Bankwatch Network; Les Amis de la Terre</w:t>
            </w:r>
            <w:r w:rsidR="009E450B" w:rsidRPr="00216A71">
              <w:rPr>
                <w:rFonts w:cstheme="minorHAnsi"/>
                <w:szCs w:val="20"/>
              </w:rPr>
              <w:t xml:space="preserve"> (France) ; Re:Common (Italy); U</w:t>
            </w:r>
            <w:r w:rsidRPr="00216A71">
              <w:rPr>
                <w:rFonts w:cstheme="minorHAnsi"/>
                <w:szCs w:val="20"/>
              </w:rPr>
              <w:t>rgewald (Germany)</w:t>
            </w:r>
          </w:p>
        </w:tc>
        <w:tc>
          <w:tcPr>
            <w:tcW w:w="4678" w:type="dxa"/>
          </w:tcPr>
          <w:p w:rsidR="006C6874" w:rsidRPr="00216A71" w:rsidRDefault="00A723E5" w:rsidP="007549B5">
            <w:pPr>
              <w:rPr>
                <w:rFonts w:cstheme="minorHAnsi"/>
                <w:szCs w:val="20"/>
              </w:rPr>
            </w:pPr>
            <w:hyperlink r:id="rId127" w:history="1">
              <w:r w:rsidR="006C6874" w:rsidRPr="00216A71">
                <w:rPr>
                  <w:rStyle w:val="Hyperlink"/>
                  <w:rFonts w:cstheme="minorHAnsi"/>
                  <w:szCs w:val="20"/>
                </w:rPr>
                <w:t>The Great Middle East Beanfeast</w:t>
              </w:r>
            </w:hyperlink>
          </w:p>
        </w:tc>
        <w:tc>
          <w:tcPr>
            <w:tcW w:w="709" w:type="dxa"/>
          </w:tcPr>
          <w:p w:rsidR="006C6874" w:rsidRPr="00216A71" w:rsidRDefault="006C6874" w:rsidP="007549B5">
            <w:pPr>
              <w:rPr>
                <w:rFonts w:cstheme="minorHAnsi"/>
                <w:szCs w:val="20"/>
              </w:rPr>
            </w:pPr>
            <w:r w:rsidRPr="00216A71">
              <w:rPr>
                <w:rFonts w:cstheme="minorHAnsi"/>
                <w:szCs w:val="20"/>
              </w:rPr>
              <w:t>2012</w:t>
            </w:r>
          </w:p>
        </w:tc>
        <w:tc>
          <w:tcPr>
            <w:tcW w:w="1134" w:type="dxa"/>
          </w:tcPr>
          <w:p w:rsidR="006C6874" w:rsidRPr="00216A71" w:rsidRDefault="006C6874" w:rsidP="007549B5">
            <w:pPr>
              <w:rPr>
                <w:rFonts w:cstheme="minorHAnsi"/>
                <w:szCs w:val="20"/>
              </w:rPr>
            </w:pPr>
            <w:r w:rsidRPr="00216A71">
              <w:rPr>
                <w:rFonts w:cstheme="minorHAnsi"/>
                <w:szCs w:val="20"/>
              </w:rPr>
              <w:t>MENA</w:t>
            </w:r>
          </w:p>
        </w:tc>
      </w:tr>
      <w:tr w:rsidR="006C6874" w:rsidRPr="00216A71" w:rsidTr="00381974">
        <w:tc>
          <w:tcPr>
            <w:tcW w:w="3085" w:type="dxa"/>
          </w:tcPr>
          <w:p w:rsidR="006C6874" w:rsidRPr="00216A71" w:rsidRDefault="006C6874" w:rsidP="007549B5">
            <w:pPr>
              <w:rPr>
                <w:rFonts w:cstheme="minorHAnsi"/>
                <w:szCs w:val="20"/>
              </w:rPr>
            </w:pPr>
            <w:r w:rsidRPr="00216A71">
              <w:rPr>
                <w:rFonts w:cstheme="minorHAnsi"/>
                <w:szCs w:val="20"/>
              </w:rPr>
              <w:t>Cornerhouse</w:t>
            </w:r>
          </w:p>
        </w:tc>
        <w:tc>
          <w:tcPr>
            <w:tcW w:w="4678" w:type="dxa"/>
          </w:tcPr>
          <w:p w:rsidR="006C6874" w:rsidRPr="00216A71" w:rsidRDefault="00A723E5" w:rsidP="007549B5">
            <w:pPr>
              <w:rPr>
                <w:rFonts w:cstheme="minorHAnsi"/>
                <w:szCs w:val="20"/>
              </w:rPr>
            </w:pPr>
            <w:hyperlink r:id="rId128" w:history="1">
              <w:r w:rsidR="006C6874" w:rsidRPr="00216A71">
                <w:rPr>
                  <w:rStyle w:val="Hyperlink"/>
                  <w:rFonts w:cstheme="minorHAnsi"/>
                  <w:szCs w:val="20"/>
                </w:rPr>
                <w:t>Bricks and Mortar</w:t>
              </w:r>
            </w:hyperlink>
          </w:p>
        </w:tc>
        <w:tc>
          <w:tcPr>
            <w:tcW w:w="709" w:type="dxa"/>
          </w:tcPr>
          <w:p w:rsidR="006C6874" w:rsidRPr="00216A71" w:rsidRDefault="006C6874" w:rsidP="007549B5">
            <w:pPr>
              <w:rPr>
                <w:rFonts w:cstheme="minorHAnsi"/>
                <w:szCs w:val="20"/>
              </w:rPr>
            </w:pPr>
            <w:r w:rsidRPr="00216A71">
              <w:rPr>
                <w:rFonts w:cstheme="minorHAnsi"/>
                <w:szCs w:val="20"/>
              </w:rPr>
              <w:t>2012</w:t>
            </w:r>
          </w:p>
        </w:tc>
        <w:tc>
          <w:tcPr>
            <w:tcW w:w="1134" w:type="dxa"/>
          </w:tcPr>
          <w:p w:rsidR="006C6874" w:rsidRPr="00216A71" w:rsidRDefault="006C6874" w:rsidP="007549B5">
            <w:pPr>
              <w:rPr>
                <w:rFonts w:cstheme="minorHAnsi"/>
                <w:szCs w:val="20"/>
              </w:rPr>
            </w:pPr>
            <w:r w:rsidRPr="00216A71">
              <w:rPr>
                <w:rFonts w:cstheme="minorHAnsi"/>
                <w:szCs w:val="20"/>
              </w:rPr>
              <w:t>Global</w:t>
            </w:r>
          </w:p>
        </w:tc>
      </w:tr>
      <w:tr w:rsidR="006C6874" w:rsidRPr="00216A71" w:rsidTr="00381974">
        <w:tc>
          <w:tcPr>
            <w:tcW w:w="3085" w:type="dxa"/>
          </w:tcPr>
          <w:p w:rsidR="006C6874" w:rsidRPr="00216A71" w:rsidRDefault="006C6874" w:rsidP="00C21627">
            <w:pPr>
              <w:rPr>
                <w:rFonts w:cstheme="minorHAnsi"/>
                <w:szCs w:val="20"/>
              </w:rPr>
            </w:pPr>
            <w:r w:rsidRPr="00216A71">
              <w:rPr>
                <w:rFonts w:cstheme="minorHAnsi"/>
                <w:szCs w:val="20"/>
              </w:rPr>
              <w:t xml:space="preserve">European Services Strategy Unit </w:t>
            </w:r>
          </w:p>
        </w:tc>
        <w:tc>
          <w:tcPr>
            <w:tcW w:w="4678" w:type="dxa"/>
          </w:tcPr>
          <w:p w:rsidR="006C6874" w:rsidRPr="00216A71" w:rsidRDefault="00A723E5" w:rsidP="00D150F3">
            <w:pPr>
              <w:rPr>
                <w:rFonts w:cstheme="minorHAnsi"/>
                <w:szCs w:val="20"/>
              </w:rPr>
            </w:pPr>
            <w:hyperlink r:id="rId129" w:history="1">
              <w:r w:rsidR="006C6874" w:rsidRPr="00216A71">
                <w:rPr>
                  <w:rStyle w:val="Hyperlink"/>
                  <w:rFonts w:cstheme="minorHAnsi"/>
                  <w:szCs w:val="20"/>
                  <w:lang w:val="en"/>
                </w:rPr>
                <w:t>ESSU Research Report No 6: PPP Wealth Machine: UK and Global trends in trading project ownership</w:t>
              </w:r>
            </w:hyperlink>
          </w:p>
        </w:tc>
        <w:tc>
          <w:tcPr>
            <w:tcW w:w="709" w:type="dxa"/>
          </w:tcPr>
          <w:p w:rsidR="006C6874" w:rsidRPr="00216A71" w:rsidRDefault="006C6874" w:rsidP="007549B5">
            <w:pPr>
              <w:rPr>
                <w:rFonts w:cstheme="minorHAnsi"/>
                <w:szCs w:val="20"/>
              </w:rPr>
            </w:pPr>
            <w:r w:rsidRPr="00216A71">
              <w:rPr>
                <w:rFonts w:cstheme="minorHAnsi"/>
                <w:szCs w:val="20"/>
              </w:rPr>
              <w:t>2012</w:t>
            </w:r>
          </w:p>
        </w:tc>
        <w:tc>
          <w:tcPr>
            <w:tcW w:w="1134" w:type="dxa"/>
          </w:tcPr>
          <w:p w:rsidR="006C6874" w:rsidRPr="00216A71" w:rsidRDefault="006C6874" w:rsidP="006C6874">
            <w:pPr>
              <w:rPr>
                <w:rFonts w:cstheme="minorHAnsi"/>
                <w:szCs w:val="20"/>
              </w:rPr>
            </w:pPr>
            <w:r w:rsidRPr="00216A71">
              <w:rPr>
                <w:rFonts w:cstheme="minorHAnsi"/>
                <w:szCs w:val="20"/>
              </w:rPr>
              <w:t>UK/global</w:t>
            </w:r>
          </w:p>
        </w:tc>
      </w:tr>
      <w:tr w:rsidR="006C6874" w:rsidRPr="00216A71" w:rsidTr="00381974">
        <w:tc>
          <w:tcPr>
            <w:tcW w:w="3085" w:type="dxa"/>
          </w:tcPr>
          <w:p w:rsidR="006C6874" w:rsidRPr="00216A71" w:rsidRDefault="006C6874" w:rsidP="00A710DD">
            <w:pPr>
              <w:rPr>
                <w:rFonts w:cstheme="minorHAnsi"/>
                <w:szCs w:val="20"/>
              </w:rPr>
            </w:pPr>
            <w:r w:rsidRPr="00216A71">
              <w:rPr>
                <w:rFonts w:cstheme="minorHAnsi"/>
                <w:szCs w:val="20"/>
              </w:rPr>
              <w:t>CUPE</w:t>
            </w:r>
          </w:p>
        </w:tc>
        <w:tc>
          <w:tcPr>
            <w:tcW w:w="4678" w:type="dxa"/>
          </w:tcPr>
          <w:p w:rsidR="006C6874" w:rsidRPr="00216A71" w:rsidRDefault="00A723E5" w:rsidP="00A710DD">
            <w:pPr>
              <w:rPr>
                <w:rFonts w:cstheme="minorHAnsi"/>
                <w:szCs w:val="20"/>
              </w:rPr>
            </w:pPr>
            <w:hyperlink r:id="rId130" w:history="1">
              <w:r w:rsidR="006C6874" w:rsidRPr="00216A71">
                <w:rPr>
                  <w:rStyle w:val="Hyperlink"/>
                  <w:rFonts w:cstheme="minorHAnsi"/>
                  <w:bCs/>
                  <w:szCs w:val="20"/>
                </w:rPr>
                <w:t>Asking the right questions: A guide for municipalities considering P3s</w:t>
              </w:r>
            </w:hyperlink>
          </w:p>
        </w:tc>
        <w:tc>
          <w:tcPr>
            <w:tcW w:w="709" w:type="dxa"/>
          </w:tcPr>
          <w:p w:rsidR="006C6874" w:rsidRPr="00216A71" w:rsidRDefault="006C6874" w:rsidP="00A710DD">
            <w:pPr>
              <w:rPr>
                <w:rFonts w:cstheme="minorHAnsi"/>
                <w:szCs w:val="20"/>
              </w:rPr>
            </w:pPr>
            <w:r w:rsidRPr="00216A71">
              <w:rPr>
                <w:rFonts w:cstheme="minorHAnsi"/>
                <w:szCs w:val="20"/>
              </w:rPr>
              <w:t>2012</w:t>
            </w:r>
          </w:p>
        </w:tc>
        <w:tc>
          <w:tcPr>
            <w:tcW w:w="1134" w:type="dxa"/>
          </w:tcPr>
          <w:p w:rsidR="006C6874" w:rsidRPr="00216A71" w:rsidRDefault="006C6874" w:rsidP="00A710DD">
            <w:pPr>
              <w:rPr>
                <w:rFonts w:cstheme="minorHAnsi"/>
                <w:szCs w:val="20"/>
              </w:rPr>
            </w:pPr>
            <w:r w:rsidRPr="00216A71">
              <w:rPr>
                <w:rFonts w:cstheme="minorHAnsi"/>
                <w:szCs w:val="20"/>
              </w:rPr>
              <w:t>Can</w:t>
            </w:r>
          </w:p>
        </w:tc>
      </w:tr>
      <w:tr w:rsidR="006C6874" w:rsidRPr="00216A71" w:rsidTr="00381974">
        <w:tc>
          <w:tcPr>
            <w:tcW w:w="3085" w:type="dxa"/>
          </w:tcPr>
          <w:p w:rsidR="006C6874" w:rsidRPr="00216A71" w:rsidRDefault="006C6874" w:rsidP="00A710DD">
            <w:pPr>
              <w:rPr>
                <w:rFonts w:cstheme="minorHAnsi"/>
                <w:szCs w:val="20"/>
                <w:lang w:val="pt-BR"/>
              </w:rPr>
            </w:pPr>
            <w:r w:rsidRPr="00216A71">
              <w:rPr>
                <w:rFonts w:cstheme="minorHAnsi"/>
                <w:szCs w:val="20"/>
                <w:lang w:val="pt-BR"/>
              </w:rPr>
              <w:t>Iniciativa de Auditoria Cidadã à Divida Pública IAC (Portugal)</w:t>
            </w:r>
          </w:p>
        </w:tc>
        <w:tc>
          <w:tcPr>
            <w:tcW w:w="4678" w:type="dxa"/>
          </w:tcPr>
          <w:p w:rsidR="006C6874" w:rsidRPr="00216A71" w:rsidRDefault="00A723E5" w:rsidP="00A710DD">
            <w:pPr>
              <w:rPr>
                <w:rFonts w:cstheme="minorHAnsi"/>
                <w:bCs/>
                <w:szCs w:val="20"/>
                <w:lang w:val="pt-BR"/>
              </w:rPr>
            </w:pPr>
            <w:hyperlink r:id="rId131" w:history="1">
              <w:r w:rsidR="006C6874" w:rsidRPr="00216A71">
                <w:rPr>
                  <w:rStyle w:val="Hyperlink"/>
                  <w:rFonts w:cstheme="minorHAnsi"/>
                  <w:bCs/>
                  <w:szCs w:val="20"/>
                  <w:lang w:val="pt-BR"/>
                </w:rPr>
                <w:t>As Parcerias Público-Privadas no Sector da Saúde</w:t>
              </w:r>
            </w:hyperlink>
          </w:p>
        </w:tc>
        <w:tc>
          <w:tcPr>
            <w:tcW w:w="709" w:type="dxa"/>
          </w:tcPr>
          <w:p w:rsidR="006C6874" w:rsidRPr="00216A71" w:rsidRDefault="006C6874" w:rsidP="00A710DD">
            <w:pPr>
              <w:rPr>
                <w:rFonts w:cstheme="minorHAnsi"/>
                <w:szCs w:val="20"/>
                <w:lang w:val="es-ES_tradnl"/>
              </w:rPr>
            </w:pPr>
            <w:r w:rsidRPr="00216A71">
              <w:rPr>
                <w:rFonts w:cstheme="minorHAnsi"/>
                <w:szCs w:val="20"/>
                <w:lang w:val="es-ES_tradnl"/>
              </w:rPr>
              <w:t>2012</w:t>
            </w:r>
          </w:p>
        </w:tc>
        <w:tc>
          <w:tcPr>
            <w:tcW w:w="1134" w:type="dxa"/>
          </w:tcPr>
          <w:p w:rsidR="006C6874" w:rsidRPr="00216A71" w:rsidRDefault="006C6874" w:rsidP="00A710DD">
            <w:pPr>
              <w:rPr>
                <w:rFonts w:cstheme="minorHAnsi"/>
                <w:szCs w:val="20"/>
                <w:lang w:val="es-ES_tradnl"/>
              </w:rPr>
            </w:pPr>
            <w:r w:rsidRPr="00216A71">
              <w:rPr>
                <w:rFonts w:cstheme="minorHAnsi"/>
                <w:szCs w:val="20"/>
                <w:lang w:val="es-ES_tradnl"/>
              </w:rPr>
              <w:t>Portugal</w:t>
            </w:r>
          </w:p>
        </w:tc>
      </w:tr>
      <w:tr w:rsidR="006C6874" w:rsidRPr="00216A71" w:rsidTr="00381974">
        <w:tc>
          <w:tcPr>
            <w:tcW w:w="3085" w:type="dxa"/>
          </w:tcPr>
          <w:p w:rsidR="006C6874" w:rsidRPr="00216A71" w:rsidRDefault="006C6874" w:rsidP="00A710DD">
            <w:pPr>
              <w:rPr>
                <w:rFonts w:cstheme="minorHAnsi"/>
                <w:szCs w:val="20"/>
              </w:rPr>
            </w:pPr>
            <w:r w:rsidRPr="00216A71">
              <w:rPr>
                <w:rFonts w:cstheme="minorHAnsi"/>
                <w:bCs/>
                <w:szCs w:val="20"/>
              </w:rPr>
              <w:t>In The Public Interest</w:t>
            </w:r>
          </w:p>
        </w:tc>
        <w:tc>
          <w:tcPr>
            <w:tcW w:w="4678" w:type="dxa"/>
          </w:tcPr>
          <w:p w:rsidR="006C6874" w:rsidRPr="00216A71" w:rsidRDefault="00A723E5" w:rsidP="00A710DD">
            <w:pPr>
              <w:rPr>
                <w:rFonts w:cstheme="minorHAnsi"/>
                <w:szCs w:val="20"/>
              </w:rPr>
            </w:pPr>
            <w:hyperlink r:id="rId132" w:history="1">
              <w:r w:rsidR="006C6874" w:rsidRPr="00216A71">
                <w:rPr>
                  <w:rStyle w:val="Hyperlink"/>
                  <w:rFonts w:eastAsiaTheme="minorEastAsia" w:cstheme="minorHAnsi"/>
                  <w:szCs w:val="20"/>
                </w:rPr>
                <w:t>A Guide to Evaluating Public Asset Privatization</w:t>
              </w:r>
            </w:hyperlink>
          </w:p>
        </w:tc>
        <w:tc>
          <w:tcPr>
            <w:tcW w:w="709" w:type="dxa"/>
          </w:tcPr>
          <w:p w:rsidR="006C6874" w:rsidRPr="00216A71" w:rsidRDefault="006C6874" w:rsidP="00A710DD">
            <w:pPr>
              <w:rPr>
                <w:rFonts w:cstheme="minorHAnsi"/>
                <w:szCs w:val="20"/>
              </w:rPr>
            </w:pPr>
            <w:r w:rsidRPr="00216A71">
              <w:rPr>
                <w:rFonts w:cstheme="minorHAnsi"/>
                <w:bCs/>
                <w:szCs w:val="20"/>
              </w:rPr>
              <w:t>2011</w:t>
            </w:r>
          </w:p>
        </w:tc>
        <w:tc>
          <w:tcPr>
            <w:tcW w:w="1134" w:type="dxa"/>
          </w:tcPr>
          <w:p w:rsidR="006C6874" w:rsidRPr="00216A71" w:rsidRDefault="006C6874" w:rsidP="00A710DD">
            <w:pPr>
              <w:rPr>
                <w:rFonts w:cstheme="minorHAnsi"/>
                <w:bCs/>
                <w:szCs w:val="20"/>
              </w:rPr>
            </w:pPr>
            <w:r w:rsidRPr="00216A71">
              <w:rPr>
                <w:rFonts w:cstheme="minorHAnsi"/>
                <w:bCs/>
                <w:szCs w:val="20"/>
              </w:rPr>
              <w:t>USA</w:t>
            </w:r>
          </w:p>
        </w:tc>
      </w:tr>
      <w:tr w:rsidR="006C6874" w:rsidRPr="00216A71" w:rsidTr="00381974">
        <w:tc>
          <w:tcPr>
            <w:tcW w:w="3085" w:type="dxa"/>
          </w:tcPr>
          <w:p w:rsidR="006C6874" w:rsidRPr="00216A71" w:rsidRDefault="006C6874" w:rsidP="001A1D84">
            <w:pPr>
              <w:rPr>
                <w:rFonts w:cstheme="minorHAnsi"/>
                <w:szCs w:val="20"/>
              </w:rPr>
            </w:pPr>
            <w:r w:rsidRPr="00216A71">
              <w:rPr>
                <w:rFonts w:cstheme="minorHAnsi"/>
                <w:szCs w:val="20"/>
              </w:rPr>
              <w:t>Manthan (India)</w:t>
            </w:r>
          </w:p>
        </w:tc>
        <w:tc>
          <w:tcPr>
            <w:tcW w:w="4678" w:type="dxa"/>
          </w:tcPr>
          <w:p w:rsidR="006C6874" w:rsidRPr="00216A71" w:rsidRDefault="00A723E5" w:rsidP="001A1D84">
            <w:pPr>
              <w:rPr>
                <w:rFonts w:cstheme="minorHAnsi"/>
                <w:szCs w:val="20"/>
              </w:rPr>
            </w:pPr>
            <w:hyperlink r:id="rId133" w:history="1">
              <w:r w:rsidR="006C6874" w:rsidRPr="00216A71">
                <w:rPr>
                  <w:rStyle w:val="Hyperlink"/>
                  <w:rFonts w:cstheme="minorHAnsi"/>
                  <w:szCs w:val="20"/>
                </w:rPr>
                <w:t>PPPs in Water Sector: partnerships or privatisation?</w:t>
              </w:r>
            </w:hyperlink>
          </w:p>
        </w:tc>
        <w:tc>
          <w:tcPr>
            <w:tcW w:w="709" w:type="dxa"/>
          </w:tcPr>
          <w:p w:rsidR="006C6874" w:rsidRPr="00216A71" w:rsidRDefault="006C6874" w:rsidP="001A1D84">
            <w:pPr>
              <w:rPr>
                <w:rFonts w:cstheme="minorHAnsi"/>
                <w:szCs w:val="20"/>
              </w:rPr>
            </w:pPr>
            <w:r w:rsidRPr="00216A71">
              <w:rPr>
                <w:rFonts w:cstheme="minorHAnsi"/>
                <w:szCs w:val="20"/>
              </w:rPr>
              <w:t>2010</w:t>
            </w:r>
          </w:p>
        </w:tc>
        <w:tc>
          <w:tcPr>
            <w:tcW w:w="1134" w:type="dxa"/>
          </w:tcPr>
          <w:p w:rsidR="006C6874" w:rsidRPr="00216A71" w:rsidRDefault="006C6874" w:rsidP="006C6874">
            <w:pPr>
              <w:rPr>
                <w:rFonts w:cstheme="minorHAnsi"/>
                <w:szCs w:val="20"/>
              </w:rPr>
            </w:pPr>
            <w:r w:rsidRPr="00216A71">
              <w:rPr>
                <w:rFonts w:cstheme="minorHAnsi"/>
                <w:szCs w:val="20"/>
              </w:rPr>
              <w:t>India</w:t>
            </w:r>
          </w:p>
        </w:tc>
      </w:tr>
      <w:tr w:rsidR="00DF0BBD" w:rsidRPr="00216A71" w:rsidTr="000D4118">
        <w:tc>
          <w:tcPr>
            <w:tcW w:w="3085" w:type="dxa"/>
          </w:tcPr>
          <w:p w:rsidR="00DF0BBD" w:rsidRPr="00216A71" w:rsidRDefault="00DF0BBD" w:rsidP="000D4118">
            <w:pPr>
              <w:rPr>
                <w:rFonts w:cstheme="minorHAnsi"/>
                <w:szCs w:val="20"/>
              </w:rPr>
            </w:pPr>
            <w:r w:rsidRPr="00216A71">
              <w:rPr>
                <w:rFonts w:cstheme="minorHAnsi"/>
                <w:szCs w:val="20"/>
              </w:rPr>
              <w:t>PIRG</w:t>
            </w:r>
          </w:p>
        </w:tc>
        <w:tc>
          <w:tcPr>
            <w:tcW w:w="4678" w:type="dxa"/>
          </w:tcPr>
          <w:p w:rsidR="00DF0BBD" w:rsidRPr="00216A71" w:rsidRDefault="00A723E5" w:rsidP="000D4118">
            <w:pPr>
              <w:rPr>
                <w:rFonts w:cstheme="minorHAnsi"/>
                <w:szCs w:val="20"/>
              </w:rPr>
            </w:pPr>
            <w:hyperlink r:id="rId134" w:history="1">
              <w:r w:rsidR="00DF0BBD" w:rsidRPr="00216A71">
                <w:rPr>
                  <w:rStyle w:val="Hyperlink"/>
                  <w:rFonts w:cstheme="minorHAnsi"/>
                  <w:szCs w:val="20"/>
                </w:rPr>
                <w:t>Private Roads, Public Costs</w:t>
              </w:r>
            </w:hyperlink>
          </w:p>
        </w:tc>
        <w:tc>
          <w:tcPr>
            <w:tcW w:w="709" w:type="dxa"/>
          </w:tcPr>
          <w:p w:rsidR="00DF0BBD" w:rsidRPr="00216A71" w:rsidRDefault="00DF0BBD" w:rsidP="000D4118">
            <w:pPr>
              <w:rPr>
                <w:rFonts w:cstheme="minorHAnsi"/>
                <w:szCs w:val="20"/>
              </w:rPr>
            </w:pPr>
            <w:r w:rsidRPr="00216A71">
              <w:rPr>
                <w:rFonts w:cstheme="minorHAnsi"/>
                <w:szCs w:val="20"/>
              </w:rPr>
              <w:t>2009</w:t>
            </w:r>
          </w:p>
        </w:tc>
        <w:tc>
          <w:tcPr>
            <w:tcW w:w="1134" w:type="dxa"/>
          </w:tcPr>
          <w:p w:rsidR="00DF0BBD" w:rsidRPr="00216A71" w:rsidRDefault="00DF0BBD" w:rsidP="000D4118">
            <w:pPr>
              <w:rPr>
                <w:rFonts w:cstheme="minorHAnsi"/>
                <w:szCs w:val="20"/>
              </w:rPr>
            </w:pPr>
            <w:r w:rsidRPr="00216A71">
              <w:rPr>
                <w:rFonts w:cstheme="minorHAnsi"/>
                <w:szCs w:val="20"/>
              </w:rPr>
              <w:t>USA</w:t>
            </w:r>
          </w:p>
        </w:tc>
      </w:tr>
      <w:tr w:rsidR="006C6874" w:rsidRPr="00216A71" w:rsidTr="00381974">
        <w:tc>
          <w:tcPr>
            <w:tcW w:w="3085" w:type="dxa"/>
          </w:tcPr>
          <w:p w:rsidR="006C6874" w:rsidRPr="00216A71" w:rsidRDefault="006C6874" w:rsidP="0080740F">
            <w:pPr>
              <w:rPr>
                <w:rFonts w:cstheme="minorHAnsi"/>
                <w:szCs w:val="20"/>
              </w:rPr>
            </w:pPr>
            <w:r w:rsidRPr="00216A71">
              <w:rPr>
                <w:rFonts w:cstheme="minorHAnsi"/>
                <w:szCs w:val="20"/>
              </w:rPr>
              <w:t>CEE Bankwatch</w:t>
            </w:r>
          </w:p>
        </w:tc>
        <w:tc>
          <w:tcPr>
            <w:tcW w:w="4678" w:type="dxa"/>
          </w:tcPr>
          <w:p w:rsidR="006C6874" w:rsidRPr="00216A71" w:rsidRDefault="00A723E5" w:rsidP="005940E8">
            <w:pPr>
              <w:rPr>
                <w:rFonts w:cstheme="minorHAnsi"/>
                <w:szCs w:val="20"/>
              </w:rPr>
            </w:pPr>
            <w:hyperlink r:id="rId135" w:history="1">
              <w:r w:rsidR="006C6874" w:rsidRPr="00216A71">
                <w:rPr>
                  <w:rStyle w:val="Hyperlink"/>
                  <w:rFonts w:cstheme="minorHAnsi"/>
                  <w:szCs w:val="20"/>
                </w:rPr>
                <w:t>Never mind the balance sheet</w:t>
              </w:r>
            </w:hyperlink>
          </w:p>
        </w:tc>
        <w:tc>
          <w:tcPr>
            <w:tcW w:w="709" w:type="dxa"/>
          </w:tcPr>
          <w:p w:rsidR="006C6874" w:rsidRPr="00216A71" w:rsidRDefault="006C6874" w:rsidP="005940E8">
            <w:pPr>
              <w:rPr>
                <w:rFonts w:cstheme="minorHAnsi"/>
                <w:szCs w:val="20"/>
              </w:rPr>
            </w:pPr>
            <w:r w:rsidRPr="00216A71">
              <w:rPr>
                <w:rFonts w:cstheme="minorHAnsi"/>
                <w:szCs w:val="20"/>
              </w:rPr>
              <w:t>2008</w:t>
            </w:r>
          </w:p>
        </w:tc>
        <w:tc>
          <w:tcPr>
            <w:tcW w:w="1134" w:type="dxa"/>
          </w:tcPr>
          <w:p w:rsidR="006C6874" w:rsidRPr="00216A71" w:rsidRDefault="006C6874" w:rsidP="005940E8">
            <w:pPr>
              <w:rPr>
                <w:rFonts w:cstheme="minorHAnsi"/>
                <w:szCs w:val="20"/>
              </w:rPr>
            </w:pPr>
            <w:r w:rsidRPr="00216A71">
              <w:rPr>
                <w:rFonts w:cstheme="minorHAnsi"/>
                <w:szCs w:val="20"/>
              </w:rPr>
              <w:t>Europe</w:t>
            </w:r>
          </w:p>
        </w:tc>
      </w:tr>
    </w:tbl>
    <w:p w:rsidR="00BF7FC8" w:rsidRPr="00216A71" w:rsidRDefault="00BF7FC8" w:rsidP="009537B9">
      <w:pPr>
        <w:rPr>
          <w:rFonts w:cstheme="minorHAnsi"/>
          <w:szCs w:val="20"/>
        </w:rPr>
      </w:pPr>
    </w:p>
    <w:p w:rsidR="000C629A" w:rsidRDefault="00A65038" w:rsidP="009537B9">
      <w:pPr>
        <w:rPr>
          <w:rFonts w:cstheme="minorHAnsi"/>
          <w:szCs w:val="20"/>
        </w:rPr>
      </w:pPr>
      <w:r w:rsidRPr="00216A71">
        <w:rPr>
          <w:rFonts w:cstheme="minorHAnsi"/>
          <w:szCs w:val="20"/>
        </w:rPr>
        <w:t xml:space="preserve">Resistance to PPPs </w:t>
      </w:r>
      <w:r w:rsidR="009537B9" w:rsidRPr="00216A71">
        <w:rPr>
          <w:rFonts w:cstheme="minorHAnsi"/>
          <w:szCs w:val="20"/>
        </w:rPr>
        <w:t xml:space="preserve">can </w:t>
      </w:r>
      <w:r w:rsidRPr="00216A71">
        <w:rPr>
          <w:rFonts w:cstheme="minorHAnsi"/>
          <w:szCs w:val="20"/>
        </w:rPr>
        <w:t xml:space="preserve">also </w:t>
      </w:r>
      <w:r w:rsidR="009537B9" w:rsidRPr="00216A71">
        <w:rPr>
          <w:rFonts w:cstheme="minorHAnsi"/>
          <w:szCs w:val="20"/>
        </w:rPr>
        <w:t>be seen at national level in both high income and developing countries, for example in the UK, USA, Canada, France, Germany Portugal, Tunisia, Egypt, El Salvador, Brazil, India, Indonesia, and elsewhere.</w:t>
      </w:r>
      <w:r w:rsidR="004045AD">
        <w:rPr>
          <w:rFonts w:cstheme="minorHAnsi"/>
          <w:szCs w:val="20"/>
        </w:rPr>
        <w:t xml:space="preserve"> </w:t>
      </w:r>
      <w:r w:rsidR="009537B9" w:rsidRPr="00216A71">
        <w:rPr>
          <w:rFonts w:cstheme="minorHAnsi"/>
          <w:szCs w:val="20"/>
        </w:rPr>
        <w:t>This public rejection and political uncertainty has further effects on the fin</w:t>
      </w:r>
      <w:r w:rsidR="00A33280" w:rsidRPr="00216A71">
        <w:rPr>
          <w:rFonts w:cstheme="minorHAnsi"/>
          <w:szCs w:val="20"/>
        </w:rPr>
        <w:t>ancial sustainability of</w:t>
      </w:r>
      <w:r w:rsidR="004045AD">
        <w:rPr>
          <w:rFonts w:cstheme="minorHAnsi"/>
          <w:szCs w:val="20"/>
        </w:rPr>
        <w:t xml:space="preserve"> </w:t>
      </w:r>
      <w:r w:rsidR="00A33280" w:rsidRPr="00216A71">
        <w:rPr>
          <w:rFonts w:cstheme="minorHAnsi"/>
          <w:szCs w:val="20"/>
        </w:rPr>
        <w:t>PPPs, because u</w:t>
      </w:r>
      <w:r w:rsidR="009537B9" w:rsidRPr="00216A71">
        <w:rPr>
          <w:rFonts w:cstheme="minorHAnsi"/>
          <w:szCs w:val="20"/>
        </w:rPr>
        <w:t>ncertainty about political support deters investors from lending money to PPPs.</w:t>
      </w:r>
    </w:p>
    <w:p w:rsidR="0066148C" w:rsidRPr="00216A71" w:rsidRDefault="007B5D09" w:rsidP="0066148C">
      <w:pPr>
        <w:rPr>
          <w:rFonts w:cstheme="minorHAnsi"/>
          <w:szCs w:val="20"/>
        </w:rPr>
      </w:pPr>
      <w:r w:rsidRPr="00216A71">
        <w:rPr>
          <w:rFonts w:cstheme="minorHAnsi"/>
          <w:szCs w:val="20"/>
        </w:rPr>
        <w:t xml:space="preserve">The UK has experienced the most widespread public and political backlash. </w:t>
      </w:r>
      <w:r w:rsidR="00014545" w:rsidRPr="00216A71">
        <w:rPr>
          <w:rFonts w:cstheme="minorHAnsi"/>
          <w:szCs w:val="20"/>
        </w:rPr>
        <w:t xml:space="preserve">Although </w:t>
      </w:r>
      <w:r w:rsidR="0066148C" w:rsidRPr="00216A71">
        <w:rPr>
          <w:rFonts w:cstheme="minorHAnsi"/>
          <w:szCs w:val="20"/>
        </w:rPr>
        <w:t>all major political parties agreed on and supported the use of PPPs</w:t>
      </w:r>
      <w:r w:rsidR="00014545" w:rsidRPr="00216A71">
        <w:rPr>
          <w:rFonts w:cstheme="minorHAnsi"/>
          <w:szCs w:val="20"/>
        </w:rPr>
        <w:t xml:space="preserve"> as a way of avoiding fiscal rules</w:t>
      </w:r>
      <w:r w:rsidR="0066148C" w:rsidRPr="00216A71">
        <w:rPr>
          <w:rFonts w:cstheme="minorHAnsi"/>
          <w:szCs w:val="20"/>
        </w:rPr>
        <w:t>, problems publicised through parliamentary and press reports, including the right-wing press,</w:t>
      </w:r>
      <w:r w:rsidR="00014545" w:rsidRPr="00216A71">
        <w:rPr>
          <w:rFonts w:cstheme="minorHAnsi"/>
          <w:szCs w:val="20"/>
        </w:rPr>
        <w:t xml:space="preserve"> have</w:t>
      </w:r>
      <w:r w:rsidR="0066148C" w:rsidRPr="00216A71">
        <w:rPr>
          <w:rFonts w:cstheme="minorHAnsi"/>
          <w:szCs w:val="20"/>
        </w:rPr>
        <w:t xml:space="preserve"> led to a massive consensus that the schemes were, in the words of a right-wing mayor of London, simply ‘theft</w:t>
      </w:r>
      <w:r w:rsidR="00982DFA">
        <w:rPr>
          <w:rFonts w:cstheme="minorHAnsi"/>
          <w:szCs w:val="20"/>
        </w:rPr>
        <w:t>.</w:t>
      </w:r>
      <w:r w:rsidR="0066148C" w:rsidRPr="00216A71">
        <w:rPr>
          <w:rFonts w:cstheme="minorHAnsi"/>
          <w:szCs w:val="20"/>
        </w:rPr>
        <w:t xml:space="preserve">’ </w:t>
      </w:r>
      <w:r w:rsidR="00014545" w:rsidRPr="00216A71">
        <w:rPr>
          <w:rFonts w:cstheme="minorHAnsi"/>
          <w:szCs w:val="20"/>
        </w:rPr>
        <w:t>The UK’s PPP programme, known as the private finance initiative (PFI)</w:t>
      </w:r>
      <w:r w:rsidR="00982DFA">
        <w:rPr>
          <w:rFonts w:cstheme="minorHAnsi"/>
          <w:szCs w:val="20"/>
        </w:rPr>
        <w:t>,</w:t>
      </w:r>
      <w:r w:rsidR="00014545" w:rsidRPr="00216A71">
        <w:rPr>
          <w:rFonts w:cstheme="minorHAnsi"/>
          <w:szCs w:val="20"/>
        </w:rPr>
        <w:t xml:space="preserve"> has been officially terminated.</w:t>
      </w:r>
      <w:r w:rsidR="00982DFA" w:rsidDel="00982DFA">
        <w:rPr>
          <w:rFonts w:cstheme="minorHAnsi"/>
          <w:szCs w:val="20"/>
        </w:rPr>
        <w:t xml:space="preserve"> </w:t>
      </w:r>
    </w:p>
    <w:p w:rsidR="00326552" w:rsidRPr="00216A71" w:rsidRDefault="00326552" w:rsidP="000879B5">
      <w:pPr>
        <w:pStyle w:val="Heading6"/>
        <w:rPr>
          <w:rFonts w:cstheme="minorHAnsi"/>
          <w:szCs w:val="20"/>
        </w:rPr>
      </w:pPr>
      <w:r w:rsidRPr="00216A71">
        <w:rPr>
          <w:rFonts w:cstheme="minorHAnsi"/>
          <w:szCs w:val="20"/>
        </w:rPr>
        <w:t xml:space="preserve">El Salvador: </w:t>
      </w:r>
      <w:r w:rsidR="000879B5" w:rsidRPr="00216A71">
        <w:rPr>
          <w:rFonts w:cstheme="minorHAnsi"/>
          <w:szCs w:val="20"/>
        </w:rPr>
        <w:t>resistance to PPP law</w:t>
      </w:r>
    </w:p>
    <w:p w:rsidR="000C629A" w:rsidRDefault="00326552" w:rsidP="006C6874">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A new PPP law was introduced in El Salvador in 2013, as required by a trade agreement with the USA signed by the previous government in 2011. This also became part of the conditionalities for an IMF loan, under which the government also promised to provide easy state-backed finance through ‘a scheme to encourage long-term lending by state financial institutions</w:t>
      </w:r>
      <w:r w:rsidR="00982DFA">
        <w:rPr>
          <w:rFonts w:cstheme="minorHAnsi"/>
          <w:szCs w:val="20"/>
        </w:rPr>
        <w:t>.</w:t>
      </w:r>
      <w:r w:rsidR="00BF7FC8" w:rsidRPr="00216A71">
        <w:rPr>
          <w:rFonts w:cstheme="minorHAnsi"/>
          <w:szCs w:val="20"/>
        </w:rPr>
        <w:t>’</w:t>
      </w:r>
      <w:r w:rsidRPr="00216A71">
        <w:rPr>
          <w:rFonts w:cstheme="minorHAnsi"/>
          <w:szCs w:val="20"/>
        </w:rPr>
        <w:t xml:space="preserve"> It was further reinforced by the USA threatening to withhold up to $400</w:t>
      </w:r>
      <w:r w:rsidR="00982DFA">
        <w:rPr>
          <w:rFonts w:cstheme="minorHAnsi"/>
          <w:szCs w:val="20"/>
        </w:rPr>
        <w:t xml:space="preserve"> </w:t>
      </w:r>
      <w:r w:rsidRPr="00216A71">
        <w:rPr>
          <w:rFonts w:cstheme="minorHAnsi"/>
          <w:szCs w:val="20"/>
        </w:rPr>
        <w:t>m</w:t>
      </w:r>
      <w:r w:rsidR="00982DFA">
        <w:rPr>
          <w:rFonts w:cstheme="minorHAnsi"/>
          <w:szCs w:val="20"/>
        </w:rPr>
        <w:t>illion</w:t>
      </w:r>
      <w:r w:rsidRPr="00216A71">
        <w:rPr>
          <w:rFonts w:cstheme="minorHAnsi"/>
          <w:szCs w:val="20"/>
        </w:rPr>
        <w:t xml:space="preserve"> of aid if the law was not passed.</w:t>
      </w:r>
      <w:r w:rsidRPr="00216A71">
        <w:rPr>
          <w:rStyle w:val="EndnoteReference"/>
          <w:rFonts w:cstheme="minorHAnsi"/>
          <w:szCs w:val="20"/>
        </w:rPr>
        <w:endnoteReference w:id="96"/>
      </w:r>
    </w:p>
    <w:p w:rsidR="000C629A" w:rsidRDefault="00326552" w:rsidP="006C6874">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There was a huge campaign: “On May Day</w:t>
      </w:r>
      <w:r w:rsidR="004045AD">
        <w:rPr>
          <w:rFonts w:cstheme="minorHAnsi"/>
          <w:szCs w:val="20"/>
        </w:rPr>
        <w:t xml:space="preserve"> </w:t>
      </w:r>
      <w:r w:rsidRPr="00216A71">
        <w:rPr>
          <w:rFonts w:cstheme="minorHAnsi"/>
          <w:szCs w:val="20"/>
        </w:rPr>
        <w:t>2012 more than</w:t>
      </w:r>
      <w:r w:rsidR="004045AD">
        <w:rPr>
          <w:rFonts w:cstheme="minorHAnsi"/>
          <w:szCs w:val="20"/>
        </w:rPr>
        <w:t xml:space="preserve"> </w:t>
      </w:r>
      <w:r w:rsidRPr="00216A71">
        <w:rPr>
          <w:rFonts w:cstheme="minorHAnsi"/>
          <w:szCs w:val="20"/>
        </w:rPr>
        <w:t>80,000 workers, students, indigenous, feminist</w:t>
      </w:r>
      <w:r w:rsidR="004045AD">
        <w:rPr>
          <w:rFonts w:cstheme="minorHAnsi"/>
          <w:szCs w:val="20"/>
        </w:rPr>
        <w:t xml:space="preserve"> </w:t>
      </w:r>
      <w:r w:rsidRPr="00216A71">
        <w:rPr>
          <w:rFonts w:cstheme="minorHAnsi"/>
          <w:szCs w:val="20"/>
        </w:rPr>
        <w:t>and social movement activists marched under the</w:t>
      </w:r>
      <w:r w:rsidR="004045AD">
        <w:rPr>
          <w:rFonts w:cstheme="minorHAnsi"/>
          <w:szCs w:val="20"/>
        </w:rPr>
        <w:t xml:space="preserve"> </w:t>
      </w:r>
      <w:r w:rsidRPr="00216A71">
        <w:rPr>
          <w:rFonts w:cstheme="minorHAnsi"/>
          <w:szCs w:val="20"/>
        </w:rPr>
        <w:t>banner</w:t>
      </w:r>
      <w:r w:rsidR="004045AD">
        <w:rPr>
          <w:rFonts w:cstheme="minorHAnsi"/>
          <w:szCs w:val="20"/>
        </w:rPr>
        <w:t xml:space="preserve"> </w:t>
      </w:r>
      <w:r w:rsidRPr="00216A71">
        <w:rPr>
          <w:rFonts w:cstheme="minorHAnsi"/>
          <w:szCs w:val="20"/>
        </w:rPr>
        <w:t>‘No More Privatisations, No to Public Private</w:t>
      </w:r>
      <w:r w:rsidR="004045AD">
        <w:rPr>
          <w:rFonts w:cstheme="minorHAnsi"/>
          <w:szCs w:val="20"/>
        </w:rPr>
        <w:t xml:space="preserve"> </w:t>
      </w:r>
      <w:r w:rsidRPr="00216A71">
        <w:rPr>
          <w:rFonts w:cstheme="minorHAnsi"/>
          <w:szCs w:val="20"/>
        </w:rPr>
        <w:t>Partnerships with Thieves</w:t>
      </w:r>
      <w:r w:rsidR="00982DFA">
        <w:rPr>
          <w:rFonts w:cstheme="minorHAnsi"/>
          <w:szCs w:val="20"/>
        </w:rPr>
        <w:t>.</w:t>
      </w:r>
      <w:r w:rsidRPr="00216A71">
        <w:rPr>
          <w:rFonts w:cstheme="minorHAnsi"/>
          <w:szCs w:val="20"/>
        </w:rPr>
        <w:t>’ Mass protests also took place outside parliament on the day of the vote</w:t>
      </w:r>
      <w:r w:rsidR="00982DFA">
        <w:rPr>
          <w:rFonts w:cstheme="minorHAnsi"/>
          <w:szCs w:val="20"/>
        </w:rPr>
        <w:t>…..</w:t>
      </w:r>
      <w:r w:rsidRPr="00216A71">
        <w:rPr>
          <w:rFonts w:cstheme="minorHAnsi"/>
          <w:szCs w:val="20"/>
        </w:rPr>
        <w:t>”</w:t>
      </w:r>
      <w:r w:rsidR="004045AD">
        <w:rPr>
          <w:rFonts w:cstheme="minorHAnsi"/>
          <w:szCs w:val="20"/>
        </w:rPr>
        <w:t xml:space="preserve"> </w:t>
      </w:r>
      <w:r w:rsidRPr="00216A71">
        <w:rPr>
          <w:rFonts w:cstheme="minorHAnsi"/>
          <w:szCs w:val="20"/>
        </w:rPr>
        <w:t xml:space="preserve">Although the law was passed, the campaign forced parliament to exclude public healthcare, education, water, public security and prisons from </w:t>
      </w:r>
      <w:r w:rsidR="009E450B" w:rsidRPr="00216A71">
        <w:rPr>
          <w:rFonts w:cstheme="minorHAnsi"/>
          <w:szCs w:val="20"/>
        </w:rPr>
        <w:t>its scope; to establish an audi</w:t>
      </w:r>
      <w:r w:rsidRPr="00216A71">
        <w:rPr>
          <w:rFonts w:cstheme="minorHAnsi"/>
          <w:szCs w:val="20"/>
        </w:rPr>
        <w:t xml:space="preserve">tor to sanction companies who failed </w:t>
      </w:r>
      <w:r w:rsidRPr="00216A71">
        <w:rPr>
          <w:rFonts w:cstheme="minorHAnsi"/>
          <w:szCs w:val="20"/>
        </w:rPr>
        <w:lastRenderedPageBreak/>
        <w:t>to deliver as required under contracts; and to require all contracts over $10</w:t>
      </w:r>
      <w:r w:rsidR="00982DFA">
        <w:rPr>
          <w:rFonts w:cstheme="minorHAnsi"/>
          <w:szCs w:val="20"/>
        </w:rPr>
        <w:t xml:space="preserve"> </w:t>
      </w:r>
      <w:r w:rsidRPr="00216A71">
        <w:rPr>
          <w:rFonts w:cstheme="minorHAnsi"/>
          <w:szCs w:val="20"/>
        </w:rPr>
        <w:t>million to be presented to parliament before signing.</w:t>
      </w:r>
      <w:r w:rsidRPr="00216A71">
        <w:rPr>
          <w:rStyle w:val="EndnoteReference"/>
          <w:rFonts w:cstheme="minorHAnsi"/>
          <w:szCs w:val="20"/>
        </w:rPr>
        <w:endnoteReference w:id="97"/>
      </w:r>
      <w:r w:rsidRPr="00216A71">
        <w:rPr>
          <w:rFonts w:cstheme="minorHAnsi"/>
          <w:szCs w:val="20"/>
        </w:rPr>
        <w:t xml:space="preserve"> </w:t>
      </w:r>
    </w:p>
    <w:p w:rsidR="000C629A" w:rsidRDefault="00326552" w:rsidP="006C6874">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The dangers of PPPs in El Salvador ha</w:t>
      </w:r>
      <w:r w:rsidR="00BF7FC8" w:rsidRPr="00216A71">
        <w:rPr>
          <w:rFonts w:cstheme="minorHAnsi"/>
          <w:szCs w:val="20"/>
        </w:rPr>
        <w:t>ve</w:t>
      </w:r>
      <w:r w:rsidRPr="00216A71">
        <w:rPr>
          <w:rFonts w:cstheme="minorHAnsi"/>
          <w:szCs w:val="20"/>
        </w:rPr>
        <w:t xml:space="preserve"> been highlighted by a new investigation of corruption involv</w:t>
      </w:r>
      <w:r w:rsidR="009E450B" w:rsidRPr="00216A71">
        <w:rPr>
          <w:rFonts w:cstheme="minorHAnsi"/>
          <w:szCs w:val="20"/>
        </w:rPr>
        <w:t>ed in</w:t>
      </w:r>
      <w:r w:rsidRPr="00216A71">
        <w:rPr>
          <w:rFonts w:cstheme="minorHAnsi"/>
          <w:szCs w:val="20"/>
        </w:rPr>
        <w:t xml:space="preserve"> an earlier PPP in energy involving a former president and the I</w:t>
      </w:r>
      <w:r w:rsidR="006C6874" w:rsidRPr="00216A71">
        <w:rPr>
          <w:rFonts w:cstheme="minorHAnsi"/>
          <w:szCs w:val="20"/>
        </w:rPr>
        <w:t>talian energy multinational ENEL</w:t>
      </w:r>
      <w:r w:rsidR="00982DFA">
        <w:rPr>
          <w:rFonts w:cstheme="minorHAnsi"/>
          <w:szCs w:val="20"/>
        </w:rPr>
        <w:t>.</w:t>
      </w:r>
    </w:p>
    <w:p w:rsidR="00326552" w:rsidRPr="00216A71" w:rsidRDefault="006C6874" w:rsidP="006C6874">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“The Attorney General of El Salvador has charged 21 former government officials and members of the Salvadoran business elite with embezzlement and falsifying documents in the deal for</w:t>
      </w:r>
      <w:r w:rsidR="00BF7FC8" w:rsidRPr="00216A71">
        <w:rPr>
          <w:rFonts w:cstheme="minorHAnsi"/>
          <w:szCs w:val="20"/>
        </w:rPr>
        <w:t xml:space="preserve"> a</w:t>
      </w:r>
      <w:r w:rsidRPr="00216A71">
        <w:rPr>
          <w:rFonts w:cstheme="minorHAnsi"/>
          <w:szCs w:val="20"/>
        </w:rPr>
        <w:t xml:space="preserve"> 2002 public-private partnership (P3) contract that allowed the Italian energy company Enel Green Power to move to take over the state geothermal energy company. The case marks one of the largest corruption investigations ever carried out against former government officials in the country’s history; the Attorney General has calculated the state’s losses at $1,824,929.05 as a result of the state’s contract with Enel.”</w:t>
      </w:r>
      <w:r w:rsidRPr="00216A71">
        <w:rPr>
          <w:rStyle w:val="EndnoteReference"/>
          <w:rFonts w:cstheme="minorHAnsi"/>
          <w:szCs w:val="20"/>
        </w:rPr>
        <w:endnoteReference w:id="98"/>
      </w:r>
    </w:p>
    <w:p w:rsidR="00326552" w:rsidRPr="00216A71" w:rsidRDefault="00D20C89" w:rsidP="000879B5">
      <w:pPr>
        <w:pStyle w:val="Heading6"/>
        <w:rPr>
          <w:rFonts w:cstheme="minorHAnsi"/>
          <w:szCs w:val="20"/>
        </w:rPr>
      </w:pPr>
      <w:r w:rsidRPr="00216A71">
        <w:rPr>
          <w:rFonts w:cstheme="minorHAnsi"/>
          <w:szCs w:val="20"/>
        </w:rPr>
        <w:t>Indonesia:</w:t>
      </w:r>
      <w:r w:rsidR="000879B5" w:rsidRPr="00216A71">
        <w:rPr>
          <w:rFonts w:cstheme="minorHAnsi"/>
          <w:szCs w:val="20"/>
        </w:rPr>
        <w:t xml:space="preserve"> postponed electricity IPP</w:t>
      </w:r>
    </w:p>
    <w:p w:rsidR="000C629A" w:rsidRDefault="00D20C89" w:rsidP="000879B5">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The IFC presents the Central Java 2000MW coal-fired IPP as a success story</w:t>
      </w:r>
      <w:r w:rsidR="00A11146" w:rsidRPr="00216A71">
        <w:rPr>
          <w:rFonts w:cstheme="minorHAnsi"/>
          <w:szCs w:val="20"/>
        </w:rPr>
        <w:t>. The IFC advised on the structure, and persuaded the Indonesian government to provide guarantees through the newly created Indonesia Infrastructure Guarantee Fund (IIGF).</w:t>
      </w:r>
      <w:r w:rsidR="004045AD">
        <w:rPr>
          <w:rFonts w:cstheme="minorHAnsi"/>
          <w:szCs w:val="20"/>
        </w:rPr>
        <w:t xml:space="preserve"> </w:t>
      </w:r>
    </w:p>
    <w:p w:rsidR="000C629A" w:rsidRDefault="00D20C89" w:rsidP="000879B5">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But </w:t>
      </w:r>
      <w:r w:rsidR="00A11146" w:rsidRPr="00216A71">
        <w:rPr>
          <w:rFonts w:cstheme="minorHAnsi"/>
          <w:szCs w:val="20"/>
        </w:rPr>
        <w:t>the power station</w:t>
      </w:r>
      <w:r w:rsidRPr="00216A71">
        <w:rPr>
          <w:rFonts w:cstheme="minorHAnsi"/>
          <w:szCs w:val="20"/>
        </w:rPr>
        <w:t xml:space="preserve"> is already at least </w:t>
      </w:r>
      <w:r w:rsidR="00982DFA">
        <w:rPr>
          <w:rFonts w:cstheme="minorHAnsi"/>
          <w:szCs w:val="20"/>
        </w:rPr>
        <w:t>two</w:t>
      </w:r>
      <w:r w:rsidRPr="00216A71">
        <w:rPr>
          <w:rFonts w:cstheme="minorHAnsi"/>
          <w:szCs w:val="20"/>
        </w:rPr>
        <w:t xml:space="preserve"> years behind schedule. The construction of the plant was intended to start in October 2012, but was postponed for a year because of “local opposition and environmental studies</w:t>
      </w:r>
      <w:r w:rsidR="00982DFA">
        <w:rPr>
          <w:rFonts w:cstheme="minorHAnsi"/>
          <w:szCs w:val="20"/>
        </w:rPr>
        <w:t>.</w:t>
      </w:r>
      <w:r w:rsidRPr="00216A71">
        <w:rPr>
          <w:rFonts w:cstheme="minorHAnsi"/>
          <w:szCs w:val="20"/>
        </w:rPr>
        <w:t xml:space="preserve">” </w:t>
      </w:r>
      <w:r w:rsidR="00982DFA">
        <w:rPr>
          <w:rFonts w:cstheme="minorHAnsi"/>
          <w:szCs w:val="20"/>
        </w:rPr>
        <w:t>I</w:t>
      </w:r>
      <w:r w:rsidRPr="00216A71">
        <w:rPr>
          <w:rFonts w:cstheme="minorHAnsi"/>
          <w:szCs w:val="20"/>
        </w:rPr>
        <w:t xml:space="preserve">t has now “postponed the schedule to finalise funding” for at least another year, until </w:t>
      </w:r>
      <w:r w:rsidR="00C67131" w:rsidRPr="00216A71">
        <w:rPr>
          <w:rFonts w:cstheme="minorHAnsi"/>
          <w:szCs w:val="20"/>
        </w:rPr>
        <w:t xml:space="preserve">October </w:t>
      </w:r>
      <w:r w:rsidRPr="00216A71">
        <w:rPr>
          <w:rFonts w:cstheme="minorHAnsi"/>
          <w:szCs w:val="20"/>
        </w:rPr>
        <w:t>2014.</w:t>
      </w:r>
      <w:r w:rsidR="004045AD">
        <w:rPr>
          <w:rFonts w:cstheme="minorHAnsi"/>
          <w:szCs w:val="20"/>
        </w:rPr>
        <w:t xml:space="preserve"> </w:t>
      </w:r>
      <w:r w:rsidR="003F0530" w:rsidRPr="00216A71">
        <w:rPr>
          <w:rFonts w:cstheme="minorHAnsi"/>
          <w:szCs w:val="20"/>
        </w:rPr>
        <w:t>This combination of public opposition and inability to find investors has been a problem with all of Indonesia’s PPP plans – of 48 PPP proposals announced in 2009, only one, a toll road in Bali, has been completed.</w:t>
      </w:r>
      <w:r w:rsidR="004663AF" w:rsidRPr="00216A71">
        <w:rPr>
          <w:rStyle w:val="EndnoteReference"/>
          <w:rFonts w:cstheme="minorHAnsi"/>
          <w:szCs w:val="20"/>
        </w:rPr>
        <w:endnoteReference w:id="99"/>
      </w:r>
    </w:p>
    <w:p w:rsidR="006C6874" w:rsidRPr="00216A71" w:rsidRDefault="004663AF" w:rsidP="000879B5">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PPP investors also </w:t>
      </w:r>
      <w:r w:rsidR="00781C4E" w:rsidRPr="00216A71">
        <w:rPr>
          <w:rFonts w:cstheme="minorHAnsi"/>
          <w:szCs w:val="20"/>
        </w:rPr>
        <w:t>see</w:t>
      </w:r>
      <w:r w:rsidRPr="00216A71">
        <w:rPr>
          <w:rFonts w:cstheme="minorHAnsi"/>
          <w:szCs w:val="20"/>
        </w:rPr>
        <w:t xml:space="preserve"> democratic elections as </w:t>
      </w:r>
      <w:r w:rsidR="00781C4E" w:rsidRPr="00216A71">
        <w:rPr>
          <w:rFonts w:cstheme="minorHAnsi"/>
          <w:szCs w:val="20"/>
        </w:rPr>
        <w:t>threats: “P</w:t>
      </w:r>
      <w:r w:rsidR="006C6874" w:rsidRPr="00216A71">
        <w:rPr>
          <w:rFonts w:cstheme="minorHAnsi"/>
          <w:szCs w:val="20"/>
        </w:rPr>
        <w:t>residential elections in Indonesia are scheduled to take place in July 2014, and this could prompt infrastructure investors to wait for greater political clarity before taking on PPP projects. The election present</w:t>
      </w:r>
      <w:r w:rsidR="00BF7FC8" w:rsidRPr="00216A71">
        <w:rPr>
          <w:rFonts w:cstheme="minorHAnsi"/>
          <w:szCs w:val="20"/>
        </w:rPr>
        <w:t>s</w:t>
      </w:r>
      <w:r w:rsidR="006C6874" w:rsidRPr="00216A71">
        <w:rPr>
          <w:rFonts w:cstheme="minorHAnsi"/>
          <w:szCs w:val="20"/>
        </w:rPr>
        <w:t xml:space="preserve"> considerable risks to the country's political stability and pro-business reforms as the political ideologies </w:t>
      </w:r>
      <w:r w:rsidR="00982DFA">
        <w:rPr>
          <w:rFonts w:cstheme="minorHAnsi"/>
          <w:szCs w:val="20"/>
        </w:rPr>
        <w:t>of</w:t>
      </w:r>
      <w:r w:rsidR="006C6874" w:rsidRPr="00216A71">
        <w:rPr>
          <w:rFonts w:cstheme="minorHAnsi"/>
          <w:szCs w:val="20"/>
        </w:rPr>
        <w:t xml:space="preserve"> the current frontrunners for the presidency are somewhat opaque. For example, Jakarta Governor Joko Widodo</w:t>
      </w:r>
      <w:r w:rsidR="004045AD">
        <w:rPr>
          <w:rFonts w:cstheme="minorHAnsi"/>
          <w:szCs w:val="20"/>
        </w:rPr>
        <w:t xml:space="preserve"> </w:t>
      </w:r>
      <w:r w:rsidR="006C6874" w:rsidRPr="00216A71">
        <w:rPr>
          <w:rFonts w:cstheme="minorHAnsi"/>
          <w:szCs w:val="20"/>
        </w:rPr>
        <w:t>has enjoyed success in reducing red tape and easing business procedures, but has also overseen an aggressive 44</w:t>
      </w:r>
      <w:r w:rsidR="00A42FDE">
        <w:rPr>
          <w:rFonts w:cstheme="minorHAnsi"/>
          <w:szCs w:val="20"/>
        </w:rPr>
        <w:t xml:space="preserve"> per cent</w:t>
      </w:r>
      <w:r w:rsidR="006C6874" w:rsidRPr="00216A71">
        <w:rPr>
          <w:rFonts w:cstheme="minorHAnsi"/>
          <w:szCs w:val="20"/>
        </w:rPr>
        <w:t xml:space="preserve"> increase in the capital's minimum wage.</w:t>
      </w:r>
      <w:r w:rsidR="00781C4E" w:rsidRPr="00216A71">
        <w:rPr>
          <w:rFonts w:cstheme="minorHAnsi"/>
          <w:szCs w:val="20"/>
        </w:rPr>
        <w:t xml:space="preserve">” </w:t>
      </w:r>
      <w:r w:rsidR="00781C4E" w:rsidRPr="00216A71">
        <w:rPr>
          <w:rStyle w:val="EndnoteReference"/>
          <w:rFonts w:cstheme="minorHAnsi"/>
          <w:szCs w:val="20"/>
        </w:rPr>
        <w:endnoteReference w:id="100"/>
      </w:r>
    </w:p>
    <w:p w:rsidR="00182B4C" w:rsidRPr="00216A71" w:rsidRDefault="00182B4C" w:rsidP="00EC4A5D">
      <w:pPr>
        <w:pStyle w:val="Heading2"/>
        <w:rPr>
          <w:rFonts w:asciiTheme="minorHAnsi" w:hAnsiTheme="minorHAnsi" w:cstheme="minorHAnsi"/>
        </w:rPr>
      </w:pPr>
      <w:bookmarkStart w:id="24" w:name="_Toc210421143"/>
      <w:bookmarkStart w:id="25" w:name="_Toc210425517"/>
      <w:bookmarkStart w:id="26" w:name="_Toc210425974"/>
      <w:bookmarkStart w:id="27" w:name="_Toc210421144"/>
      <w:bookmarkStart w:id="28" w:name="_Toc210425518"/>
      <w:bookmarkStart w:id="29" w:name="_Toc210425975"/>
      <w:bookmarkStart w:id="30" w:name="_Toc210421146"/>
      <w:bookmarkStart w:id="31" w:name="_Toc210425520"/>
      <w:bookmarkStart w:id="32" w:name="_Toc210425977"/>
      <w:bookmarkStart w:id="33" w:name="_Toc210421151"/>
      <w:bookmarkStart w:id="34" w:name="_Toc210425525"/>
      <w:bookmarkStart w:id="35" w:name="_Toc210425982"/>
      <w:bookmarkStart w:id="36" w:name="_Toc210421153"/>
      <w:bookmarkStart w:id="37" w:name="_Toc210425527"/>
      <w:bookmarkStart w:id="38" w:name="_Toc210425984"/>
      <w:bookmarkStart w:id="39" w:name="_Toc210421154"/>
      <w:bookmarkStart w:id="40" w:name="_Toc210425528"/>
      <w:bookmarkStart w:id="41" w:name="_Toc210425985"/>
      <w:bookmarkStart w:id="42" w:name="_Toc210421155"/>
      <w:bookmarkStart w:id="43" w:name="_Toc210425529"/>
      <w:bookmarkStart w:id="44" w:name="_Toc210425986"/>
      <w:bookmarkStart w:id="45" w:name="_Toc210421159"/>
      <w:bookmarkStart w:id="46" w:name="_Toc210425533"/>
      <w:bookmarkStart w:id="47" w:name="_Toc210425990"/>
      <w:bookmarkStart w:id="48" w:name="_Toc210421163"/>
      <w:bookmarkStart w:id="49" w:name="_Toc210425537"/>
      <w:bookmarkStart w:id="50" w:name="_Toc210425994"/>
      <w:bookmarkStart w:id="51" w:name="_Toc210421165"/>
      <w:bookmarkStart w:id="52" w:name="_Toc210425539"/>
      <w:bookmarkStart w:id="53" w:name="_Toc210425996"/>
      <w:bookmarkStart w:id="54" w:name="_Toc210421166"/>
      <w:bookmarkStart w:id="55" w:name="_Toc210425540"/>
      <w:bookmarkStart w:id="56" w:name="_Toc210425997"/>
      <w:bookmarkStart w:id="57" w:name="_Toc210421167"/>
      <w:bookmarkStart w:id="58" w:name="_Toc210425541"/>
      <w:bookmarkStart w:id="59" w:name="_Toc210425998"/>
      <w:bookmarkStart w:id="60" w:name="_Toc210421168"/>
      <w:bookmarkStart w:id="61" w:name="_Toc210425542"/>
      <w:bookmarkStart w:id="62" w:name="_Toc210425999"/>
      <w:bookmarkStart w:id="63" w:name="_Toc210421170"/>
      <w:bookmarkStart w:id="64" w:name="_Toc210425544"/>
      <w:bookmarkStart w:id="65" w:name="_Toc210426001"/>
      <w:bookmarkStart w:id="66" w:name="_Toc210421173"/>
      <w:bookmarkStart w:id="67" w:name="_Toc210425547"/>
      <w:bookmarkStart w:id="68" w:name="_Toc210426004"/>
      <w:bookmarkStart w:id="69" w:name="_Toc210421174"/>
      <w:bookmarkStart w:id="70" w:name="_Toc210425548"/>
      <w:bookmarkStart w:id="71" w:name="_Toc210426005"/>
      <w:bookmarkStart w:id="72" w:name="_Toc210421175"/>
      <w:bookmarkStart w:id="73" w:name="_Toc210425549"/>
      <w:bookmarkStart w:id="74" w:name="_Toc210426006"/>
      <w:bookmarkStart w:id="75" w:name="_Toc210421176"/>
      <w:bookmarkStart w:id="76" w:name="_Toc210425550"/>
      <w:bookmarkStart w:id="77" w:name="_Toc210426007"/>
      <w:bookmarkStart w:id="78" w:name="_Toc212951539"/>
      <w:bookmarkStart w:id="79" w:name="_Toc39285753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16A71">
        <w:rPr>
          <w:rFonts w:asciiTheme="minorHAnsi" w:hAnsiTheme="minorHAnsi" w:cstheme="minorHAnsi"/>
        </w:rPr>
        <w:t>Overview</w:t>
      </w:r>
      <w:bookmarkEnd w:id="79"/>
    </w:p>
    <w:p w:rsidR="00182B4C" w:rsidRPr="00216A71" w:rsidRDefault="002C5CF8">
      <w:pPr>
        <w:rPr>
          <w:rFonts w:cstheme="minorHAnsi"/>
        </w:rPr>
      </w:pPr>
      <w:r w:rsidRPr="00216A71">
        <w:rPr>
          <w:rFonts w:cstheme="minorHAnsi"/>
        </w:rPr>
        <w:t xml:space="preserve">This coordinated international promotion of PPPs is an extraordinary use of networks and resources, similar to the promotion of privatisation in the 1990s, and with many of the same actors. </w:t>
      </w:r>
      <w:r w:rsidR="00182B4C" w:rsidRPr="00216A71">
        <w:rPr>
          <w:rFonts w:cstheme="minorHAnsi"/>
        </w:rPr>
        <w:t xml:space="preserve">Without this enormous propaganda and financing effort, most of </w:t>
      </w:r>
      <w:r w:rsidR="00982DFA">
        <w:rPr>
          <w:rFonts w:cstheme="minorHAnsi"/>
        </w:rPr>
        <w:t xml:space="preserve">it </w:t>
      </w:r>
      <w:r w:rsidR="00182B4C" w:rsidRPr="00216A71">
        <w:rPr>
          <w:rFonts w:cstheme="minorHAnsi"/>
        </w:rPr>
        <w:t>conducted by public sector institutions using public finance, it is certain that very few PPPs would be implemented.</w:t>
      </w:r>
      <w:r w:rsidR="004045AD">
        <w:rPr>
          <w:rFonts w:cstheme="minorHAnsi"/>
        </w:rPr>
        <w:t xml:space="preserve"> </w:t>
      </w:r>
      <w:r w:rsidRPr="00216A71">
        <w:rPr>
          <w:rFonts w:cstheme="minorHAnsi"/>
        </w:rPr>
        <w:t xml:space="preserve">This international pressure </w:t>
      </w:r>
      <w:r w:rsidR="00A66254" w:rsidRPr="00216A71">
        <w:rPr>
          <w:rFonts w:cstheme="minorHAnsi"/>
        </w:rPr>
        <w:t>creates damaging distortions:</w:t>
      </w:r>
    </w:p>
    <w:p w:rsidR="00A66254" w:rsidRPr="00216A71" w:rsidRDefault="00A66254" w:rsidP="00EC4A5D">
      <w:pPr>
        <w:pStyle w:val="ListParagraph"/>
        <w:numPr>
          <w:ilvl w:val="0"/>
          <w:numId w:val="32"/>
        </w:numPr>
        <w:rPr>
          <w:rFonts w:cstheme="minorHAnsi"/>
        </w:rPr>
      </w:pPr>
      <w:r w:rsidRPr="00216A71">
        <w:rPr>
          <w:rFonts w:cstheme="minorHAnsi"/>
        </w:rPr>
        <w:t>It distorts public debates and decision-making</w:t>
      </w:r>
      <w:r w:rsidR="00982DFA">
        <w:rPr>
          <w:rFonts w:cstheme="minorHAnsi"/>
        </w:rPr>
        <w:t>.</w:t>
      </w:r>
    </w:p>
    <w:p w:rsidR="00A66254" w:rsidRPr="00216A71" w:rsidRDefault="00A66254" w:rsidP="00EC4A5D">
      <w:pPr>
        <w:pStyle w:val="ListParagraph"/>
        <w:numPr>
          <w:ilvl w:val="0"/>
          <w:numId w:val="32"/>
        </w:numPr>
        <w:rPr>
          <w:rFonts w:cstheme="minorHAnsi"/>
        </w:rPr>
      </w:pPr>
      <w:r w:rsidRPr="00216A71">
        <w:rPr>
          <w:rFonts w:cstheme="minorHAnsi"/>
        </w:rPr>
        <w:t>It results in more PPPs being set up than would otherwise be decided (the main objective of the network)</w:t>
      </w:r>
      <w:r w:rsidR="00982DFA">
        <w:rPr>
          <w:rFonts w:cstheme="minorHAnsi"/>
        </w:rPr>
        <w:t>.</w:t>
      </w:r>
      <w:r w:rsidRPr="00216A71">
        <w:rPr>
          <w:rFonts w:cstheme="minorHAnsi"/>
        </w:rPr>
        <w:t xml:space="preserve"> </w:t>
      </w:r>
    </w:p>
    <w:p w:rsidR="00A66254" w:rsidRPr="00216A71" w:rsidRDefault="00A66254" w:rsidP="00EC4A5D">
      <w:pPr>
        <w:pStyle w:val="ListParagraph"/>
        <w:numPr>
          <w:ilvl w:val="0"/>
          <w:numId w:val="32"/>
        </w:numPr>
        <w:rPr>
          <w:rFonts w:cstheme="minorHAnsi"/>
        </w:rPr>
      </w:pPr>
      <w:r w:rsidRPr="00216A71">
        <w:rPr>
          <w:rFonts w:cstheme="minorHAnsi"/>
        </w:rPr>
        <w:t>Public policy is diverted to creating PPPs rather than the optimum infrastructure</w:t>
      </w:r>
      <w:r w:rsidR="00982DFA">
        <w:rPr>
          <w:rFonts w:cstheme="minorHAnsi"/>
        </w:rPr>
        <w:t>.</w:t>
      </w:r>
    </w:p>
    <w:p w:rsidR="007D7E27" w:rsidRPr="00216A71" w:rsidRDefault="00A66254" w:rsidP="00EC4A5D">
      <w:pPr>
        <w:pStyle w:val="ListParagraph"/>
        <w:numPr>
          <w:ilvl w:val="0"/>
          <w:numId w:val="32"/>
        </w:numPr>
        <w:rPr>
          <w:rFonts w:cstheme="minorHAnsi"/>
        </w:rPr>
      </w:pPr>
      <w:r w:rsidRPr="00216A71">
        <w:rPr>
          <w:rFonts w:cstheme="minorHAnsi"/>
        </w:rPr>
        <w:t>Projects get prioritised according to their suitability for PPPs, not their importance for the social and economic objectives of public policy</w:t>
      </w:r>
      <w:r w:rsidR="00982DFA">
        <w:rPr>
          <w:rFonts w:cstheme="minorHAnsi"/>
        </w:rPr>
        <w:t>.</w:t>
      </w:r>
    </w:p>
    <w:p w:rsidR="00A66254" w:rsidRPr="00216A71" w:rsidRDefault="007D7E27" w:rsidP="00EC4A5D">
      <w:pPr>
        <w:pStyle w:val="ListParagraph"/>
        <w:numPr>
          <w:ilvl w:val="0"/>
          <w:numId w:val="32"/>
        </w:numPr>
        <w:rPr>
          <w:rFonts w:cstheme="minorHAnsi"/>
        </w:rPr>
      </w:pPr>
      <w:r w:rsidRPr="00216A71">
        <w:rPr>
          <w:rFonts w:cstheme="minorHAnsi"/>
        </w:rPr>
        <w:t>Money used to promote and finance PPPs ‘crowds out’ other possible uses of it, e.g. to finance actual infrastructure through supporting governments.</w:t>
      </w:r>
      <w:r w:rsidR="004045AD">
        <w:rPr>
          <w:rFonts w:cstheme="minorHAnsi"/>
        </w:rPr>
        <w:t xml:space="preserve"> </w:t>
      </w:r>
    </w:p>
    <w:p w:rsidR="000C629A" w:rsidRDefault="00A66254" w:rsidP="00EC4A5D">
      <w:pPr>
        <w:pStyle w:val="ListParagraph"/>
        <w:numPr>
          <w:ilvl w:val="0"/>
          <w:numId w:val="32"/>
        </w:numPr>
        <w:rPr>
          <w:rFonts w:cstheme="minorHAnsi"/>
        </w:rPr>
      </w:pPr>
      <w:r w:rsidRPr="00216A71">
        <w:rPr>
          <w:rFonts w:cstheme="minorHAnsi"/>
        </w:rPr>
        <w:t>It is arguably an abuse of public money to be offering such financial assistance to lobbyists for PPPs and to the companies themselves.</w:t>
      </w:r>
    </w:p>
    <w:p w:rsidR="00134E25" w:rsidRPr="00216A71" w:rsidRDefault="003E7CAC" w:rsidP="00CE1FBB">
      <w:pPr>
        <w:pStyle w:val="Heading1"/>
      </w:pPr>
      <w:bookmarkStart w:id="80" w:name="_Toc392857533"/>
      <w:r w:rsidRPr="00216A71">
        <w:t xml:space="preserve">General </w:t>
      </w:r>
      <w:r w:rsidR="00134E25" w:rsidRPr="00216A71">
        <w:t>problems with PPPs</w:t>
      </w:r>
      <w:bookmarkEnd w:id="80"/>
    </w:p>
    <w:p w:rsidR="000C629A" w:rsidRDefault="007D7E27" w:rsidP="007D7E27">
      <w:pPr>
        <w:rPr>
          <w:rFonts w:cstheme="minorHAnsi"/>
        </w:rPr>
      </w:pPr>
      <w:r w:rsidRPr="00216A71">
        <w:rPr>
          <w:rFonts w:cstheme="minorHAnsi"/>
        </w:rPr>
        <w:t xml:space="preserve">This and the next section provide an empirically-based analysis of the problems with PPPs. </w:t>
      </w:r>
    </w:p>
    <w:p w:rsidR="00164F07" w:rsidRPr="00216A71" w:rsidRDefault="007D7E27">
      <w:pPr>
        <w:rPr>
          <w:rFonts w:cstheme="minorHAnsi"/>
        </w:rPr>
      </w:pPr>
      <w:r w:rsidRPr="00216A71">
        <w:rPr>
          <w:rFonts w:cstheme="minorHAnsi"/>
        </w:rPr>
        <w:t>This section sets out</w:t>
      </w:r>
      <w:r w:rsidR="00164F07" w:rsidRPr="00216A71">
        <w:rPr>
          <w:rFonts w:cstheme="minorHAnsi"/>
        </w:rPr>
        <w:t>:</w:t>
      </w:r>
    </w:p>
    <w:p w:rsidR="00164F07" w:rsidRPr="00216A71" w:rsidRDefault="00FF6D63" w:rsidP="00EC4A5D">
      <w:pPr>
        <w:pStyle w:val="ListParagraph"/>
        <w:numPr>
          <w:ilvl w:val="0"/>
          <w:numId w:val="32"/>
        </w:numPr>
        <w:rPr>
          <w:rFonts w:cstheme="minorHAnsi"/>
        </w:rPr>
      </w:pPr>
      <w:r>
        <w:rPr>
          <w:rFonts w:cstheme="minorHAnsi"/>
        </w:rPr>
        <w:t>R</w:t>
      </w:r>
      <w:r w:rsidRPr="00216A71">
        <w:rPr>
          <w:rFonts w:cstheme="minorHAnsi"/>
        </w:rPr>
        <w:t>easons</w:t>
      </w:r>
      <w:r w:rsidR="007D7E27" w:rsidRPr="00216A71">
        <w:rPr>
          <w:rFonts w:cstheme="minorHAnsi"/>
        </w:rPr>
        <w:t xml:space="preserve"> why PPPs do not produce the benefits that are promised</w:t>
      </w:r>
      <w:r w:rsidR="00982DFA">
        <w:rPr>
          <w:rFonts w:cstheme="minorHAnsi"/>
        </w:rPr>
        <w:t>.</w:t>
      </w:r>
    </w:p>
    <w:p w:rsidR="00164F07" w:rsidRPr="00216A71" w:rsidRDefault="00164F07" w:rsidP="00EC4A5D">
      <w:pPr>
        <w:pStyle w:val="ListParagraph"/>
        <w:numPr>
          <w:ilvl w:val="0"/>
          <w:numId w:val="32"/>
        </w:numPr>
        <w:rPr>
          <w:rFonts w:cstheme="minorHAnsi"/>
        </w:rPr>
      </w:pPr>
      <w:r w:rsidRPr="00216A71">
        <w:rPr>
          <w:rFonts w:cstheme="minorHAnsi"/>
        </w:rPr>
        <w:t xml:space="preserve">Systemic </w:t>
      </w:r>
      <w:r w:rsidR="007D7E27" w:rsidRPr="00216A71">
        <w:rPr>
          <w:rFonts w:cstheme="minorHAnsi"/>
        </w:rPr>
        <w:t>problems</w:t>
      </w:r>
      <w:r w:rsidR="004045AD">
        <w:rPr>
          <w:rFonts w:cstheme="minorHAnsi"/>
        </w:rPr>
        <w:t xml:space="preserve"> </w:t>
      </w:r>
      <w:r w:rsidRPr="00216A71">
        <w:rPr>
          <w:rFonts w:cstheme="minorHAnsi"/>
        </w:rPr>
        <w:t>arising from</w:t>
      </w:r>
      <w:r w:rsidR="007D7E27" w:rsidRPr="00216A71">
        <w:rPr>
          <w:rFonts w:cstheme="minorHAnsi"/>
        </w:rPr>
        <w:t xml:space="preserve"> </w:t>
      </w:r>
      <w:r w:rsidRPr="00216A71">
        <w:rPr>
          <w:rFonts w:cstheme="minorHAnsi"/>
        </w:rPr>
        <w:t>the process of creating PPPs: corruption, secrecy and unreliable forecasts</w:t>
      </w:r>
      <w:r w:rsidR="00982DFA">
        <w:rPr>
          <w:rFonts w:cstheme="minorHAnsi"/>
        </w:rPr>
        <w:t>.</w:t>
      </w:r>
    </w:p>
    <w:p w:rsidR="000C629A" w:rsidRDefault="00164F07" w:rsidP="00EC4A5D">
      <w:pPr>
        <w:pStyle w:val="ListParagraph"/>
        <w:numPr>
          <w:ilvl w:val="0"/>
          <w:numId w:val="32"/>
        </w:numPr>
        <w:rPr>
          <w:rFonts w:cstheme="minorHAnsi"/>
        </w:rPr>
      </w:pPr>
      <w:r w:rsidRPr="00216A71">
        <w:rPr>
          <w:rFonts w:cstheme="minorHAnsi"/>
        </w:rPr>
        <w:lastRenderedPageBreak/>
        <w:t>How PPPs have a damaging effect on public services</w:t>
      </w:r>
      <w:r w:rsidR="00982DFA">
        <w:rPr>
          <w:rFonts w:cstheme="minorHAnsi"/>
        </w:rPr>
        <w:t>.</w:t>
      </w:r>
    </w:p>
    <w:p w:rsidR="000C629A" w:rsidRDefault="00164F07" w:rsidP="00164F07">
      <w:pPr>
        <w:rPr>
          <w:rFonts w:cstheme="minorHAnsi"/>
        </w:rPr>
      </w:pPr>
      <w:r w:rsidRPr="00216A71">
        <w:rPr>
          <w:rFonts w:cstheme="minorHAnsi"/>
        </w:rPr>
        <w:t>The following section sets out a framework for a systematic evaluation of proposals to introduce PPPs in general, based on a comprehensive comparative analysis of the quantifiable and unquantifiable advantages and disadvantages of using conventional public sector financing of infrastructure</w:t>
      </w:r>
      <w:r w:rsidR="00982DFA">
        <w:rPr>
          <w:rFonts w:cstheme="minorHAnsi"/>
        </w:rPr>
        <w:t>.</w:t>
      </w:r>
    </w:p>
    <w:p w:rsidR="00160AAB" w:rsidRPr="00216A71" w:rsidRDefault="00164F07" w:rsidP="00160AAB">
      <w:pPr>
        <w:rPr>
          <w:rFonts w:cstheme="minorHAnsi"/>
        </w:rPr>
      </w:pPr>
      <w:r w:rsidRPr="00216A71">
        <w:rPr>
          <w:rFonts w:cstheme="minorHAnsi"/>
        </w:rPr>
        <w:t xml:space="preserve">The </w:t>
      </w:r>
      <w:r w:rsidR="00160AAB" w:rsidRPr="00216A71">
        <w:rPr>
          <w:rFonts w:cstheme="minorHAnsi"/>
        </w:rPr>
        <w:t>empirical evidence in the chapters is strengthened by the major case studies in the first annexe</w:t>
      </w:r>
      <w:r w:rsidR="00982DFA">
        <w:rPr>
          <w:rFonts w:cstheme="minorHAnsi"/>
        </w:rPr>
        <w:t xml:space="preserve">, including </w:t>
      </w:r>
      <w:r w:rsidR="00160AAB" w:rsidRPr="00216A71">
        <w:rPr>
          <w:rFonts w:cstheme="minorHAnsi"/>
        </w:rPr>
        <w:t>a detailed account of the failure and cancellation of all the transport PPPs in London.</w:t>
      </w:r>
    </w:p>
    <w:p w:rsidR="00C33FDE" w:rsidRPr="00C33FDE" w:rsidRDefault="00C33FDE" w:rsidP="00C33FDE">
      <w:pPr>
        <w:pStyle w:val="ListParagraph"/>
        <w:keepNext/>
        <w:numPr>
          <w:ilvl w:val="0"/>
          <w:numId w:val="16"/>
        </w:numPr>
        <w:spacing w:before="240" w:after="60"/>
        <w:contextualSpacing w:val="0"/>
        <w:outlineLvl w:val="1"/>
        <w:rPr>
          <w:rFonts w:cstheme="minorHAnsi"/>
          <w:b/>
          <w:bCs/>
          <w:iCs/>
          <w:vanish/>
          <w:szCs w:val="20"/>
        </w:rPr>
      </w:pPr>
    </w:p>
    <w:p w:rsidR="00134E25" w:rsidRPr="00216A71" w:rsidRDefault="00134E25" w:rsidP="00C33FDE">
      <w:pPr>
        <w:pStyle w:val="Heading2"/>
      </w:pPr>
      <w:bookmarkStart w:id="81" w:name="_Toc392857534"/>
      <w:r w:rsidRPr="00216A71">
        <w:t>PPPs do not ‘bring extra money’</w:t>
      </w:r>
      <w:r w:rsidR="00982DFA">
        <w:t xml:space="preserve"> – </w:t>
      </w:r>
      <w:r w:rsidRPr="00216A71">
        <w:t>the effect on public and consumer spending</w:t>
      </w:r>
      <w:bookmarkEnd w:id="81"/>
    </w:p>
    <w:p w:rsidR="000C629A" w:rsidRDefault="00134E25" w:rsidP="00134E25">
      <w:pPr>
        <w:rPr>
          <w:rFonts w:cstheme="minorHAnsi"/>
          <w:szCs w:val="20"/>
        </w:rPr>
      </w:pPr>
      <w:r w:rsidRPr="00216A71">
        <w:rPr>
          <w:rFonts w:cstheme="minorHAnsi"/>
          <w:szCs w:val="20"/>
        </w:rPr>
        <w:t xml:space="preserve">Many advocates of PPPs claim that </w:t>
      </w:r>
      <w:r w:rsidR="00BF7FC8" w:rsidRPr="00216A71">
        <w:rPr>
          <w:rFonts w:cstheme="minorHAnsi"/>
          <w:szCs w:val="20"/>
        </w:rPr>
        <w:t xml:space="preserve">they </w:t>
      </w:r>
      <w:r w:rsidRPr="00216A71">
        <w:rPr>
          <w:rFonts w:cstheme="minorHAnsi"/>
          <w:szCs w:val="20"/>
        </w:rPr>
        <w:t>bring additional private resources into public services or infrastructure.</w:t>
      </w:r>
      <w:r w:rsidR="004045AD">
        <w:rPr>
          <w:rFonts w:cstheme="minorHAnsi"/>
          <w:szCs w:val="20"/>
        </w:rPr>
        <w:t xml:space="preserve"> </w:t>
      </w:r>
      <w:r w:rsidRPr="00216A71">
        <w:rPr>
          <w:rFonts w:cstheme="minorHAnsi"/>
          <w:szCs w:val="20"/>
        </w:rPr>
        <w:t>Somehow, the public – or the public authorities – do not have to pay for schools or hospitals developed by PPPs, and so the government or municipality will have more money left to spend on other services;</w:t>
      </w:r>
      <w:r w:rsidR="004045AD">
        <w:rPr>
          <w:rFonts w:cstheme="minorHAnsi"/>
          <w:szCs w:val="20"/>
        </w:rPr>
        <w:t xml:space="preserve"> </w:t>
      </w:r>
      <w:r w:rsidR="00BF7FC8" w:rsidRPr="00216A71">
        <w:rPr>
          <w:rFonts w:cstheme="minorHAnsi"/>
          <w:szCs w:val="20"/>
        </w:rPr>
        <w:t xml:space="preserve">therefore, </w:t>
      </w:r>
      <w:r w:rsidRPr="00216A71">
        <w:rPr>
          <w:rFonts w:cstheme="minorHAnsi"/>
          <w:szCs w:val="20"/>
        </w:rPr>
        <w:t>PPPs mean a reduction in borrowing.</w:t>
      </w:r>
      <w:r w:rsidR="004045AD">
        <w:rPr>
          <w:rFonts w:cstheme="minorHAnsi"/>
          <w:szCs w:val="20"/>
        </w:rPr>
        <w:t xml:space="preserve"> </w:t>
      </w:r>
    </w:p>
    <w:p w:rsidR="000C629A" w:rsidRDefault="00134E25" w:rsidP="00134E25">
      <w:pPr>
        <w:rPr>
          <w:rFonts w:cstheme="minorHAnsi"/>
          <w:szCs w:val="20"/>
        </w:rPr>
      </w:pPr>
      <w:r w:rsidRPr="00216A71">
        <w:rPr>
          <w:rFonts w:cstheme="minorHAnsi"/>
          <w:szCs w:val="20"/>
        </w:rPr>
        <w:t xml:space="preserve">But in PPPs for services like hospitals or schools, the government pays for the cost of the PPP from taxation – by paying for the cost of construction, and then the cost of running the service. So PPPs are paid for by the public sector in just the same way as projects carried out directly by public authorities. Where the PPP is at least partly financed by user charges e.g. water or energy, these charges are still paid by the users in the same way under a PPP as under direct public provision. </w:t>
      </w:r>
    </w:p>
    <w:p w:rsidR="000C629A" w:rsidRDefault="00134E25" w:rsidP="00134E25">
      <w:pPr>
        <w:rPr>
          <w:rFonts w:cstheme="minorHAnsi"/>
          <w:szCs w:val="20"/>
        </w:rPr>
      </w:pPr>
      <w:r w:rsidRPr="00216A71">
        <w:rPr>
          <w:rFonts w:cstheme="minorHAnsi"/>
          <w:szCs w:val="20"/>
        </w:rPr>
        <w:t xml:space="preserve">In both cases, money is borrowed from the same financial institutions – banks, pension funds and other investors. PPPs do not open access to special ‘new’ sources of finance. </w:t>
      </w:r>
      <w:r w:rsidRPr="00216A71">
        <w:rPr>
          <w:rFonts w:cstheme="minorHAnsi"/>
          <w:color w:val="000000"/>
          <w:szCs w:val="20"/>
        </w:rPr>
        <w:t>A PPP can spread the cost of a new building over many years, like any form of borrowing. But it does not reduce the overall cost of</w:t>
      </w:r>
      <w:r w:rsidR="004045AD">
        <w:rPr>
          <w:rFonts w:cstheme="minorHAnsi"/>
          <w:color w:val="000000"/>
          <w:szCs w:val="20"/>
        </w:rPr>
        <w:t xml:space="preserve"> </w:t>
      </w:r>
      <w:r w:rsidRPr="00216A71">
        <w:rPr>
          <w:rFonts w:cstheme="minorHAnsi"/>
          <w:color w:val="000000"/>
          <w:szCs w:val="20"/>
        </w:rPr>
        <w:t xml:space="preserve">e.g. building a hospital: it just spreads it into the future, like any form of borrowing. </w:t>
      </w:r>
    </w:p>
    <w:p w:rsidR="000C629A" w:rsidRDefault="00134E25" w:rsidP="00134E25">
      <w:pPr>
        <w:rPr>
          <w:rFonts w:cstheme="minorHAnsi"/>
          <w:color w:val="000000"/>
          <w:szCs w:val="20"/>
        </w:rPr>
      </w:pPr>
      <w:r w:rsidRPr="00216A71">
        <w:rPr>
          <w:rFonts w:cstheme="minorHAnsi"/>
          <w:color w:val="000000"/>
          <w:szCs w:val="20"/>
        </w:rPr>
        <w:t>In reality, over the lifetime of a project, a PPP will invariably involve higher public spending than a conventional project, because of the higher costs of capital</w:t>
      </w:r>
      <w:r w:rsidR="00670F60" w:rsidRPr="00216A71">
        <w:rPr>
          <w:rFonts w:cstheme="minorHAnsi"/>
          <w:color w:val="000000"/>
          <w:szCs w:val="20"/>
        </w:rPr>
        <w:t xml:space="preserve">, and because in practice there are no efficiency gains </w:t>
      </w:r>
      <w:r w:rsidRPr="00216A71">
        <w:rPr>
          <w:rFonts w:cstheme="minorHAnsi"/>
          <w:color w:val="000000"/>
          <w:szCs w:val="20"/>
        </w:rPr>
        <w:t>(see below).</w:t>
      </w:r>
      <w:r w:rsidR="004045AD">
        <w:rPr>
          <w:rFonts w:cstheme="minorHAnsi"/>
          <w:color w:val="000000"/>
          <w:szCs w:val="20"/>
        </w:rPr>
        <w:t xml:space="preserve"> </w:t>
      </w:r>
      <w:r w:rsidRPr="00216A71">
        <w:rPr>
          <w:rFonts w:cstheme="minorHAnsi"/>
          <w:color w:val="000000"/>
          <w:szCs w:val="20"/>
        </w:rPr>
        <w:t>And private operators charge higher prices to users, because they have a monopoly – as shown in the case of France.</w:t>
      </w:r>
      <w:r w:rsidR="004045AD">
        <w:rPr>
          <w:rFonts w:cstheme="minorHAnsi"/>
          <w:color w:val="000000"/>
          <w:szCs w:val="20"/>
        </w:rPr>
        <w:t xml:space="preserve"> </w:t>
      </w:r>
      <w:r w:rsidRPr="00216A71">
        <w:rPr>
          <w:rFonts w:cstheme="minorHAnsi"/>
          <w:color w:val="000000"/>
          <w:szCs w:val="20"/>
        </w:rPr>
        <w:t>So the alternative of a conventional public sector project with an in</w:t>
      </w:r>
      <w:r w:rsidR="00750051" w:rsidRPr="00216A71">
        <w:rPr>
          <w:rFonts w:cstheme="minorHAnsi"/>
          <w:color w:val="000000"/>
          <w:szCs w:val="20"/>
        </w:rPr>
        <w:t>-</w:t>
      </w:r>
      <w:r w:rsidRPr="00216A71">
        <w:rPr>
          <w:rFonts w:cstheme="minorHAnsi"/>
          <w:color w:val="000000"/>
          <w:szCs w:val="20"/>
        </w:rPr>
        <w:t xml:space="preserve">house service would involve less public spending overall. </w:t>
      </w:r>
    </w:p>
    <w:p w:rsidR="00134E25" w:rsidRPr="00216A71" w:rsidRDefault="00134E25" w:rsidP="00134E25">
      <w:pPr>
        <w:pStyle w:val="Heading6"/>
        <w:rPr>
          <w:rFonts w:cstheme="minorHAnsi"/>
          <w:szCs w:val="20"/>
        </w:rPr>
      </w:pPr>
      <w:r w:rsidRPr="00216A71">
        <w:rPr>
          <w:rFonts w:cstheme="minorHAnsi"/>
          <w:szCs w:val="20"/>
        </w:rPr>
        <w:t xml:space="preserve">Higher prices in water PPPs – in France </w:t>
      </w:r>
    </w:p>
    <w:p w:rsidR="008F1153" w:rsidRPr="00216A71" w:rsidRDefault="00134E25" w:rsidP="00134E25">
      <w:pPr>
        <w:pBdr>
          <w:top w:val="single" w:sz="4" w:space="1" w:color="auto"/>
          <w:left w:val="single" w:sz="4" w:space="4" w:color="auto"/>
          <w:bottom w:val="single" w:sz="4" w:space="1" w:color="auto"/>
          <w:right w:val="single" w:sz="4" w:space="4" w:color="auto"/>
        </w:pBdr>
        <w:jc w:val="both"/>
        <w:rPr>
          <w:rFonts w:cstheme="minorHAnsi"/>
          <w:szCs w:val="20"/>
        </w:rPr>
      </w:pPr>
      <w:r w:rsidRPr="00216A71">
        <w:rPr>
          <w:rFonts w:cstheme="minorHAnsi"/>
          <w:szCs w:val="20"/>
        </w:rPr>
        <w:t xml:space="preserve">One form of abuse of a PPP is when monopoly concessions are used to overcharge customers. This is a </w:t>
      </w:r>
      <w:r w:rsidR="00FF6D63" w:rsidRPr="00216A71">
        <w:rPr>
          <w:rFonts w:cstheme="minorHAnsi"/>
          <w:szCs w:val="20"/>
        </w:rPr>
        <w:t>well-known</w:t>
      </w:r>
      <w:r w:rsidRPr="00216A71">
        <w:rPr>
          <w:rFonts w:cstheme="minorHAnsi"/>
          <w:szCs w:val="20"/>
        </w:rPr>
        <w:t xml:space="preserve"> problem with monopolies, but there is some recent empirical</w:t>
      </w:r>
      <w:r w:rsidR="004045AD">
        <w:rPr>
          <w:rFonts w:cstheme="minorHAnsi"/>
          <w:szCs w:val="20"/>
        </w:rPr>
        <w:t xml:space="preserve"> </w:t>
      </w:r>
      <w:r w:rsidRPr="00216A71">
        <w:rPr>
          <w:rFonts w:cstheme="minorHAnsi"/>
          <w:szCs w:val="20"/>
        </w:rPr>
        <w:t>from the water sector in France which makes it possible to quantify this. A comprehensive study of water PPPs in France, where about three-quarters of the service is delivered by the private sector through PPPs, found that in 2004, after making allowance for all other factors, the price of water under PPPs is 16.6</w:t>
      </w:r>
      <w:r w:rsidR="00A42FDE">
        <w:rPr>
          <w:rFonts w:cstheme="minorHAnsi"/>
          <w:szCs w:val="20"/>
        </w:rPr>
        <w:t xml:space="preserve"> per cent</w:t>
      </w:r>
      <w:r w:rsidRPr="00216A71">
        <w:rPr>
          <w:rFonts w:cstheme="minorHAnsi"/>
          <w:szCs w:val="20"/>
        </w:rPr>
        <w:t xml:space="preserve"> higher than in places where municipalities provide the service.</w:t>
      </w:r>
      <w:r w:rsidRPr="00216A71">
        <w:rPr>
          <w:rFonts w:cstheme="minorHAnsi"/>
          <w:szCs w:val="20"/>
          <w:vertAlign w:val="superscript"/>
        </w:rPr>
        <w:endnoteReference w:id="101"/>
      </w:r>
      <w:r w:rsidR="004045AD">
        <w:rPr>
          <w:rFonts w:cstheme="minorHAnsi"/>
          <w:szCs w:val="20"/>
        </w:rPr>
        <w:t xml:space="preserve"> </w:t>
      </w:r>
    </w:p>
    <w:p w:rsidR="00134E25" w:rsidRPr="00216A71" w:rsidRDefault="00134E25" w:rsidP="00134E25">
      <w:pPr>
        <w:numPr>
          <w:ilvl w:val="0"/>
          <w:numId w:val="14"/>
        </w:numPr>
        <w:pBdr>
          <w:top w:val="single" w:sz="4" w:space="1" w:color="auto"/>
          <w:left w:val="single" w:sz="4" w:space="4" w:color="auto"/>
          <w:bottom w:val="single" w:sz="4" w:space="1" w:color="auto"/>
          <w:right w:val="single" w:sz="4" w:space="4" w:color="auto"/>
        </w:pBdr>
        <w:spacing w:before="240" w:after="60"/>
        <w:jc w:val="center"/>
        <w:outlineLvl w:val="7"/>
        <w:rPr>
          <w:rFonts w:cstheme="minorHAnsi"/>
          <w:b/>
          <w:iCs/>
          <w:szCs w:val="20"/>
        </w:rPr>
      </w:pPr>
      <w:bookmarkStart w:id="82" w:name="_Toc201724001"/>
      <w:bookmarkStart w:id="83" w:name="_Toc212951553"/>
      <w:r w:rsidRPr="00216A71">
        <w:rPr>
          <w:rFonts w:cstheme="minorHAnsi"/>
          <w:b/>
          <w:iCs/>
          <w:szCs w:val="20"/>
        </w:rPr>
        <w:t>Price of household water in France, 2004</w:t>
      </w:r>
      <w:bookmarkEnd w:id="82"/>
      <w:bookmarkEnd w:id="83"/>
    </w:p>
    <w:p w:rsidR="00134E25" w:rsidRPr="00216A71" w:rsidRDefault="00134E25" w:rsidP="00134E25">
      <w:pPr>
        <w:pBdr>
          <w:top w:val="single" w:sz="4" w:space="1" w:color="auto"/>
          <w:left w:val="single" w:sz="4" w:space="4" w:color="auto"/>
          <w:bottom w:val="single" w:sz="4" w:space="1" w:color="auto"/>
          <w:right w:val="single" w:sz="4" w:space="4" w:color="auto"/>
        </w:pBdr>
        <w:jc w:val="center"/>
        <w:rPr>
          <w:rFonts w:cstheme="minorHAnsi"/>
          <w:szCs w:val="20"/>
        </w:rPr>
      </w:pPr>
      <w:r w:rsidRPr="00216A71">
        <w:rPr>
          <w:rFonts w:cstheme="minorHAnsi"/>
          <w:noProof/>
          <w:szCs w:val="20"/>
          <w:lang w:eastAsia="en-GB"/>
        </w:rPr>
        <w:drawing>
          <wp:inline distT="0" distB="0" distL="0" distR="0" wp14:anchorId="4C83CF38" wp14:editId="77B172D4">
            <wp:extent cx="2551099" cy="1643796"/>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78433" cy="1661408"/>
                    </a:xfrm>
                    <a:prstGeom prst="rect">
                      <a:avLst/>
                    </a:prstGeom>
                    <a:noFill/>
                    <a:ln>
                      <a:noFill/>
                    </a:ln>
                  </pic:spPr>
                </pic:pic>
              </a:graphicData>
            </a:graphic>
          </wp:inline>
        </w:drawing>
      </w:r>
    </w:p>
    <w:p w:rsidR="00134E25" w:rsidRPr="00216A71" w:rsidRDefault="00134E25" w:rsidP="00134E25">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Source: IFEN 2007</w:t>
      </w:r>
    </w:p>
    <w:p w:rsidR="00134E25" w:rsidRPr="00216A71" w:rsidRDefault="00134E25" w:rsidP="00191F44">
      <w:pPr>
        <w:pStyle w:val="Heading2"/>
      </w:pPr>
      <w:bookmarkStart w:id="84" w:name="_Toc392857535"/>
      <w:r w:rsidRPr="00216A71">
        <w:t>Risk transfer</w:t>
      </w:r>
      <w:bookmarkEnd w:id="84"/>
    </w:p>
    <w:p w:rsidR="000C629A" w:rsidRDefault="00134E25" w:rsidP="00134E25">
      <w:pPr>
        <w:autoSpaceDE w:val="0"/>
        <w:autoSpaceDN w:val="0"/>
        <w:adjustRightInd w:val="0"/>
        <w:jc w:val="both"/>
        <w:rPr>
          <w:rFonts w:cstheme="minorHAnsi"/>
          <w:szCs w:val="20"/>
        </w:rPr>
      </w:pPr>
      <w:r w:rsidRPr="00216A71">
        <w:rPr>
          <w:rFonts w:cstheme="minorHAnsi"/>
          <w:szCs w:val="20"/>
        </w:rPr>
        <w:t xml:space="preserve">The notion of ‘risk transfer’ plays an important role in justifying PPPs. It has been used, especially in the UK, to justify use of PPPs which could not demonstrate that they were better value than a public sector option. </w:t>
      </w:r>
      <w:r w:rsidRPr="00216A71">
        <w:rPr>
          <w:rFonts w:cstheme="minorHAnsi"/>
          <w:szCs w:val="20"/>
        </w:rPr>
        <w:lastRenderedPageBreak/>
        <w:t xml:space="preserve">And the transfer of risk is a key element in accounting rules which decide whether a debt falls off a government balance sheet. </w:t>
      </w:r>
    </w:p>
    <w:p w:rsidR="000C629A" w:rsidRDefault="00134E25" w:rsidP="00134E25">
      <w:pPr>
        <w:autoSpaceDE w:val="0"/>
        <w:autoSpaceDN w:val="0"/>
        <w:adjustRightInd w:val="0"/>
        <w:jc w:val="both"/>
        <w:rPr>
          <w:rFonts w:eastAsia="SimSun" w:cstheme="minorHAnsi"/>
          <w:szCs w:val="20"/>
        </w:rPr>
      </w:pPr>
      <w:r w:rsidRPr="00216A71">
        <w:rPr>
          <w:rFonts w:cstheme="minorHAnsi"/>
          <w:szCs w:val="20"/>
        </w:rPr>
        <w:t>But t</w:t>
      </w:r>
      <w:r w:rsidRPr="00216A71">
        <w:rPr>
          <w:rFonts w:eastAsia="SimSun" w:cstheme="minorHAnsi"/>
          <w:szCs w:val="20"/>
        </w:rPr>
        <w:t xml:space="preserve">ransferring risk is not free. </w:t>
      </w:r>
      <w:r w:rsidR="007877C7" w:rsidRPr="00216A71">
        <w:rPr>
          <w:rFonts w:eastAsia="SimSun" w:cstheme="minorHAnsi"/>
          <w:szCs w:val="20"/>
        </w:rPr>
        <w:t>PPP</w:t>
      </w:r>
      <w:r w:rsidRPr="00216A71">
        <w:rPr>
          <w:rFonts w:eastAsia="SimSun" w:cstheme="minorHAnsi"/>
          <w:szCs w:val="20"/>
        </w:rPr>
        <w:t xml:space="preserve"> contracts </w:t>
      </w:r>
      <w:r w:rsidR="007877C7" w:rsidRPr="00216A71">
        <w:rPr>
          <w:rFonts w:eastAsia="SimSun" w:cstheme="minorHAnsi"/>
          <w:szCs w:val="20"/>
        </w:rPr>
        <w:t xml:space="preserve">normally </w:t>
      </w:r>
      <w:r w:rsidRPr="00216A71">
        <w:rPr>
          <w:rFonts w:eastAsia="SimSun" w:cstheme="minorHAnsi"/>
          <w:szCs w:val="20"/>
        </w:rPr>
        <w:t>transfer the risk of construction delays to the contractor</w:t>
      </w:r>
      <w:r w:rsidR="008517B2">
        <w:rPr>
          <w:rFonts w:eastAsia="SimSun" w:cstheme="minorHAnsi"/>
          <w:szCs w:val="20"/>
        </w:rPr>
        <w:t xml:space="preserve"> </w:t>
      </w:r>
      <w:r w:rsidRPr="00216A71">
        <w:rPr>
          <w:rFonts w:eastAsia="SimSun" w:cstheme="minorHAnsi"/>
          <w:szCs w:val="20"/>
        </w:rPr>
        <w:t xml:space="preserve">– but these </w:t>
      </w:r>
      <w:r w:rsidR="007877C7" w:rsidRPr="00216A71">
        <w:rPr>
          <w:rFonts w:eastAsia="SimSun" w:cstheme="minorHAnsi"/>
          <w:szCs w:val="20"/>
        </w:rPr>
        <w:t xml:space="preserve">‘turnkey’ </w:t>
      </w:r>
      <w:r w:rsidRPr="00216A71">
        <w:rPr>
          <w:rFonts w:eastAsia="SimSun" w:cstheme="minorHAnsi"/>
          <w:szCs w:val="20"/>
        </w:rPr>
        <w:t>contracts cost about 25</w:t>
      </w:r>
      <w:r w:rsidR="00A42FDE">
        <w:rPr>
          <w:rFonts w:eastAsia="SimSun" w:cstheme="minorHAnsi"/>
          <w:szCs w:val="20"/>
        </w:rPr>
        <w:t xml:space="preserve"> per cent</w:t>
      </w:r>
      <w:r w:rsidRPr="00216A71">
        <w:rPr>
          <w:rFonts w:eastAsia="SimSun" w:cstheme="minorHAnsi"/>
          <w:szCs w:val="20"/>
        </w:rPr>
        <w:t xml:space="preserve"> more than conventional contracts (see below). </w:t>
      </w:r>
    </w:p>
    <w:p w:rsidR="000C629A" w:rsidRDefault="00134E25" w:rsidP="00134E25">
      <w:pPr>
        <w:autoSpaceDE w:val="0"/>
        <w:autoSpaceDN w:val="0"/>
        <w:adjustRightInd w:val="0"/>
        <w:jc w:val="both"/>
        <w:rPr>
          <w:rFonts w:cstheme="minorHAnsi"/>
          <w:szCs w:val="20"/>
        </w:rPr>
      </w:pPr>
      <w:r w:rsidRPr="00216A71">
        <w:rPr>
          <w:rFonts w:eastAsia="SimSun" w:cstheme="minorHAnsi"/>
          <w:szCs w:val="20"/>
        </w:rPr>
        <w:t>Nor is risk transfer necessarily the best policy option</w:t>
      </w:r>
      <w:r w:rsidR="007877C7" w:rsidRPr="00216A71">
        <w:rPr>
          <w:rFonts w:eastAsia="SimSun" w:cstheme="minorHAnsi"/>
          <w:szCs w:val="20"/>
        </w:rPr>
        <w:t>. Governments are not like companies</w:t>
      </w:r>
      <w:r w:rsidR="008517B2">
        <w:rPr>
          <w:rFonts w:eastAsia="SimSun" w:cstheme="minorHAnsi"/>
          <w:szCs w:val="20"/>
        </w:rPr>
        <w:t>.</w:t>
      </w:r>
      <w:r w:rsidR="004045AD">
        <w:rPr>
          <w:rFonts w:eastAsia="SimSun" w:cstheme="minorHAnsi"/>
          <w:szCs w:val="20"/>
        </w:rPr>
        <w:t xml:space="preserve"> </w:t>
      </w:r>
      <w:r w:rsidR="008517B2">
        <w:rPr>
          <w:rFonts w:eastAsia="SimSun" w:cstheme="minorHAnsi"/>
          <w:szCs w:val="20"/>
        </w:rPr>
        <w:t>M</w:t>
      </w:r>
      <w:r w:rsidR="007877C7" w:rsidRPr="00216A71">
        <w:rPr>
          <w:rFonts w:eastAsia="SimSun" w:cstheme="minorHAnsi"/>
          <w:szCs w:val="20"/>
        </w:rPr>
        <w:t>any public services involve governments carrying risks for the rest of us because this works best</w:t>
      </w:r>
      <w:r w:rsidR="004045AD">
        <w:rPr>
          <w:rFonts w:eastAsia="SimSun" w:cstheme="minorHAnsi"/>
          <w:szCs w:val="20"/>
        </w:rPr>
        <w:t xml:space="preserve"> – </w:t>
      </w:r>
      <w:r w:rsidR="007877C7" w:rsidRPr="00216A71">
        <w:rPr>
          <w:rFonts w:eastAsia="SimSun" w:cstheme="minorHAnsi"/>
          <w:szCs w:val="20"/>
        </w:rPr>
        <w:t>the risks of ill-health or unemployment, for example</w:t>
      </w:r>
      <w:r w:rsidR="003662A2" w:rsidRPr="00216A71">
        <w:rPr>
          <w:rFonts w:eastAsia="SimSun" w:cstheme="minorHAnsi"/>
          <w:szCs w:val="20"/>
        </w:rPr>
        <w:t>.</w:t>
      </w:r>
      <w:r w:rsidR="004045AD">
        <w:rPr>
          <w:rFonts w:eastAsia="SimSun" w:cstheme="minorHAnsi"/>
          <w:szCs w:val="20"/>
        </w:rPr>
        <w:t xml:space="preserve"> </w:t>
      </w:r>
      <w:r w:rsidRPr="00216A71">
        <w:rPr>
          <w:rFonts w:eastAsia="SimSun" w:cstheme="minorHAnsi"/>
          <w:szCs w:val="20"/>
        </w:rPr>
        <w:t xml:space="preserve">A recent general analysis of risks and PPPs concluded that it is </w:t>
      </w:r>
      <w:r w:rsidR="007877C7" w:rsidRPr="00216A71">
        <w:rPr>
          <w:rFonts w:eastAsia="SimSun" w:cstheme="minorHAnsi"/>
          <w:szCs w:val="20"/>
        </w:rPr>
        <w:t xml:space="preserve">in general </w:t>
      </w:r>
      <w:r w:rsidRPr="00216A71">
        <w:rPr>
          <w:rFonts w:eastAsia="SimSun" w:cstheme="minorHAnsi"/>
          <w:szCs w:val="20"/>
        </w:rPr>
        <w:t xml:space="preserve">most efficient for demand risk to remain with governments, rather than the private sector, even if </w:t>
      </w:r>
      <w:r w:rsidRPr="00216A71">
        <w:rPr>
          <w:rFonts w:cstheme="minorHAnsi"/>
          <w:szCs w:val="20"/>
        </w:rPr>
        <w:t xml:space="preserve">a PPP is used – so it would be a waste of money to pay for this risk to be transferred to the private sector. </w:t>
      </w:r>
      <w:r w:rsidRPr="00216A71">
        <w:rPr>
          <w:rFonts w:cstheme="minorHAnsi"/>
          <w:szCs w:val="20"/>
          <w:vertAlign w:val="superscript"/>
        </w:rPr>
        <w:endnoteReference w:id="102"/>
      </w:r>
      <w:r w:rsidRPr="00216A71">
        <w:rPr>
          <w:rFonts w:cstheme="minorHAnsi"/>
          <w:szCs w:val="20"/>
        </w:rPr>
        <w:t xml:space="preserve"> </w:t>
      </w:r>
    </w:p>
    <w:p w:rsidR="00134E25" w:rsidRPr="00216A71" w:rsidRDefault="00134E25" w:rsidP="006B65C5">
      <w:pPr>
        <w:autoSpaceDE w:val="0"/>
        <w:autoSpaceDN w:val="0"/>
        <w:adjustRightInd w:val="0"/>
        <w:rPr>
          <w:rFonts w:cstheme="minorHAnsi"/>
          <w:szCs w:val="20"/>
        </w:rPr>
      </w:pPr>
      <w:r w:rsidRPr="00216A71">
        <w:rPr>
          <w:rFonts w:cstheme="minorHAnsi"/>
          <w:szCs w:val="20"/>
        </w:rPr>
        <w:t>The IMF has warned that governments may exaggerate the true value of risk transfer</w:t>
      </w:r>
      <w:r w:rsidR="008517B2">
        <w:rPr>
          <w:rFonts w:cstheme="minorHAnsi"/>
          <w:szCs w:val="20"/>
        </w:rPr>
        <w:t>.</w:t>
      </w:r>
      <w:r w:rsidRPr="00216A71">
        <w:rPr>
          <w:rFonts w:cstheme="minorHAnsi"/>
          <w:szCs w:val="20"/>
        </w:rPr>
        <w:t xml:space="preserve"> </w:t>
      </w:r>
      <w:r w:rsidRPr="00216A71">
        <w:rPr>
          <w:rFonts w:eastAsia="SimSun" w:cstheme="minorHAnsi"/>
          <w:szCs w:val="20"/>
        </w:rPr>
        <w:t>“</w:t>
      </w:r>
      <w:r w:rsidR="008517B2">
        <w:rPr>
          <w:rFonts w:eastAsia="SimSun" w:cstheme="minorHAnsi"/>
          <w:szCs w:val="20"/>
        </w:rPr>
        <w:t>I</w:t>
      </w:r>
      <w:r w:rsidRPr="00216A71">
        <w:rPr>
          <w:rFonts w:eastAsia="SimSun" w:cstheme="minorHAnsi"/>
          <w:szCs w:val="20"/>
          <w:lang w:eastAsia="zh-CN"/>
        </w:rPr>
        <w:t>t is also possible that the government overprices risk and overcompensates the private sector for taking it on, which would raise the cost of PPPs relative to direct public investment</w:t>
      </w:r>
      <w:r w:rsidR="008517B2">
        <w:rPr>
          <w:rFonts w:eastAsia="SimSun" w:cstheme="minorHAnsi"/>
          <w:szCs w:val="20"/>
          <w:lang w:eastAsia="zh-CN"/>
        </w:rPr>
        <w:t>.</w:t>
      </w:r>
      <w:r w:rsidRPr="00216A71">
        <w:rPr>
          <w:rFonts w:eastAsia="SimSun" w:cstheme="minorHAnsi"/>
          <w:szCs w:val="20"/>
          <w:lang w:eastAsia="zh-CN"/>
        </w:rPr>
        <w:t>”</w:t>
      </w:r>
      <w:r w:rsidRPr="00216A71">
        <w:rPr>
          <w:rFonts w:eastAsia="SimSun" w:cstheme="minorHAnsi"/>
          <w:szCs w:val="20"/>
          <w:vertAlign w:val="superscript"/>
          <w:lang w:eastAsia="zh-CN"/>
        </w:rPr>
        <w:endnoteReference w:id="103"/>
      </w:r>
      <w:r w:rsidR="004045AD">
        <w:rPr>
          <w:rFonts w:eastAsia="SimSun" w:cstheme="minorHAnsi"/>
          <w:szCs w:val="20"/>
          <w:lang w:eastAsia="zh-CN"/>
        </w:rPr>
        <w:t xml:space="preserve"> </w:t>
      </w:r>
      <w:r w:rsidRPr="00216A71">
        <w:rPr>
          <w:rFonts w:eastAsia="SimSun" w:cstheme="minorHAnsi"/>
          <w:szCs w:val="20"/>
        </w:rPr>
        <w:t xml:space="preserve">This has certainly happened in the UK. </w:t>
      </w:r>
      <w:r w:rsidRPr="00216A71">
        <w:rPr>
          <w:rFonts w:cstheme="minorHAnsi"/>
          <w:szCs w:val="20"/>
        </w:rPr>
        <w:t>The table shows how major hospital PFI projects</w:t>
      </w:r>
      <w:r w:rsidR="004045AD">
        <w:rPr>
          <w:rFonts w:cstheme="minorHAnsi"/>
          <w:szCs w:val="20"/>
        </w:rPr>
        <w:t xml:space="preserve"> </w:t>
      </w:r>
      <w:r w:rsidR="00670F60" w:rsidRPr="00216A71">
        <w:rPr>
          <w:rFonts w:cstheme="minorHAnsi"/>
          <w:szCs w:val="20"/>
        </w:rPr>
        <w:t>cost more</w:t>
      </w:r>
      <w:r w:rsidRPr="00216A71">
        <w:rPr>
          <w:rFonts w:cstheme="minorHAnsi"/>
          <w:szCs w:val="20"/>
        </w:rPr>
        <w:t xml:space="preserve"> than the public sector option </w:t>
      </w:r>
      <w:r w:rsidR="00670F60" w:rsidRPr="00216A71">
        <w:rPr>
          <w:rFonts w:cstheme="minorHAnsi"/>
          <w:szCs w:val="20"/>
        </w:rPr>
        <w:t>– but when</w:t>
      </w:r>
      <w:r w:rsidR="004045AD">
        <w:rPr>
          <w:rFonts w:cstheme="minorHAnsi"/>
          <w:szCs w:val="20"/>
        </w:rPr>
        <w:t xml:space="preserve"> </w:t>
      </w:r>
      <w:r w:rsidRPr="00216A71">
        <w:rPr>
          <w:rFonts w:cstheme="minorHAnsi"/>
          <w:szCs w:val="20"/>
        </w:rPr>
        <w:t xml:space="preserve">an estimate of ‘risk transfer’ was </w:t>
      </w:r>
      <w:r w:rsidR="00670F60" w:rsidRPr="00216A71">
        <w:rPr>
          <w:rFonts w:cstheme="minorHAnsi"/>
          <w:szCs w:val="20"/>
        </w:rPr>
        <w:t>added, this was magically reversed, and the PFI options looked better value</w:t>
      </w:r>
      <w:r w:rsidRPr="00216A71">
        <w:rPr>
          <w:rFonts w:cstheme="minorHAnsi"/>
          <w:szCs w:val="20"/>
        </w:rPr>
        <w:t>.</w:t>
      </w:r>
      <w:r w:rsidR="004045AD">
        <w:rPr>
          <w:rFonts w:cstheme="minorHAnsi"/>
          <w:szCs w:val="20"/>
        </w:rPr>
        <w:t xml:space="preserve"> </w:t>
      </w:r>
      <w:r w:rsidR="00670F60" w:rsidRPr="00216A71">
        <w:rPr>
          <w:rFonts w:cstheme="minorHAnsi"/>
          <w:szCs w:val="20"/>
        </w:rPr>
        <w:t>N</w:t>
      </w:r>
      <w:r w:rsidRPr="00216A71">
        <w:rPr>
          <w:rFonts w:cstheme="minorHAnsi"/>
          <w:szCs w:val="20"/>
        </w:rPr>
        <w:t>o attempt is made to monitor if this risk transfer happens in reality, or how much benefit it really brings</w:t>
      </w:r>
      <w:r w:rsidR="008517B2">
        <w:rPr>
          <w:rFonts w:cstheme="minorHAnsi"/>
          <w:szCs w:val="20"/>
        </w:rPr>
        <w:t>.</w:t>
      </w:r>
      <w:r w:rsidRPr="00216A71">
        <w:rPr>
          <w:rFonts w:cstheme="minorHAnsi"/>
          <w:szCs w:val="20"/>
        </w:rPr>
        <w:t xml:space="preserve"> </w:t>
      </w:r>
      <w:r w:rsidR="008517B2">
        <w:rPr>
          <w:rFonts w:cstheme="minorHAnsi"/>
          <w:szCs w:val="20"/>
        </w:rPr>
        <w:t>O</w:t>
      </w:r>
      <w:r w:rsidRPr="00216A71">
        <w:rPr>
          <w:rFonts w:cstheme="minorHAnsi"/>
          <w:szCs w:val="20"/>
        </w:rPr>
        <w:t xml:space="preserve">ut of 622 PFI contracts signed up to 2007, only </w:t>
      </w:r>
      <w:r w:rsidR="008517B2">
        <w:rPr>
          <w:rFonts w:cstheme="minorHAnsi"/>
          <w:szCs w:val="20"/>
        </w:rPr>
        <w:t>three</w:t>
      </w:r>
      <w:r w:rsidRPr="00216A71">
        <w:rPr>
          <w:rFonts w:cstheme="minorHAnsi"/>
          <w:szCs w:val="20"/>
        </w:rPr>
        <w:t xml:space="preserve"> of these had been examined to see whether the value of the risk transfer </w:t>
      </w:r>
      <w:r w:rsidR="008517B2">
        <w:rPr>
          <w:rFonts w:cstheme="minorHAnsi"/>
          <w:szCs w:val="20"/>
        </w:rPr>
        <w:t xml:space="preserve">was </w:t>
      </w:r>
      <w:r w:rsidRPr="00216A71">
        <w:rPr>
          <w:rFonts w:cstheme="minorHAnsi"/>
          <w:szCs w:val="20"/>
        </w:rPr>
        <w:t>achieved.</w:t>
      </w:r>
      <w:r w:rsidRPr="00216A71">
        <w:rPr>
          <w:rFonts w:cstheme="minorHAnsi"/>
          <w:szCs w:val="20"/>
          <w:vertAlign w:val="superscript"/>
        </w:rPr>
        <w:endnoteReference w:id="104"/>
      </w:r>
      <w:r w:rsidR="004045AD">
        <w:rPr>
          <w:rFonts w:cstheme="minorHAnsi"/>
          <w:szCs w:val="20"/>
        </w:rPr>
        <w:t xml:space="preserve"> </w:t>
      </w:r>
    </w:p>
    <w:p w:rsidR="00134E25" w:rsidRPr="00216A71" w:rsidRDefault="00134E25" w:rsidP="00134E25">
      <w:pPr>
        <w:numPr>
          <w:ilvl w:val="0"/>
          <w:numId w:val="15"/>
        </w:numPr>
        <w:spacing w:before="240" w:after="60"/>
        <w:outlineLvl w:val="6"/>
        <w:rPr>
          <w:rFonts w:cstheme="minorHAnsi"/>
          <w:b/>
          <w:szCs w:val="20"/>
        </w:rPr>
      </w:pPr>
      <w:bookmarkStart w:id="85" w:name="_Toc210387511"/>
      <w:bookmarkStart w:id="86" w:name="_Toc212951540"/>
      <w:bookmarkEnd w:id="85"/>
      <w:r w:rsidRPr="00216A71">
        <w:rPr>
          <w:rFonts w:cstheme="minorHAnsi"/>
          <w:b/>
          <w:szCs w:val="20"/>
        </w:rPr>
        <w:t>Risk transfer: making PPPs look better value</w:t>
      </w:r>
      <w:bookmarkStart w:id="87" w:name="_Toc210387513"/>
      <w:bookmarkEnd w:id="86"/>
      <w:bookmarkEnd w:id="87"/>
    </w:p>
    <w:tbl>
      <w:tblPr>
        <w:tblW w:w="9765" w:type="dxa"/>
        <w:tblInd w:w="89" w:type="dxa"/>
        <w:tblLook w:val="0000" w:firstRow="0" w:lastRow="0" w:firstColumn="0" w:lastColumn="0" w:noHBand="0" w:noVBand="0"/>
      </w:tblPr>
      <w:tblGrid>
        <w:gridCol w:w="2468"/>
        <w:gridCol w:w="1095"/>
        <w:gridCol w:w="992"/>
        <w:gridCol w:w="1134"/>
        <w:gridCol w:w="851"/>
        <w:gridCol w:w="1701"/>
        <w:gridCol w:w="1524"/>
      </w:tblGrid>
      <w:tr w:rsidR="00134E25" w:rsidRPr="00216A71" w:rsidTr="005F0608">
        <w:trPr>
          <w:trHeight w:val="255"/>
        </w:trPr>
        <w:tc>
          <w:tcPr>
            <w:tcW w:w="24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szCs w:val="20"/>
              </w:rPr>
            </w:pPr>
          </w:p>
        </w:tc>
        <w:tc>
          <w:tcPr>
            <w:tcW w:w="208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szCs w:val="20"/>
              </w:rPr>
            </w:pPr>
            <w:r w:rsidRPr="00216A71">
              <w:rPr>
                <w:rFonts w:cstheme="minorHAnsi"/>
                <w:szCs w:val="20"/>
              </w:rPr>
              <w:t xml:space="preserve">Public sector option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szCs w:val="20"/>
              </w:rPr>
            </w:pPr>
            <w:r w:rsidRPr="00216A71">
              <w:rPr>
                <w:rFonts w:cstheme="minorHAnsi"/>
                <w:szCs w:val="20"/>
              </w:rPr>
              <w:t xml:space="preserve">PFI/PPP option </w:t>
            </w:r>
          </w:p>
        </w:tc>
        <w:tc>
          <w:tcPr>
            <w:tcW w:w="170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b/>
                <w:szCs w:val="20"/>
              </w:rPr>
            </w:pPr>
            <w:r w:rsidRPr="00216A71">
              <w:rPr>
                <w:rFonts w:cstheme="minorHAnsi"/>
                <w:b/>
                <w:szCs w:val="20"/>
              </w:rPr>
              <w:t>Before ‘risk adjustment’</w:t>
            </w:r>
          </w:p>
        </w:tc>
        <w:tc>
          <w:tcPr>
            <w:tcW w:w="152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b/>
                <w:szCs w:val="20"/>
              </w:rPr>
            </w:pPr>
            <w:r w:rsidRPr="00216A71">
              <w:rPr>
                <w:rFonts w:cstheme="minorHAnsi"/>
                <w:b/>
                <w:szCs w:val="20"/>
              </w:rPr>
              <w:t>After ‘risk adjustment’</w:t>
            </w:r>
          </w:p>
        </w:tc>
      </w:tr>
      <w:tr w:rsidR="00134E25" w:rsidRPr="00216A71" w:rsidTr="005F0608">
        <w:trPr>
          <w:trHeight w:val="255"/>
        </w:trPr>
        <w:tc>
          <w:tcPr>
            <w:tcW w:w="24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BF7FC8" w:rsidP="005F0608">
            <w:pPr>
              <w:rPr>
                <w:rFonts w:cstheme="minorHAnsi"/>
                <w:szCs w:val="20"/>
              </w:rPr>
            </w:pPr>
            <w:r w:rsidRPr="00216A71">
              <w:rPr>
                <w:rFonts w:cstheme="minorHAnsi"/>
                <w:szCs w:val="20"/>
              </w:rPr>
              <w:t>HOSPITALS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rPr>
                <w:rFonts w:cstheme="minorHAnsi"/>
                <w:szCs w:val="20"/>
              </w:rPr>
            </w:pPr>
            <w:r w:rsidRPr="00216A71">
              <w:rPr>
                <w:rFonts w:cstheme="minorHAnsi"/>
                <w:szCs w:val="20"/>
              </w:rPr>
              <w:t>Cost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rPr>
                <w:rFonts w:cstheme="minorHAnsi"/>
                <w:szCs w:val="20"/>
              </w:rPr>
            </w:pPr>
            <w:r w:rsidRPr="00216A71">
              <w:rPr>
                <w:rFonts w:cstheme="minorHAnsi"/>
                <w:szCs w:val="20"/>
              </w:rPr>
              <w:t>‘Risk adjust-ment’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rPr>
                <w:rFonts w:cstheme="minorHAnsi"/>
                <w:szCs w:val="20"/>
              </w:rPr>
            </w:pPr>
            <w:r w:rsidRPr="00216A71">
              <w:rPr>
                <w:rFonts w:cstheme="minorHAnsi"/>
                <w:szCs w:val="20"/>
              </w:rPr>
              <w:t>Cost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rPr>
                <w:rFonts w:cstheme="minorHAnsi"/>
                <w:szCs w:val="20"/>
              </w:rPr>
            </w:pPr>
            <w:r w:rsidRPr="00216A71">
              <w:rPr>
                <w:rFonts w:cstheme="minorHAnsi"/>
                <w:szCs w:val="20"/>
              </w:rPr>
              <w:t>‘Risk adjust-ment’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rPr>
                <w:rFonts w:cstheme="minorHAnsi"/>
                <w:b/>
                <w:szCs w:val="20"/>
              </w:rPr>
            </w:pPr>
            <w:r w:rsidRPr="00216A71">
              <w:rPr>
                <w:rFonts w:cstheme="minorHAnsi"/>
                <w:b/>
                <w:szCs w:val="20"/>
              </w:rPr>
              <w:t>PPPs more expensive than public sector option</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rPr>
                <w:rFonts w:cstheme="minorHAnsi"/>
                <w:b/>
                <w:szCs w:val="20"/>
              </w:rPr>
            </w:pPr>
            <w:r w:rsidRPr="00216A71">
              <w:rPr>
                <w:rFonts w:cstheme="minorHAnsi"/>
                <w:b/>
                <w:szCs w:val="20"/>
              </w:rPr>
              <w:t>PPPs cheaper than public sector option</w:t>
            </w:r>
          </w:p>
        </w:tc>
      </w:tr>
      <w:tr w:rsidR="00134E25" w:rsidRPr="00216A71" w:rsidTr="005F0608">
        <w:trPr>
          <w:trHeight w:val="255"/>
        </w:trPr>
        <w:tc>
          <w:tcPr>
            <w:tcW w:w="24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szCs w:val="20"/>
              </w:rPr>
            </w:pPr>
            <w:r w:rsidRPr="00216A71">
              <w:rPr>
                <w:rFonts w:cstheme="minorHAnsi"/>
                <w:szCs w:val="20"/>
              </w:rPr>
              <w:t>Carlisle hospitals</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151.1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21.8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+10.5%</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-3.4%</w:t>
            </w:r>
          </w:p>
        </w:tc>
      </w:tr>
      <w:tr w:rsidR="00134E25" w:rsidRPr="00216A71" w:rsidTr="005F0608">
        <w:trPr>
          <w:trHeight w:val="255"/>
        </w:trPr>
        <w:tc>
          <w:tcPr>
            <w:tcW w:w="24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szCs w:val="20"/>
              </w:rPr>
            </w:pPr>
            <w:r w:rsidRPr="00216A71">
              <w:rPr>
                <w:rFonts w:cstheme="minorHAnsi"/>
                <w:szCs w:val="20"/>
              </w:rPr>
              <w:t>North Durham</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157.3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23.6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173.9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+10.6%</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-2.2%</w:t>
            </w:r>
          </w:p>
        </w:tc>
      </w:tr>
      <w:tr w:rsidR="00134E25" w:rsidRPr="00216A71" w:rsidTr="005F0608">
        <w:trPr>
          <w:trHeight w:val="255"/>
        </w:trPr>
        <w:tc>
          <w:tcPr>
            <w:tcW w:w="24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szCs w:val="20"/>
              </w:rPr>
            </w:pPr>
            <w:r w:rsidRPr="00216A71">
              <w:rPr>
                <w:rFonts w:cstheme="minorHAnsi"/>
                <w:szCs w:val="20"/>
              </w:rPr>
              <w:t>South Buckinghamshire</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161.6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163.3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+1.1%</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-4.5%</w:t>
            </w:r>
          </w:p>
        </w:tc>
      </w:tr>
      <w:tr w:rsidR="00134E25" w:rsidRPr="00216A71" w:rsidTr="005F0608">
        <w:trPr>
          <w:trHeight w:val="255"/>
        </w:trPr>
        <w:tc>
          <w:tcPr>
            <w:tcW w:w="24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szCs w:val="20"/>
              </w:rPr>
            </w:pPr>
            <w:r w:rsidRPr="00216A71">
              <w:rPr>
                <w:rFonts w:cstheme="minorHAnsi"/>
                <w:szCs w:val="20"/>
              </w:rPr>
              <w:t>Norfolk and Norwich</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1598.2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83.7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1634.3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+2.3%</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-2.4%</w:t>
            </w:r>
          </w:p>
        </w:tc>
      </w:tr>
      <w:tr w:rsidR="00134E25" w:rsidRPr="00216A71" w:rsidTr="005F0608">
        <w:trPr>
          <w:trHeight w:val="255"/>
        </w:trPr>
        <w:tc>
          <w:tcPr>
            <w:tcW w:w="246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134E25" w:rsidRPr="00216A71" w:rsidRDefault="00134E25" w:rsidP="005F0608">
            <w:pPr>
              <w:rPr>
                <w:rFonts w:cstheme="minorHAnsi"/>
                <w:szCs w:val="20"/>
              </w:rPr>
            </w:pPr>
            <w:r w:rsidRPr="00216A71">
              <w:rPr>
                <w:rFonts w:cstheme="minorHAnsi"/>
                <w:szCs w:val="20"/>
              </w:rPr>
              <w:t>Dartford and Gravesham</w:t>
            </w:r>
          </w:p>
        </w:tc>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900.1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43.8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921.1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+2.3%</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4E25" w:rsidRPr="00216A71" w:rsidRDefault="00134E25" w:rsidP="005F0608">
            <w:pPr>
              <w:jc w:val="right"/>
              <w:rPr>
                <w:rFonts w:cstheme="minorHAnsi"/>
                <w:szCs w:val="20"/>
              </w:rPr>
            </w:pPr>
            <w:r w:rsidRPr="00216A71">
              <w:rPr>
                <w:rFonts w:cstheme="minorHAnsi"/>
                <w:szCs w:val="20"/>
              </w:rPr>
              <w:t>-2.3%</w:t>
            </w:r>
          </w:p>
        </w:tc>
      </w:tr>
    </w:tbl>
    <w:p w:rsidR="00134E25" w:rsidRPr="00216A71" w:rsidRDefault="00134E25" w:rsidP="00134E25">
      <w:pPr>
        <w:autoSpaceDE w:val="0"/>
        <w:autoSpaceDN w:val="0"/>
        <w:adjustRightInd w:val="0"/>
        <w:rPr>
          <w:rFonts w:cstheme="minorHAnsi"/>
          <w:szCs w:val="20"/>
        </w:rPr>
      </w:pPr>
      <w:r w:rsidRPr="00216A71">
        <w:rPr>
          <w:rFonts w:cstheme="minorHAnsi"/>
          <w:szCs w:val="20"/>
        </w:rPr>
        <w:t xml:space="preserve">Source: Froud 2003 </w:t>
      </w:r>
      <w:r w:rsidRPr="00216A71">
        <w:rPr>
          <w:rFonts w:cstheme="minorHAnsi"/>
          <w:szCs w:val="20"/>
          <w:vertAlign w:val="superscript"/>
        </w:rPr>
        <w:endnoteReference w:id="105"/>
      </w:r>
    </w:p>
    <w:p w:rsidR="009B23FE" w:rsidRPr="00216A71" w:rsidRDefault="009B23FE" w:rsidP="009B23FE">
      <w:pPr>
        <w:pStyle w:val="Heading2"/>
        <w:rPr>
          <w:rFonts w:asciiTheme="minorHAnsi" w:hAnsiTheme="minorHAnsi" w:cstheme="minorHAnsi"/>
          <w:szCs w:val="20"/>
        </w:rPr>
      </w:pPr>
      <w:bookmarkStart w:id="88" w:name="_Toc392857536"/>
      <w:r w:rsidRPr="00216A71">
        <w:rPr>
          <w:rFonts w:asciiTheme="minorHAnsi" w:hAnsiTheme="minorHAnsi" w:cstheme="minorHAnsi"/>
          <w:szCs w:val="20"/>
        </w:rPr>
        <w:t>Corruption, lies and secrets</w:t>
      </w:r>
      <w:bookmarkEnd w:id="88"/>
    </w:p>
    <w:p w:rsidR="009B23FE" w:rsidRPr="00216A71" w:rsidRDefault="009B23FE" w:rsidP="009B23FE">
      <w:pPr>
        <w:pStyle w:val="Heading3"/>
        <w:rPr>
          <w:rFonts w:asciiTheme="minorHAnsi" w:hAnsiTheme="minorHAnsi" w:cstheme="minorHAnsi"/>
          <w:szCs w:val="20"/>
        </w:rPr>
      </w:pPr>
      <w:r w:rsidRPr="00216A71">
        <w:rPr>
          <w:rFonts w:asciiTheme="minorHAnsi" w:hAnsiTheme="minorHAnsi" w:cstheme="minorHAnsi"/>
          <w:szCs w:val="20"/>
        </w:rPr>
        <w:t>Corruption</w:t>
      </w:r>
    </w:p>
    <w:p w:rsidR="000C629A" w:rsidRDefault="00FA542C" w:rsidP="00FA542C">
      <w:pPr>
        <w:rPr>
          <w:rFonts w:cstheme="minorHAnsi"/>
          <w:szCs w:val="20"/>
        </w:rPr>
      </w:pPr>
      <w:r w:rsidRPr="00216A71">
        <w:rPr>
          <w:rFonts w:cstheme="minorHAnsi"/>
          <w:szCs w:val="20"/>
        </w:rPr>
        <w:t>A long-term concession for water services, or a power purchase agreement for a private power station, or a PP</w:t>
      </w:r>
      <w:r w:rsidR="00BF7FC8" w:rsidRPr="00216A71">
        <w:rPr>
          <w:rFonts w:cstheme="minorHAnsi"/>
          <w:szCs w:val="20"/>
        </w:rPr>
        <w:t>A</w:t>
      </w:r>
      <w:r w:rsidRPr="00216A71">
        <w:rPr>
          <w:rFonts w:cstheme="minorHAnsi"/>
          <w:szCs w:val="20"/>
        </w:rPr>
        <w:t>,</w:t>
      </w:r>
      <w:r w:rsidR="004045AD">
        <w:rPr>
          <w:rFonts w:cstheme="minorHAnsi"/>
          <w:szCs w:val="20"/>
        </w:rPr>
        <w:t xml:space="preserve"> </w:t>
      </w:r>
      <w:r w:rsidRPr="00216A71">
        <w:rPr>
          <w:rFonts w:cstheme="minorHAnsi"/>
          <w:szCs w:val="20"/>
        </w:rPr>
        <w:t xml:space="preserve">is a one-off opportunity to win a stream of government-backed revenue lasting 25 or 30 years. This creates huge incentives for corruption, both to ensure that the work is done through a PPP rather than the public sector, and to take the only opportunity to capture the contract. </w:t>
      </w:r>
    </w:p>
    <w:p w:rsidR="000C629A" w:rsidRDefault="00FA542C" w:rsidP="00FA542C">
      <w:pPr>
        <w:rPr>
          <w:rFonts w:cstheme="minorHAnsi"/>
          <w:szCs w:val="20"/>
        </w:rPr>
      </w:pPr>
      <w:r w:rsidRPr="00216A71">
        <w:rPr>
          <w:rFonts w:cstheme="minorHAnsi"/>
          <w:szCs w:val="20"/>
        </w:rPr>
        <w:t>Bribes or political donations form the currency with which these benefits are obtained, as summarised by the</w:t>
      </w:r>
      <w:r w:rsidR="004045AD">
        <w:rPr>
          <w:rFonts w:cstheme="minorHAnsi"/>
          <w:szCs w:val="20"/>
        </w:rPr>
        <w:t xml:space="preserve"> </w:t>
      </w:r>
      <w:r w:rsidRPr="00216A71">
        <w:rPr>
          <w:rFonts w:cstheme="minorHAnsi"/>
          <w:szCs w:val="20"/>
        </w:rPr>
        <w:t>Nobel-prize winning economist Paul Krugman (talking about the USA): “As more and more government functions get privatized, states become pay-to-play paradises, in which both political contributions and contracts for friends and relatives become a quid pro quo for getting government business</w:t>
      </w:r>
      <w:r w:rsidR="008517B2">
        <w:rPr>
          <w:rFonts w:cstheme="minorHAnsi"/>
          <w:szCs w:val="20"/>
        </w:rPr>
        <w:t xml:space="preserve">… </w:t>
      </w:r>
      <w:r w:rsidRPr="00216A71">
        <w:rPr>
          <w:rFonts w:cstheme="minorHAnsi"/>
          <w:szCs w:val="20"/>
        </w:rPr>
        <w:t xml:space="preserve">a corrupt nexus of privatization and patronage that is undermining government across much of our nation.” </w:t>
      </w:r>
      <w:r w:rsidRPr="00216A71">
        <w:rPr>
          <w:rStyle w:val="EndnoteReference"/>
          <w:rFonts w:cstheme="minorHAnsi"/>
          <w:szCs w:val="20"/>
        </w:rPr>
        <w:endnoteReference w:id="106"/>
      </w:r>
    </w:p>
    <w:p w:rsidR="000C629A" w:rsidRDefault="009B23FE" w:rsidP="009B23FE">
      <w:pPr>
        <w:rPr>
          <w:rFonts w:cstheme="minorHAnsi"/>
          <w:szCs w:val="20"/>
          <w:vertAlign w:val="superscript"/>
        </w:rPr>
      </w:pPr>
      <w:r w:rsidRPr="00216A71">
        <w:rPr>
          <w:rFonts w:cstheme="minorHAnsi"/>
          <w:szCs w:val="20"/>
        </w:rPr>
        <w:t>In energy</w:t>
      </w:r>
      <w:r w:rsidR="00FA542C" w:rsidRPr="00216A71">
        <w:rPr>
          <w:rFonts w:cstheme="minorHAnsi"/>
          <w:szCs w:val="20"/>
        </w:rPr>
        <w:t xml:space="preserve">, for example, </w:t>
      </w:r>
      <w:r w:rsidRPr="00216A71">
        <w:rPr>
          <w:rFonts w:cstheme="minorHAnsi"/>
          <w:szCs w:val="20"/>
        </w:rPr>
        <w:t>there have already been many power stations set up under the IPP model, relying on long-term power purchase agreements. Many of these have been associated with corruption – for example the Enron investments in Nigeria and India, and others in Tanzania, Pakistan</w:t>
      </w:r>
      <w:r w:rsidR="008374DA" w:rsidRPr="00216A71">
        <w:rPr>
          <w:rFonts w:cstheme="minorHAnsi"/>
          <w:szCs w:val="20"/>
        </w:rPr>
        <w:t xml:space="preserve">, </w:t>
      </w:r>
      <w:r w:rsidRPr="00216A71">
        <w:rPr>
          <w:rFonts w:cstheme="minorHAnsi"/>
          <w:szCs w:val="20"/>
        </w:rPr>
        <w:t>Indonesia</w:t>
      </w:r>
      <w:r w:rsidR="008374DA" w:rsidRPr="00216A71">
        <w:rPr>
          <w:rFonts w:cstheme="minorHAnsi"/>
          <w:szCs w:val="20"/>
        </w:rPr>
        <w:t xml:space="preserve"> and Slovakia</w:t>
      </w:r>
      <w:r w:rsidRPr="00216A71">
        <w:rPr>
          <w:rFonts w:cstheme="minorHAnsi"/>
          <w:szCs w:val="20"/>
        </w:rPr>
        <w:t xml:space="preserve"> – which is an intrinsic hazard of such long-term contracts.</w:t>
      </w:r>
      <w:r w:rsidRPr="00216A71">
        <w:rPr>
          <w:rFonts w:cstheme="minorHAnsi"/>
          <w:szCs w:val="20"/>
          <w:vertAlign w:val="superscript"/>
        </w:rPr>
        <w:t xml:space="preserve"> </w:t>
      </w:r>
      <w:r w:rsidRPr="00216A71">
        <w:rPr>
          <w:rFonts w:cstheme="minorHAnsi"/>
          <w:szCs w:val="20"/>
          <w:vertAlign w:val="superscript"/>
        </w:rPr>
        <w:endnoteReference w:id="107"/>
      </w:r>
    </w:p>
    <w:p w:rsidR="000C629A" w:rsidRDefault="00BF7FC8" w:rsidP="008374DA">
      <w:pPr>
        <w:rPr>
          <w:rFonts w:cstheme="minorHAnsi"/>
          <w:szCs w:val="20"/>
        </w:rPr>
      </w:pPr>
      <w:r w:rsidRPr="00216A71">
        <w:rPr>
          <w:rFonts w:cstheme="minorHAnsi"/>
          <w:szCs w:val="20"/>
        </w:rPr>
        <w:t xml:space="preserve">In the water sector, </w:t>
      </w:r>
      <w:r w:rsidR="008374DA" w:rsidRPr="00216A71">
        <w:rPr>
          <w:rFonts w:cstheme="minorHAnsi"/>
          <w:szCs w:val="20"/>
        </w:rPr>
        <w:t>courts in France have convicted executives and public officials for bribes paid by Suez and Veolia subsidiaries in the cities of</w:t>
      </w:r>
      <w:r w:rsidR="004045AD">
        <w:rPr>
          <w:rFonts w:cstheme="minorHAnsi"/>
          <w:szCs w:val="20"/>
        </w:rPr>
        <w:t xml:space="preserve"> </w:t>
      </w:r>
      <w:r w:rsidR="008374DA" w:rsidRPr="00216A71">
        <w:rPr>
          <w:rFonts w:cstheme="minorHAnsi"/>
          <w:szCs w:val="20"/>
        </w:rPr>
        <w:t>Grenoble and Angouleme and the island of Reunion. A 1997 report by the Cour des Comptes, France’s national audit body, said that the system of ‘delegated management’ on which Suez and Veolia built their national</w:t>
      </w:r>
      <w:r w:rsidR="004045AD">
        <w:rPr>
          <w:rFonts w:cstheme="minorHAnsi"/>
          <w:szCs w:val="20"/>
        </w:rPr>
        <w:t xml:space="preserve"> </w:t>
      </w:r>
      <w:r w:rsidR="008374DA" w:rsidRPr="00216A71">
        <w:rPr>
          <w:rFonts w:cstheme="minorHAnsi"/>
          <w:szCs w:val="20"/>
        </w:rPr>
        <w:t xml:space="preserve">dominance was systematically flawed: “The lack of supervision </w:t>
      </w:r>
      <w:r w:rsidR="008374DA" w:rsidRPr="00216A71">
        <w:rPr>
          <w:rFonts w:cstheme="minorHAnsi"/>
          <w:szCs w:val="20"/>
        </w:rPr>
        <w:lastRenderedPageBreak/>
        <w:t>and control of delegated public services, aggravated by the lack of transparency of this form of management, has led to abuses</w:t>
      </w:r>
      <w:r w:rsidR="008517B2">
        <w:rPr>
          <w:rFonts w:cstheme="minorHAnsi"/>
          <w:szCs w:val="20"/>
        </w:rPr>
        <w:t>.”</w:t>
      </w:r>
      <w:r w:rsidR="004045AD">
        <w:rPr>
          <w:rFonts w:cstheme="minorHAnsi"/>
          <w:szCs w:val="20"/>
        </w:rPr>
        <w:t xml:space="preserve"> </w:t>
      </w:r>
      <w:r w:rsidR="008374DA" w:rsidRPr="00216A71">
        <w:rPr>
          <w:rFonts w:cstheme="minorHAnsi"/>
          <w:szCs w:val="20"/>
        </w:rPr>
        <w:t>In2002 a senior executive of Vivendi (now Veolia) was convicted of planning to bribe local politicians in the both the majority and opposition parties of Milan city council in order to win the tender for a wastewater treatment plant in the south of Milan, Italy. The evidence included a floppy disk containing a letter by the Vivendi executive Alain Metz stating</w:t>
      </w:r>
      <w:r w:rsidR="008374DA" w:rsidRPr="00216A71">
        <w:rPr>
          <w:rFonts w:cstheme="minorHAnsi"/>
          <w:color w:val="FF0000"/>
          <w:szCs w:val="20"/>
        </w:rPr>
        <w:t xml:space="preserve"> </w:t>
      </w:r>
      <w:r w:rsidR="008374DA" w:rsidRPr="00216A71">
        <w:rPr>
          <w:rFonts w:cstheme="minorHAnsi"/>
          <w:szCs w:val="20"/>
        </w:rPr>
        <w:t xml:space="preserve">that he has </w:t>
      </w:r>
      <w:r w:rsidR="008517B2">
        <w:rPr>
          <w:rFonts w:cstheme="minorHAnsi"/>
          <w:szCs w:val="20"/>
        </w:rPr>
        <w:t>“</w:t>
      </w:r>
      <w:r w:rsidR="008374DA" w:rsidRPr="00216A71">
        <w:rPr>
          <w:rFonts w:cstheme="minorHAnsi"/>
          <w:szCs w:val="20"/>
        </w:rPr>
        <w:t>excellent contacts</w:t>
      </w:r>
      <w:r w:rsidR="008517B2">
        <w:rPr>
          <w:rFonts w:cstheme="minorHAnsi"/>
          <w:szCs w:val="20"/>
        </w:rPr>
        <w:t>”</w:t>
      </w:r>
      <w:r w:rsidR="008374DA" w:rsidRPr="00216A71">
        <w:rPr>
          <w:rFonts w:cstheme="minorHAnsi"/>
          <w:szCs w:val="20"/>
        </w:rPr>
        <w:t xml:space="preserve"> within the right</w:t>
      </w:r>
      <w:r w:rsidR="002A17DD" w:rsidRPr="00216A71">
        <w:rPr>
          <w:rFonts w:cstheme="minorHAnsi"/>
          <w:szCs w:val="20"/>
        </w:rPr>
        <w:t>-</w:t>
      </w:r>
      <w:r w:rsidR="008374DA" w:rsidRPr="00216A71">
        <w:rPr>
          <w:rFonts w:cstheme="minorHAnsi"/>
          <w:szCs w:val="20"/>
        </w:rPr>
        <w:t>wing majority coalition (Polo delle Liberta, whose leader was Silvio Berlusconi), and planned to pay about €2 million to politicians, half of which would go to the majority parties,</w:t>
      </w:r>
      <w:r w:rsidR="004045AD">
        <w:rPr>
          <w:rFonts w:cstheme="minorHAnsi"/>
          <w:szCs w:val="20"/>
        </w:rPr>
        <w:t xml:space="preserve"> </w:t>
      </w:r>
      <w:r w:rsidR="008374DA" w:rsidRPr="00216A71">
        <w:rPr>
          <w:rFonts w:cstheme="minorHAnsi"/>
          <w:szCs w:val="20"/>
        </w:rPr>
        <w:t xml:space="preserve">and the rest to the opposition and other </w:t>
      </w:r>
      <w:r w:rsidR="008517B2">
        <w:rPr>
          <w:rFonts w:cstheme="minorHAnsi"/>
          <w:szCs w:val="20"/>
        </w:rPr>
        <w:t>“</w:t>
      </w:r>
      <w:r w:rsidR="008374DA" w:rsidRPr="00216A71">
        <w:rPr>
          <w:rFonts w:cstheme="minorHAnsi"/>
          <w:szCs w:val="20"/>
        </w:rPr>
        <w:t>experts</w:t>
      </w:r>
      <w:r w:rsidR="008517B2">
        <w:rPr>
          <w:rFonts w:cstheme="minorHAnsi"/>
          <w:szCs w:val="20"/>
        </w:rPr>
        <w:t>”</w:t>
      </w:r>
      <w:r w:rsidR="008374DA" w:rsidRPr="00216A71">
        <w:rPr>
          <w:rFonts w:cstheme="minorHAnsi"/>
          <w:szCs w:val="20"/>
        </w:rPr>
        <w:t xml:space="preserve"> and </w:t>
      </w:r>
      <w:r w:rsidR="008517B2">
        <w:rPr>
          <w:rFonts w:cstheme="minorHAnsi"/>
          <w:szCs w:val="20"/>
        </w:rPr>
        <w:t>“</w:t>
      </w:r>
      <w:r w:rsidR="008374DA" w:rsidRPr="00216A71">
        <w:rPr>
          <w:rFonts w:cstheme="minorHAnsi"/>
          <w:szCs w:val="20"/>
        </w:rPr>
        <w:t>mediators</w:t>
      </w:r>
      <w:r w:rsidR="008517B2">
        <w:rPr>
          <w:rFonts w:cstheme="minorHAnsi"/>
          <w:szCs w:val="20"/>
        </w:rPr>
        <w:t>”</w:t>
      </w:r>
      <w:r w:rsidR="008374DA" w:rsidRPr="00216A71">
        <w:rPr>
          <w:rFonts w:cstheme="minorHAnsi"/>
          <w:szCs w:val="20"/>
        </w:rPr>
        <w:t xml:space="preserve"> whose names were not revealed.</w:t>
      </w:r>
      <w:r w:rsidR="008374DA" w:rsidRPr="00216A71">
        <w:rPr>
          <w:rStyle w:val="EndnoteReference"/>
          <w:rFonts w:cstheme="minorHAnsi"/>
          <w:i/>
          <w:szCs w:val="20"/>
        </w:rPr>
        <w:endnoteReference w:id="108"/>
      </w:r>
      <w:r w:rsidR="008374DA" w:rsidRPr="00216A71">
        <w:rPr>
          <w:rFonts w:cstheme="minorHAnsi"/>
          <w:i/>
          <w:szCs w:val="20"/>
        </w:rPr>
        <w:t xml:space="preserve"> </w:t>
      </w:r>
      <w:r w:rsidR="008374DA" w:rsidRPr="00216A71">
        <w:rPr>
          <w:rFonts w:eastAsia="SimSun" w:cstheme="minorHAnsi"/>
          <w:szCs w:val="20"/>
          <w:lang w:eastAsia="zh-CN"/>
        </w:rPr>
        <w:t>B</w:t>
      </w:r>
      <w:r w:rsidR="008374DA" w:rsidRPr="00216A71">
        <w:rPr>
          <w:rFonts w:cstheme="minorHAnsi"/>
          <w:szCs w:val="20"/>
        </w:rPr>
        <w:t>oth groups “have come under scrutiny in a host of criminal and civil cases, with accusations that include bribery of public officials, illegal political contributions, kickbacks, price fixing, operating cartels and fraudulent accounting.”</w:t>
      </w:r>
      <w:r w:rsidR="008374DA" w:rsidRPr="00216A71">
        <w:rPr>
          <w:rStyle w:val="EndnoteReference"/>
          <w:rFonts w:cstheme="minorHAnsi"/>
          <w:szCs w:val="20"/>
        </w:rPr>
        <w:endnoteReference w:id="109"/>
      </w:r>
    </w:p>
    <w:p w:rsidR="008374DA" w:rsidRPr="00216A71" w:rsidRDefault="008374DA" w:rsidP="008374DA">
      <w:pPr>
        <w:rPr>
          <w:rFonts w:cstheme="minorHAnsi"/>
          <w:szCs w:val="20"/>
        </w:rPr>
      </w:pPr>
      <w:r w:rsidRPr="00216A71">
        <w:rPr>
          <w:rFonts w:cstheme="minorHAnsi"/>
          <w:szCs w:val="20"/>
        </w:rPr>
        <w:t>Such corruption can be</w:t>
      </w:r>
      <w:r w:rsidR="00750051" w:rsidRPr="00216A71">
        <w:rPr>
          <w:rFonts w:cstheme="minorHAnsi"/>
          <w:szCs w:val="20"/>
        </w:rPr>
        <w:t xml:space="preserve"> observed in a w</w:t>
      </w:r>
      <w:r w:rsidRPr="00216A71">
        <w:rPr>
          <w:rFonts w:cstheme="minorHAnsi"/>
          <w:szCs w:val="20"/>
        </w:rPr>
        <w:t>ide range of contracts, involving various services and projects, as shown by the case of Farum, in Denmark.</w:t>
      </w:r>
    </w:p>
    <w:p w:rsidR="009B23FE" w:rsidRPr="00216A71" w:rsidRDefault="009B23FE" w:rsidP="009B23FE">
      <w:pPr>
        <w:pStyle w:val="Heading6"/>
        <w:rPr>
          <w:rFonts w:cstheme="minorHAnsi"/>
          <w:szCs w:val="20"/>
        </w:rPr>
      </w:pPr>
      <w:r w:rsidRPr="00216A71">
        <w:rPr>
          <w:rFonts w:cstheme="minorHAnsi"/>
          <w:szCs w:val="20"/>
        </w:rPr>
        <w:t>PPP scandal in Denmark</w:t>
      </w:r>
    </w:p>
    <w:p w:rsidR="009B23FE" w:rsidRPr="00216A71" w:rsidRDefault="009B23FE" w:rsidP="009B23FE">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The mayor of the municipality of Farum, a small town in Denmark, was committed to radical use of private contractors and PPPs. This included contracting-out of day care to ISS Servisystem, which led to a storm of complaints from parents and the termination of the contracts in 2001.</w:t>
      </w:r>
      <w:r w:rsidR="00BF7FC8" w:rsidRPr="00216A71">
        <w:rPr>
          <w:rFonts w:cstheme="minorHAnsi"/>
          <w:szCs w:val="20"/>
        </w:rPr>
        <w:t xml:space="preserve"> </w:t>
      </w:r>
      <w:r w:rsidRPr="00216A71">
        <w:rPr>
          <w:rFonts w:cstheme="minorHAnsi"/>
          <w:szCs w:val="20"/>
        </w:rPr>
        <w:t>The mayor also set up three construction projects on a PPP basis, including a sports stadium and a marina, negotiated with the same financial group. The deals were opposed on economic grounds by citizens’ groups and even by the business press</w:t>
      </w:r>
      <w:r w:rsidR="008517B2">
        <w:rPr>
          <w:rFonts w:cstheme="minorHAnsi"/>
          <w:szCs w:val="20"/>
        </w:rPr>
        <w:t>.</w:t>
      </w:r>
      <w:r w:rsidRPr="00216A71">
        <w:rPr>
          <w:rFonts w:cstheme="minorHAnsi"/>
          <w:szCs w:val="20"/>
        </w:rPr>
        <w:t xml:space="preserve"> </w:t>
      </w:r>
      <w:r w:rsidR="008517B2">
        <w:rPr>
          <w:rFonts w:cstheme="minorHAnsi"/>
          <w:szCs w:val="20"/>
        </w:rPr>
        <w:t>O</w:t>
      </w:r>
      <w:r w:rsidRPr="00216A71">
        <w:rPr>
          <w:rFonts w:cstheme="minorHAnsi"/>
          <w:szCs w:val="20"/>
        </w:rPr>
        <w:t xml:space="preserve">ne </w:t>
      </w:r>
      <w:r w:rsidRPr="00216A71">
        <w:rPr>
          <w:rFonts w:cstheme="minorHAnsi"/>
          <w:color w:val="000000"/>
          <w:szCs w:val="20"/>
        </w:rPr>
        <w:t>business magazine editorial accused the mayor of gambling in the casino with taxpayers money. The mayor was found to have issued the contracts illegally</w:t>
      </w:r>
      <w:r w:rsidRPr="00216A71">
        <w:rPr>
          <w:rFonts w:cstheme="minorHAnsi"/>
          <w:szCs w:val="20"/>
        </w:rPr>
        <w:t xml:space="preserve">, without proper competition; to have </w:t>
      </w:r>
      <w:r w:rsidRPr="00216A71">
        <w:rPr>
          <w:rFonts w:cstheme="minorHAnsi"/>
          <w:color w:val="000000"/>
          <w:szCs w:val="20"/>
        </w:rPr>
        <w:t>taken out an illegal loan; and to have used council money to subsidise his football team. Local citizens had to pay an extra 3</w:t>
      </w:r>
      <w:r w:rsidR="008517B2">
        <w:rPr>
          <w:rFonts w:cstheme="minorHAnsi"/>
          <w:color w:val="000000"/>
          <w:szCs w:val="20"/>
        </w:rPr>
        <w:t>.</w:t>
      </w:r>
      <w:r w:rsidRPr="00216A71">
        <w:rPr>
          <w:rFonts w:cstheme="minorHAnsi"/>
          <w:color w:val="000000"/>
          <w:szCs w:val="20"/>
        </w:rPr>
        <w:t>2</w:t>
      </w:r>
      <w:r w:rsidR="00A42FDE">
        <w:rPr>
          <w:rFonts w:cstheme="minorHAnsi"/>
          <w:color w:val="000000"/>
          <w:szCs w:val="20"/>
        </w:rPr>
        <w:t xml:space="preserve"> per cent</w:t>
      </w:r>
      <w:r w:rsidRPr="00216A71">
        <w:rPr>
          <w:rFonts w:cstheme="minorHAnsi"/>
          <w:color w:val="000000"/>
          <w:szCs w:val="20"/>
        </w:rPr>
        <w:t xml:space="preserve"> local income tax to rectify the municipal finances. </w:t>
      </w:r>
      <w:r w:rsidRPr="00216A71">
        <w:rPr>
          <w:rStyle w:val="EndnoteReference"/>
          <w:rFonts w:cstheme="minorHAnsi"/>
          <w:color w:val="000000"/>
          <w:szCs w:val="20"/>
        </w:rPr>
        <w:endnoteReference w:id="110"/>
      </w:r>
    </w:p>
    <w:p w:rsidR="00D86819" w:rsidRPr="00216A71" w:rsidRDefault="00D86819" w:rsidP="00D86819">
      <w:pPr>
        <w:pStyle w:val="Heading6"/>
        <w:rPr>
          <w:rFonts w:cstheme="minorHAnsi"/>
          <w:szCs w:val="20"/>
        </w:rPr>
      </w:pPr>
      <w:r w:rsidRPr="00216A71">
        <w:rPr>
          <w:rFonts w:cstheme="minorHAnsi"/>
          <w:szCs w:val="20"/>
        </w:rPr>
        <w:t xml:space="preserve"> Corruption in PPPs in India: UN report</w:t>
      </w:r>
      <w:r w:rsidR="00BF7FC8" w:rsidRPr="00216A71">
        <w:rPr>
          <w:rFonts w:cstheme="minorHAnsi"/>
          <w:szCs w:val="20"/>
        </w:rPr>
        <w:t xml:space="preserve"> </w:t>
      </w:r>
      <w:r w:rsidRPr="00216A71">
        <w:rPr>
          <w:rFonts w:cstheme="minorHAnsi"/>
          <w:szCs w:val="20"/>
        </w:rPr>
        <w:t>2013</w:t>
      </w:r>
    </w:p>
    <w:p w:rsidR="000C629A" w:rsidRDefault="00D86819" w:rsidP="00D86819">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w:t>
      </w:r>
      <w:r w:rsidR="003E7CAC" w:rsidRPr="00216A71">
        <w:rPr>
          <w:rFonts w:cstheme="minorHAnsi"/>
          <w:szCs w:val="20"/>
        </w:rPr>
        <w:t>Public private partnerships or PPP projects in India's roads and power sectors are most prone to corruption, with private partners</w:t>
      </w:r>
      <w:r w:rsidR="008517B2">
        <w:rPr>
          <w:rFonts w:cstheme="minorHAnsi"/>
          <w:szCs w:val="20"/>
        </w:rPr>
        <w:t>’</w:t>
      </w:r>
      <w:r w:rsidR="003E7CAC" w:rsidRPr="00216A71">
        <w:rPr>
          <w:rFonts w:cstheme="minorHAnsi"/>
          <w:szCs w:val="20"/>
        </w:rPr>
        <w:t xml:space="preserve"> evasion of revenue-share due to the government emerging as the biggest menace</w:t>
      </w:r>
      <w:r w:rsidR="008517B2">
        <w:rPr>
          <w:rFonts w:cstheme="minorHAnsi"/>
          <w:szCs w:val="20"/>
        </w:rPr>
        <w:t>,</w:t>
      </w:r>
      <w:r w:rsidR="00BF7FC8" w:rsidRPr="00216A71">
        <w:rPr>
          <w:rFonts w:cstheme="minorHAnsi"/>
          <w:szCs w:val="20"/>
        </w:rPr>
        <w:t>”</w:t>
      </w:r>
      <w:r w:rsidR="003E7CAC" w:rsidRPr="00216A71">
        <w:rPr>
          <w:rFonts w:cstheme="minorHAnsi"/>
          <w:szCs w:val="20"/>
        </w:rPr>
        <w:t xml:space="preserve"> a United Nations body has found.</w:t>
      </w:r>
    </w:p>
    <w:p w:rsidR="000C629A" w:rsidRDefault="003E7CAC" w:rsidP="00D86819">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The UN Office on Drugs and Crime (UNODC) has also flagged loopholes in Indian laws</w:t>
      </w:r>
      <w:r w:rsidR="008517B2">
        <w:rPr>
          <w:rFonts w:cstheme="minorHAnsi"/>
          <w:szCs w:val="20"/>
        </w:rPr>
        <w:t>’</w:t>
      </w:r>
      <w:r w:rsidRPr="00216A71">
        <w:rPr>
          <w:rFonts w:cstheme="minorHAnsi"/>
          <w:szCs w:val="20"/>
        </w:rPr>
        <w:t xml:space="preserve"> ability to curb such graft, and suggested that private partners in PPPs be designated as public officials to make them accountable under the Right to Information Act. This would also bring such projects under the proposed laws to protect whistleblowers and guarantee service delivery to citizens.</w:t>
      </w:r>
    </w:p>
    <w:p w:rsidR="000C629A" w:rsidRDefault="003E7CAC" w:rsidP="00D86819">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 xml:space="preserve">The UNODC reviewed India's preparedness to deal with such corruption in its report on </w:t>
      </w:r>
      <w:r w:rsidR="008517B2">
        <w:rPr>
          <w:rFonts w:cstheme="minorHAnsi"/>
          <w:szCs w:val="20"/>
        </w:rPr>
        <w:t>‘</w:t>
      </w:r>
      <w:r w:rsidRPr="00216A71">
        <w:rPr>
          <w:rFonts w:cstheme="minorHAnsi"/>
          <w:szCs w:val="20"/>
        </w:rPr>
        <w:t>Probity in Public Procurement</w:t>
      </w:r>
      <w:r w:rsidR="008517B2">
        <w:rPr>
          <w:rFonts w:cstheme="minorHAnsi"/>
          <w:szCs w:val="20"/>
        </w:rPr>
        <w:t>’</w:t>
      </w:r>
      <w:r w:rsidRPr="00216A71">
        <w:rPr>
          <w:rFonts w:cstheme="minorHAnsi"/>
          <w:szCs w:val="20"/>
        </w:rPr>
        <w:t xml:space="preserve"> underlining that such spending from the exchequer accounts for 20</w:t>
      </w:r>
      <w:r w:rsidR="00A42FDE">
        <w:rPr>
          <w:rFonts w:cstheme="minorHAnsi"/>
          <w:szCs w:val="20"/>
        </w:rPr>
        <w:t xml:space="preserve"> per cent</w:t>
      </w:r>
      <w:r w:rsidRPr="00216A71">
        <w:rPr>
          <w:rFonts w:cstheme="minorHAnsi"/>
          <w:szCs w:val="20"/>
        </w:rPr>
        <w:t xml:space="preserve"> to 30</w:t>
      </w:r>
      <w:r w:rsidR="00A42FDE">
        <w:rPr>
          <w:rFonts w:cstheme="minorHAnsi"/>
          <w:szCs w:val="20"/>
        </w:rPr>
        <w:t xml:space="preserve"> per cent</w:t>
      </w:r>
      <w:r w:rsidRPr="00216A71">
        <w:rPr>
          <w:rFonts w:cstheme="minorHAnsi"/>
          <w:szCs w:val="20"/>
        </w:rPr>
        <w:t xml:space="preserve"> of India's gross domestic product (GDP)</w:t>
      </w:r>
      <w:r w:rsidR="004045AD">
        <w:rPr>
          <w:rFonts w:cstheme="minorHAnsi"/>
          <w:szCs w:val="20"/>
        </w:rPr>
        <w:t xml:space="preserve"> – </w:t>
      </w:r>
      <w:r w:rsidRPr="00216A71">
        <w:rPr>
          <w:rFonts w:cstheme="minorHAnsi"/>
          <w:szCs w:val="20"/>
        </w:rPr>
        <w:t>much higher than the 15</w:t>
      </w:r>
      <w:r w:rsidR="00A42FDE">
        <w:rPr>
          <w:rFonts w:cstheme="minorHAnsi"/>
          <w:szCs w:val="20"/>
        </w:rPr>
        <w:t xml:space="preserve"> per cent</w:t>
      </w:r>
      <w:r w:rsidRPr="00216A71">
        <w:rPr>
          <w:rFonts w:cstheme="minorHAnsi"/>
          <w:szCs w:val="20"/>
        </w:rPr>
        <w:t xml:space="preserve"> of global GDP spen</w:t>
      </w:r>
      <w:r w:rsidR="008517B2">
        <w:rPr>
          <w:rFonts w:cstheme="minorHAnsi"/>
          <w:szCs w:val="20"/>
        </w:rPr>
        <w:t>t</w:t>
      </w:r>
      <w:r w:rsidRPr="00216A71">
        <w:rPr>
          <w:rFonts w:cstheme="minorHAnsi"/>
          <w:szCs w:val="20"/>
        </w:rPr>
        <w:t xml:space="preserve"> on public procurement.</w:t>
      </w:r>
    </w:p>
    <w:p w:rsidR="000C629A" w:rsidRDefault="00D86819" w:rsidP="00D86819">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Between 2012 and 2017, India aims to invest a trillion dollar</w:t>
      </w:r>
      <w:r w:rsidR="00BF7FC8" w:rsidRPr="00216A71">
        <w:rPr>
          <w:rFonts w:cstheme="minorHAnsi"/>
          <w:szCs w:val="20"/>
        </w:rPr>
        <w:t>s</w:t>
      </w:r>
      <w:r w:rsidRPr="00216A71">
        <w:rPr>
          <w:rFonts w:cstheme="minorHAnsi"/>
          <w:szCs w:val="20"/>
        </w:rPr>
        <w:t xml:space="preserve"> in infrastructure creation, a bulk of which is to come through the PPP route. "This growing trend merits the need for legislation and procedures to address probity issues in PPPs," the UN report states.</w:t>
      </w:r>
    </w:p>
    <w:p w:rsidR="000C629A" w:rsidRDefault="00D86819" w:rsidP="00D86819">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The UNODC reached out to 400 private sector and government officials to assess the ground realities o</w:t>
      </w:r>
      <w:r w:rsidR="008517B2">
        <w:rPr>
          <w:rFonts w:cstheme="minorHAnsi"/>
          <w:szCs w:val="20"/>
        </w:rPr>
        <w:t>f</w:t>
      </w:r>
      <w:r w:rsidRPr="00216A71">
        <w:rPr>
          <w:rFonts w:cstheme="minorHAnsi"/>
          <w:szCs w:val="20"/>
        </w:rPr>
        <w:t xml:space="preserve"> corruption in PPPs, but just 100 responded. "Most entities were silent, reticent or cautious in their responses to (queries about corruption)... reluctance and fear to talk about corruption is an important area that needs to be addressed," the body has stressed.</w:t>
      </w:r>
    </w:p>
    <w:p w:rsidR="000C629A" w:rsidRDefault="00D86819" w:rsidP="00D86819">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szCs w:val="20"/>
        </w:rPr>
        <w:t>Despite its limitations, the survey findings are illuminating. While 42</w:t>
      </w:r>
      <w:r w:rsidR="00A42FDE">
        <w:rPr>
          <w:rFonts w:cstheme="minorHAnsi"/>
          <w:szCs w:val="20"/>
        </w:rPr>
        <w:t xml:space="preserve"> per cent</w:t>
      </w:r>
      <w:r w:rsidRPr="00216A71">
        <w:rPr>
          <w:rFonts w:cstheme="minorHAnsi"/>
          <w:szCs w:val="20"/>
        </w:rPr>
        <w:t xml:space="preserve"> of firms feel roads and power are the sectors most prone to corruption, 75</w:t>
      </w:r>
      <w:r w:rsidR="00A42FDE">
        <w:rPr>
          <w:rFonts w:cstheme="minorHAnsi"/>
          <w:szCs w:val="20"/>
        </w:rPr>
        <w:t xml:space="preserve"> per cent</w:t>
      </w:r>
      <w:r w:rsidRPr="00216A71">
        <w:rPr>
          <w:rFonts w:cstheme="minorHAnsi"/>
          <w:szCs w:val="20"/>
        </w:rPr>
        <w:t xml:space="preserve"> of government officials perceived these two sectors as hotbeds of graft. Nearly 87</w:t>
      </w:r>
      <w:r w:rsidR="00A42FDE">
        <w:rPr>
          <w:rFonts w:cstheme="minorHAnsi"/>
          <w:szCs w:val="20"/>
        </w:rPr>
        <w:t xml:space="preserve"> per cent</w:t>
      </w:r>
      <w:r w:rsidRPr="00216A71">
        <w:rPr>
          <w:rFonts w:cstheme="minorHAnsi"/>
          <w:szCs w:val="20"/>
        </w:rPr>
        <w:t xml:space="preserve"> of private players said that bidding norms and tender criteria were rigged to suit certain bidders, to which over 44</w:t>
      </w:r>
      <w:r w:rsidR="00A42FDE">
        <w:rPr>
          <w:rFonts w:cstheme="minorHAnsi"/>
          <w:szCs w:val="20"/>
        </w:rPr>
        <w:t xml:space="preserve"> per cent</w:t>
      </w:r>
      <w:r w:rsidRPr="00216A71">
        <w:rPr>
          <w:rFonts w:cstheme="minorHAnsi"/>
          <w:szCs w:val="20"/>
        </w:rPr>
        <w:t xml:space="preserve"> of </w:t>
      </w:r>
      <w:r w:rsidR="00E0587F">
        <w:rPr>
          <w:rFonts w:cstheme="minorHAnsi"/>
          <w:szCs w:val="20"/>
        </w:rPr>
        <w:t xml:space="preserve">babus (government officials) </w:t>
      </w:r>
      <w:r w:rsidRPr="00216A71">
        <w:rPr>
          <w:rFonts w:cstheme="minorHAnsi"/>
          <w:szCs w:val="20"/>
        </w:rPr>
        <w:t>agreed.”</w:t>
      </w:r>
      <w:r w:rsidR="00B94CE0">
        <w:rPr>
          <w:rStyle w:val="EndnoteReference"/>
          <w:rFonts w:cstheme="minorHAnsi"/>
          <w:szCs w:val="20"/>
        </w:rPr>
        <w:endnoteReference w:id="111"/>
      </w:r>
    </w:p>
    <w:p w:rsidR="000C629A" w:rsidRDefault="003E7CAC" w:rsidP="00D86819">
      <w:pPr>
        <w:pBdr>
          <w:top w:val="single" w:sz="4" w:space="1" w:color="auto"/>
          <w:left w:val="single" w:sz="4" w:space="1" w:color="auto"/>
          <w:bottom w:val="single" w:sz="4" w:space="1" w:color="auto"/>
          <w:right w:val="single" w:sz="4" w:space="1" w:color="auto"/>
        </w:pBdr>
        <w:rPr>
          <w:rFonts w:cstheme="minorHAnsi"/>
          <w:szCs w:val="20"/>
        </w:rPr>
      </w:pPr>
      <w:r w:rsidRPr="00216A71">
        <w:rPr>
          <w:rFonts w:cstheme="minorHAnsi"/>
          <w:noProof/>
          <w:szCs w:val="20"/>
          <w:lang w:eastAsia="en-GB"/>
        </w:rPr>
        <w:lastRenderedPageBreak/>
        <w:drawing>
          <wp:inline distT="0" distB="0" distL="0" distR="0" wp14:anchorId="6D8F26E6" wp14:editId="27D4375F">
            <wp:extent cx="3634548" cy="5314941"/>
            <wp:effectExtent l="0" t="0" r="4445" b="635"/>
            <wp:docPr id="17" name="Picture 17" descr="http://www.economictimes.indiatimes.com/photo/20401696.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nomictimes.indiatimes.com/photo/20401696.cm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40213" cy="5323225"/>
                    </a:xfrm>
                    <a:prstGeom prst="rect">
                      <a:avLst/>
                    </a:prstGeom>
                    <a:noFill/>
                    <a:ln>
                      <a:noFill/>
                    </a:ln>
                  </pic:spPr>
                </pic:pic>
              </a:graphicData>
            </a:graphic>
          </wp:inline>
        </w:drawing>
      </w:r>
    </w:p>
    <w:p w:rsidR="009B23FE" w:rsidRPr="00216A71" w:rsidRDefault="009B23FE" w:rsidP="009B23FE">
      <w:pPr>
        <w:pStyle w:val="Heading3"/>
        <w:rPr>
          <w:rFonts w:asciiTheme="minorHAnsi" w:hAnsiTheme="minorHAnsi" w:cstheme="minorHAnsi"/>
          <w:szCs w:val="20"/>
        </w:rPr>
      </w:pPr>
      <w:r w:rsidRPr="00216A71">
        <w:rPr>
          <w:rFonts w:asciiTheme="minorHAnsi" w:hAnsiTheme="minorHAnsi" w:cstheme="minorHAnsi"/>
          <w:szCs w:val="20"/>
        </w:rPr>
        <w:t>Forecasts and lies</w:t>
      </w:r>
    </w:p>
    <w:p w:rsidR="000C629A" w:rsidRDefault="009B23FE" w:rsidP="009B23FE">
      <w:pPr>
        <w:rPr>
          <w:rFonts w:cstheme="minorHAnsi"/>
          <w:szCs w:val="20"/>
        </w:rPr>
      </w:pPr>
      <w:r w:rsidRPr="00216A71">
        <w:rPr>
          <w:rFonts w:cstheme="minorHAnsi"/>
          <w:szCs w:val="20"/>
        </w:rPr>
        <w:t>Private companies systematically underestimate the costs of the investments, and exaggerate the expected demand for the service.</w:t>
      </w:r>
      <w:r w:rsidR="004045AD">
        <w:rPr>
          <w:rFonts w:cstheme="minorHAnsi"/>
          <w:szCs w:val="20"/>
        </w:rPr>
        <w:t xml:space="preserve"> </w:t>
      </w:r>
      <w:r w:rsidRPr="00216A71">
        <w:rPr>
          <w:rFonts w:cstheme="minorHAnsi"/>
          <w:szCs w:val="20"/>
        </w:rPr>
        <w:t xml:space="preserve">A water treatment plant </w:t>
      </w:r>
      <w:r w:rsidR="00E0587F">
        <w:rPr>
          <w:rFonts w:cstheme="minorHAnsi"/>
          <w:szCs w:val="20"/>
        </w:rPr>
        <w:t>build-operate-transfer (</w:t>
      </w:r>
      <w:r w:rsidRPr="00216A71">
        <w:rPr>
          <w:rFonts w:cstheme="minorHAnsi"/>
          <w:szCs w:val="20"/>
        </w:rPr>
        <w:t>BOT</w:t>
      </w:r>
      <w:r w:rsidR="00E0587F">
        <w:rPr>
          <w:rFonts w:cstheme="minorHAnsi"/>
          <w:szCs w:val="20"/>
        </w:rPr>
        <w:t>)</w:t>
      </w:r>
      <w:r w:rsidRPr="00216A71">
        <w:rPr>
          <w:rFonts w:cstheme="minorHAnsi"/>
          <w:szCs w:val="20"/>
        </w:rPr>
        <w:t xml:space="preserve"> is more likely to be approved if a municipality is convinced that there will be a much greater need for water than can be covered by existing resources; a toll road is more likely to be approved if the future traffic flows seem much more than existing roads could manage. There is much evidence that this happens universally. </w:t>
      </w:r>
    </w:p>
    <w:p w:rsidR="000C629A" w:rsidRDefault="009B23FE" w:rsidP="009B23FE">
      <w:pPr>
        <w:rPr>
          <w:rFonts w:cstheme="minorHAnsi"/>
          <w:szCs w:val="20"/>
        </w:rPr>
      </w:pPr>
      <w:r w:rsidRPr="00216A71">
        <w:rPr>
          <w:rFonts w:cstheme="minorHAnsi"/>
          <w:szCs w:val="20"/>
        </w:rPr>
        <w:t>A global study found that in 90</w:t>
      </w:r>
      <w:r w:rsidR="00A42FDE">
        <w:rPr>
          <w:rFonts w:cstheme="minorHAnsi"/>
          <w:szCs w:val="20"/>
        </w:rPr>
        <w:t xml:space="preserve"> per cent</w:t>
      </w:r>
      <w:r w:rsidRPr="00216A71">
        <w:rPr>
          <w:rFonts w:cstheme="minorHAnsi"/>
          <w:szCs w:val="20"/>
        </w:rPr>
        <w:t xml:space="preserve"> of road and rail projects, the actual costs end up much higher than forecast in the original bid</w:t>
      </w:r>
      <w:r w:rsidR="0073642F" w:rsidRPr="00216A71">
        <w:rPr>
          <w:rFonts w:cstheme="minorHAnsi"/>
          <w:szCs w:val="20"/>
        </w:rPr>
        <w:t>s</w:t>
      </w:r>
      <w:r w:rsidRPr="00216A71">
        <w:rPr>
          <w:rFonts w:cstheme="minorHAnsi"/>
          <w:szCs w:val="20"/>
        </w:rPr>
        <w:t>, and actual demand is lower than forecast. The error is always in the same direction, so it cannot be the result of chance</w:t>
      </w:r>
      <w:r w:rsidR="004045AD">
        <w:rPr>
          <w:rFonts w:cstheme="minorHAnsi"/>
          <w:szCs w:val="20"/>
        </w:rPr>
        <w:t xml:space="preserve"> – </w:t>
      </w:r>
      <w:r w:rsidRPr="00216A71">
        <w:rPr>
          <w:rFonts w:cstheme="minorHAnsi"/>
          <w:szCs w:val="20"/>
        </w:rPr>
        <w:t>it can only be the result of systematic misrepresentation – i.e. lying. The authors concluded</w:t>
      </w:r>
      <w:r w:rsidR="00E0587F">
        <w:rPr>
          <w:rFonts w:cstheme="minorHAnsi"/>
          <w:szCs w:val="20"/>
        </w:rPr>
        <w:t>,</w:t>
      </w:r>
      <w:r w:rsidRPr="00216A71">
        <w:rPr>
          <w:rFonts w:cstheme="minorHAnsi"/>
          <w:szCs w:val="20"/>
        </w:rPr>
        <w:t xml:space="preserve"> “The problem of misinformation is an issue of power and profit and must be dealt with as such, using the mechanisms of tr</w:t>
      </w:r>
      <w:r w:rsidR="00B94CE0">
        <w:rPr>
          <w:rFonts w:cstheme="minorHAnsi"/>
          <w:szCs w:val="20"/>
        </w:rPr>
        <w:t>ansparency and accountability.”</w:t>
      </w:r>
      <w:r w:rsidRPr="00216A71">
        <w:rPr>
          <w:rStyle w:val="EndnoteReference"/>
          <w:rFonts w:cstheme="minorHAnsi"/>
          <w:szCs w:val="20"/>
        </w:rPr>
        <w:endnoteReference w:id="112"/>
      </w:r>
    </w:p>
    <w:p w:rsidR="009B23FE" w:rsidRPr="00216A71" w:rsidRDefault="009B23FE" w:rsidP="009B23FE">
      <w:pPr>
        <w:rPr>
          <w:rFonts w:cstheme="minorHAnsi"/>
          <w:szCs w:val="20"/>
        </w:rPr>
      </w:pPr>
      <w:r w:rsidRPr="00216A71">
        <w:rPr>
          <w:rFonts w:cstheme="minorHAnsi"/>
          <w:szCs w:val="20"/>
        </w:rPr>
        <w:t>Road traffic forecasts for toll road PPPs are systematically exaggerated everywhere. In Australia, every toll road constructed since 2005 has had less traffic and less toll revenue than the forecasts. In Central and Eastern Europe the experience has been the same</w:t>
      </w:r>
      <w:r w:rsidR="00E0587F">
        <w:rPr>
          <w:rFonts w:cstheme="minorHAnsi"/>
          <w:szCs w:val="20"/>
        </w:rPr>
        <w:t>.</w:t>
      </w:r>
      <w:r w:rsidRPr="00216A71">
        <w:rPr>
          <w:rFonts w:cstheme="minorHAnsi"/>
          <w:szCs w:val="20"/>
        </w:rPr>
        <w:t xml:space="preserve"> “The persistent over-estimation of traffic figures by CEE decision-makers not only leads to difficulties with the concessionaire’s income or the public budget’s expenditures, but also leads to attempts to increase the amount of traffic</w:t>
      </w:r>
      <w:r w:rsidR="00E0587F">
        <w:rPr>
          <w:rFonts w:cstheme="minorHAnsi"/>
          <w:szCs w:val="20"/>
        </w:rPr>
        <w:t>.</w:t>
      </w:r>
      <w:r w:rsidRPr="00216A71">
        <w:rPr>
          <w:rFonts w:cstheme="minorHAnsi"/>
          <w:szCs w:val="20"/>
        </w:rPr>
        <w:t>”</w:t>
      </w:r>
      <w:r w:rsidRPr="00216A71">
        <w:rPr>
          <w:rStyle w:val="EndnoteReference"/>
          <w:rFonts w:cstheme="minorHAnsi"/>
          <w:szCs w:val="20"/>
        </w:rPr>
        <w:t xml:space="preserve"> </w:t>
      </w:r>
      <w:r w:rsidRPr="00216A71">
        <w:rPr>
          <w:rStyle w:val="EndnoteReference"/>
          <w:rFonts w:cstheme="minorHAnsi"/>
          <w:szCs w:val="20"/>
        </w:rPr>
        <w:endnoteReference w:id="113"/>
      </w:r>
      <w:r w:rsidRPr="00216A71">
        <w:rPr>
          <w:rFonts w:cstheme="minorHAnsi"/>
          <w:szCs w:val="20"/>
        </w:rPr>
        <w:t xml:space="preserve"> In the USA, too, the actual first-year revenue of 26 toll roads that opened between 1986 and 2004 averaged one-third less than projected.</w:t>
      </w:r>
      <w:r w:rsidR="004045AD">
        <w:rPr>
          <w:rFonts w:cstheme="minorHAnsi"/>
          <w:szCs w:val="20"/>
        </w:rPr>
        <w:t xml:space="preserve"> </w:t>
      </w:r>
      <w:r w:rsidRPr="00216A71">
        <w:rPr>
          <w:rFonts w:cstheme="minorHAnsi"/>
          <w:szCs w:val="20"/>
        </w:rPr>
        <w:t xml:space="preserve">A 2013 PPP proposal for a bridge in Oregon forecast publicly that it would be used by 160,000 vehicles a day, enough to cover the cost from tolls – but privately they expected </w:t>
      </w:r>
      <w:r w:rsidR="00E0587F" w:rsidRPr="00216A71">
        <w:rPr>
          <w:rFonts w:cstheme="minorHAnsi"/>
          <w:szCs w:val="20"/>
        </w:rPr>
        <w:t xml:space="preserve">only </w:t>
      </w:r>
      <w:r w:rsidRPr="00216A71">
        <w:rPr>
          <w:rFonts w:cstheme="minorHAnsi"/>
          <w:szCs w:val="20"/>
        </w:rPr>
        <w:t>78,400 vehicles a day, which would require constant subsidy from the state.</w:t>
      </w:r>
      <w:r w:rsidRPr="00216A71">
        <w:rPr>
          <w:rFonts w:cstheme="minorHAnsi"/>
          <w:szCs w:val="20"/>
          <w:vertAlign w:val="superscript"/>
        </w:rPr>
        <w:endnoteReference w:id="114"/>
      </w:r>
    </w:p>
    <w:p w:rsidR="009B23FE" w:rsidRPr="00216A71" w:rsidRDefault="009B23FE" w:rsidP="009B23FE">
      <w:pPr>
        <w:pStyle w:val="Heading3"/>
        <w:rPr>
          <w:rFonts w:asciiTheme="minorHAnsi" w:hAnsiTheme="minorHAnsi" w:cstheme="minorHAnsi"/>
          <w:szCs w:val="20"/>
        </w:rPr>
      </w:pPr>
      <w:r w:rsidRPr="00216A71">
        <w:rPr>
          <w:rFonts w:asciiTheme="minorHAnsi" w:hAnsiTheme="minorHAnsi" w:cstheme="minorHAnsi"/>
          <w:szCs w:val="20"/>
        </w:rPr>
        <w:lastRenderedPageBreak/>
        <w:t>Transparency</w:t>
      </w:r>
    </w:p>
    <w:p w:rsidR="009B23FE" w:rsidRPr="00216A71" w:rsidRDefault="009B23FE" w:rsidP="009B23FE">
      <w:pPr>
        <w:rPr>
          <w:rFonts w:cstheme="minorHAnsi"/>
          <w:szCs w:val="20"/>
        </w:rPr>
      </w:pPr>
      <w:r w:rsidRPr="00216A71">
        <w:rPr>
          <w:rFonts w:cstheme="minorHAnsi"/>
          <w:szCs w:val="20"/>
        </w:rPr>
        <w:t xml:space="preserve">There is always a loss of transparency </w:t>
      </w:r>
      <w:r w:rsidR="008374DA" w:rsidRPr="00216A71">
        <w:rPr>
          <w:rFonts w:cstheme="minorHAnsi"/>
          <w:szCs w:val="20"/>
        </w:rPr>
        <w:t>with</w:t>
      </w:r>
      <w:r w:rsidR="004045AD">
        <w:rPr>
          <w:rFonts w:cstheme="minorHAnsi"/>
          <w:szCs w:val="20"/>
        </w:rPr>
        <w:t xml:space="preserve"> </w:t>
      </w:r>
      <w:r w:rsidRPr="00216A71">
        <w:rPr>
          <w:rFonts w:cstheme="minorHAnsi"/>
          <w:szCs w:val="20"/>
        </w:rPr>
        <w:t xml:space="preserve">PPPs because private companies can and </w:t>
      </w:r>
      <w:r w:rsidR="0073642F" w:rsidRPr="00216A71">
        <w:rPr>
          <w:rFonts w:cstheme="minorHAnsi"/>
          <w:szCs w:val="20"/>
        </w:rPr>
        <w:t xml:space="preserve">do </w:t>
      </w:r>
      <w:r w:rsidRPr="00216A71">
        <w:rPr>
          <w:rFonts w:cstheme="minorHAnsi"/>
          <w:szCs w:val="20"/>
        </w:rPr>
        <w:t>withhold much information on the grounds of commercial confidentiality. This angered the UK</w:t>
      </w:r>
      <w:r w:rsidR="008374DA" w:rsidRPr="00216A71">
        <w:rPr>
          <w:rFonts w:cstheme="minorHAnsi"/>
          <w:szCs w:val="20"/>
        </w:rPr>
        <w:t xml:space="preserve"> parliament</w:t>
      </w:r>
      <w:r w:rsidRPr="00216A71">
        <w:rPr>
          <w:rFonts w:cstheme="minorHAnsi"/>
          <w:szCs w:val="20"/>
        </w:rPr>
        <w:t>: “</w:t>
      </w:r>
      <w:r w:rsidRPr="00216A71">
        <w:rPr>
          <w:rFonts w:cstheme="minorHAnsi"/>
          <w:bCs/>
          <w:szCs w:val="20"/>
        </w:rPr>
        <w:t>Transparency on the full costs and benefits of PFI projects to both the public and private sectors has been obscured by departments and investors hiding behind commercial confidentiality</w:t>
      </w:r>
      <w:r w:rsidR="00E0587F">
        <w:rPr>
          <w:rFonts w:cstheme="minorHAnsi"/>
          <w:bCs/>
          <w:szCs w:val="20"/>
        </w:rPr>
        <w:t>.</w:t>
      </w:r>
      <w:r w:rsidRPr="00216A71">
        <w:rPr>
          <w:rFonts w:cstheme="minorHAnsi"/>
          <w:bCs/>
          <w:szCs w:val="20"/>
        </w:rPr>
        <w:t>”</w:t>
      </w:r>
      <w:r w:rsidRPr="00216A71">
        <w:rPr>
          <w:rFonts w:cstheme="minorHAnsi"/>
          <w:bCs/>
          <w:szCs w:val="20"/>
          <w:vertAlign w:val="superscript"/>
        </w:rPr>
        <w:endnoteReference w:id="115"/>
      </w:r>
      <w:r w:rsidR="004045AD">
        <w:rPr>
          <w:rFonts w:cstheme="minorHAnsi"/>
          <w:bCs/>
          <w:szCs w:val="20"/>
        </w:rPr>
        <w:t xml:space="preserve"> </w:t>
      </w:r>
      <w:r w:rsidRPr="00216A71">
        <w:rPr>
          <w:rFonts w:cstheme="minorHAnsi"/>
          <w:bCs/>
          <w:szCs w:val="20"/>
        </w:rPr>
        <w:t xml:space="preserve">In Egypt, and many other countries, one reason why </w:t>
      </w:r>
      <w:r w:rsidRPr="00216A71">
        <w:rPr>
          <w:rFonts w:cstheme="minorHAnsi"/>
          <w:szCs w:val="20"/>
        </w:rPr>
        <w:t>PPPs and other fo</w:t>
      </w:r>
      <w:r w:rsidR="0073642F" w:rsidRPr="00216A71">
        <w:rPr>
          <w:rFonts w:cstheme="minorHAnsi"/>
          <w:szCs w:val="20"/>
        </w:rPr>
        <w:t xml:space="preserve">rms of privatisation have been </w:t>
      </w:r>
      <w:r w:rsidRPr="00216A71">
        <w:rPr>
          <w:rFonts w:cstheme="minorHAnsi"/>
          <w:szCs w:val="20"/>
        </w:rPr>
        <w:t>unpopular with many is because of the perceived secrecy and cronyism involved. An OECD report on the business climate in Egypt noted: “With regard to the privatisation process itself, an overall lack of transparency is also problematic</w:t>
      </w:r>
      <w:r w:rsidR="00E0587F">
        <w:rPr>
          <w:rFonts w:cstheme="minorHAnsi"/>
          <w:szCs w:val="20"/>
        </w:rPr>
        <w:t>.</w:t>
      </w:r>
      <w:r w:rsidRPr="00216A71">
        <w:rPr>
          <w:rFonts w:cstheme="minorHAnsi"/>
          <w:szCs w:val="20"/>
        </w:rPr>
        <w:t>”</w:t>
      </w:r>
      <w:r w:rsidRPr="00216A71">
        <w:rPr>
          <w:rFonts w:cstheme="minorHAnsi"/>
          <w:szCs w:val="20"/>
          <w:vertAlign w:val="superscript"/>
        </w:rPr>
        <w:endnoteReference w:id="116"/>
      </w:r>
      <w:r w:rsidR="004045AD">
        <w:rPr>
          <w:rFonts w:cstheme="minorHAnsi"/>
          <w:szCs w:val="20"/>
        </w:rPr>
        <w:t xml:space="preserve"> </w:t>
      </w:r>
    </w:p>
    <w:p w:rsidR="00D146EB" w:rsidRPr="00216A71" w:rsidRDefault="00D146EB" w:rsidP="008F4F74">
      <w:pPr>
        <w:pStyle w:val="Heading2"/>
        <w:rPr>
          <w:rFonts w:asciiTheme="minorHAnsi" w:hAnsiTheme="minorHAnsi" w:cstheme="minorHAnsi"/>
          <w:szCs w:val="20"/>
        </w:rPr>
      </w:pPr>
      <w:r w:rsidRPr="00216A71">
        <w:rPr>
          <w:rFonts w:asciiTheme="minorHAnsi" w:hAnsiTheme="minorHAnsi" w:cstheme="minorHAnsi"/>
          <w:szCs w:val="20"/>
        </w:rPr>
        <w:t xml:space="preserve"> </w:t>
      </w:r>
      <w:bookmarkStart w:id="89" w:name="_Toc392857537"/>
      <w:r w:rsidRPr="00216A71">
        <w:rPr>
          <w:rFonts w:asciiTheme="minorHAnsi" w:hAnsiTheme="minorHAnsi" w:cstheme="minorHAnsi"/>
          <w:szCs w:val="20"/>
        </w:rPr>
        <w:t>Damaging public services</w:t>
      </w:r>
      <w:r w:rsidR="00FA542C" w:rsidRPr="00216A71">
        <w:rPr>
          <w:rFonts w:asciiTheme="minorHAnsi" w:hAnsiTheme="minorHAnsi" w:cstheme="minorHAnsi"/>
          <w:szCs w:val="20"/>
        </w:rPr>
        <w:t>, environment and workers</w:t>
      </w:r>
      <w:bookmarkEnd w:id="89"/>
    </w:p>
    <w:p w:rsidR="008F4F74" w:rsidRPr="00216A71" w:rsidRDefault="008F4F74" w:rsidP="008F4F74">
      <w:pPr>
        <w:pStyle w:val="Heading3"/>
        <w:rPr>
          <w:rFonts w:asciiTheme="minorHAnsi" w:hAnsiTheme="minorHAnsi" w:cstheme="minorHAnsi"/>
          <w:szCs w:val="20"/>
        </w:rPr>
      </w:pPr>
      <w:r w:rsidRPr="00216A71">
        <w:rPr>
          <w:rFonts w:asciiTheme="minorHAnsi" w:hAnsiTheme="minorHAnsi" w:cstheme="minorHAnsi"/>
          <w:szCs w:val="20"/>
        </w:rPr>
        <w:t>Distorting policy priorities</w:t>
      </w:r>
    </w:p>
    <w:p w:rsidR="000C629A" w:rsidRDefault="00F24011" w:rsidP="008F4F74">
      <w:pPr>
        <w:rPr>
          <w:rFonts w:cstheme="minorHAnsi"/>
          <w:szCs w:val="20"/>
        </w:rPr>
      </w:pPr>
      <w:r w:rsidRPr="00216A71">
        <w:rPr>
          <w:rFonts w:cstheme="minorHAnsi"/>
          <w:szCs w:val="20"/>
        </w:rPr>
        <w:t>PPPs have to be commercially viable or private companies will not sign them. This distorts the policy decisions made – some projects get selected which might otherwise not be, others do not get financed because they do not seem commercially attractive.</w:t>
      </w:r>
      <w:r w:rsidR="008374DA" w:rsidRPr="00216A71">
        <w:rPr>
          <w:rFonts w:cstheme="minorHAnsi"/>
          <w:szCs w:val="20"/>
        </w:rPr>
        <w:t xml:space="preserve"> This extends to the detail of projects</w:t>
      </w:r>
      <w:r w:rsidR="007F0057">
        <w:rPr>
          <w:rFonts w:cstheme="minorHAnsi"/>
          <w:szCs w:val="20"/>
        </w:rPr>
        <w:t>.</w:t>
      </w:r>
      <w:r w:rsidR="008374DA" w:rsidRPr="00216A71">
        <w:rPr>
          <w:rFonts w:cstheme="minorHAnsi"/>
          <w:szCs w:val="20"/>
        </w:rPr>
        <w:t xml:space="preserve"> </w:t>
      </w:r>
      <w:r w:rsidR="007F0057">
        <w:rPr>
          <w:rFonts w:cstheme="minorHAnsi"/>
          <w:szCs w:val="20"/>
        </w:rPr>
        <w:t>T</w:t>
      </w:r>
      <w:r w:rsidR="008374DA" w:rsidRPr="00216A71">
        <w:rPr>
          <w:rFonts w:cstheme="minorHAnsi"/>
          <w:szCs w:val="20"/>
        </w:rPr>
        <w:t>he private companies strip out any elements of a service which might reduce their potential profits</w:t>
      </w:r>
      <w:r w:rsidR="007F0057">
        <w:rPr>
          <w:rFonts w:cstheme="minorHAnsi"/>
          <w:szCs w:val="20"/>
        </w:rPr>
        <w:t>.</w:t>
      </w:r>
    </w:p>
    <w:p w:rsidR="000C629A" w:rsidRDefault="00817611" w:rsidP="00781FBC">
      <w:pPr>
        <w:pStyle w:val="ListParagraph"/>
        <w:numPr>
          <w:ilvl w:val="0"/>
          <w:numId w:val="58"/>
        </w:numPr>
        <w:autoSpaceDE w:val="0"/>
        <w:autoSpaceDN w:val="0"/>
        <w:adjustRightInd w:val="0"/>
        <w:rPr>
          <w:rFonts w:cstheme="minorHAnsi"/>
          <w:szCs w:val="20"/>
        </w:rPr>
      </w:pPr>
      <w:r w:rsidRPr="00216A71">
        <w:rPr>
          <w:rFonts w:cstheme="minorHAnsi"/>
          <w:szCs w:val="20"/>
        </w:rPr>
        <w:t>In</w:t>
      </w:r>
      <w:r w:rsidR="008F4F74" w:rsidRPr="00216A71">
        <w:rPr>
          <w:rFonts w:cstheme="minorHAnsi"/>
          <w:szCs w:val="20"/>
        </w:rPr>
        <w:t xml:space="preserve"> the health</w:t>
      </w:r>
      <w:r w:rsidRPr="00216A71">
        <w:rPr>
          <w:rFonts w:cstheme="minorHAnsi"/>
          <w:szCs w:val="20"/>
        </w:rPr>
        <w:t>care</w:t>
      </w:r>
      <w:r w:rsidR="008F4F74" w:rsidRPr="00216A71">
        <w:rPr>
          <w:rFonts w:cstheme="minorHAnsi"/>
          <w:szCs w:val="20"/>
        </w:rPr>
        <w:t xml:space="preserve"> sector in Italy</w:t>
      </w:r>
      <w:r w:rsidRPr="00216A71">
        <w:rPr>
          <w:rFonts w:cstheme="minorHAnsi"/>
          <w:szCs w:val="20"/>
        </w:rPr>
        <w:t>, the priorities of PPPs effectively displaced consideration of</w:t>
      </w:r>
      <w:r w:rsidR="004045AD">
        <w:rPr>
          <w:rFonts w:cstheme="minorHAnsi"/>
          <w:szCs w:val="20"/>
        </w:rPr>
        <w:t xml:space="preserve"> </w:t>
      </w:r>
      <w:r w:rsidRPr="00216A71">
        <w:rPr>
          <w:rFonts w:cstheme="minorHAnsi"/>
          <w:szCs w:val="20"/>
        </w:rPr>
        <w:t xml:space="preserve">the needs of public healthcare: </w:t>
      </w:r>
      <w:r w:rsidR="008F4F74" w:rsidRPr="00216A71">
        <w:rPr>
          <w:rFonts w:cstheme="minorHAnsi"/>
          <w:szCs w:val="20"/>
        </w:rPr>
        <w:t>“Italian health-care trusts…. neither drew up any calculation for weighting their future costs and revenues related to the project, nor did they consider the social consequences for the community. They merely followed the legal requirements and prepared a financial plan from the private partner perspective.</w:t>
      </w:r>
      <w:r w:rsidR="004045AD">
        <w:rPr>
          <w:rFonts w:cstheme="minorHAnsi"/>
          <w:szCs w:val="20"/>
        </w:rPr>
        <w:t xml:space="preserve"> </w:t>
      </w:r>
      <w:r w:rsidR="008F4F74" w:rsidRPr="00216A71">
        <w:rPr>
          <w:rFonts w:cstheme="minorHAnsi"/>
          <w:szCs w:val="20"/>
        </w:rPr>
        <w:t>In deciding to create a PPP it is expected that public authorities would make the decision by reference to criteria of public benefit and by evaluating alternative ways of delivering the expected produc</w:t>
      </w:r>
      <w:r w:rsidRPr="00216A71">
        <w:rPr>
          <w:rFonts w:cstheme="minorHAnsi"/>
          <w:szCs w:val="20"/>
        </w:rPr>
        <w:t>t, [but] t</w:t>
      </w:r>
      <w:r w:rsidR="008F4F74" w:rsidRPr="00216A71">
        <w:rPr>
          <w:rFonts w:cstheme="minorHAnsi"/>
          <w:szCs w:val="20"/>
        </w:rPr>
        <w:t>he methodologies actually adopted in Italian healthcare PPPs focus almost exclusively on the private sector perspective, namely ensuring that the PPP is structured in a way that makes it most likely to be financed at good (low) interest rates by banks. Limits on public borrowing constrain the possible alternatives, and in some sectors a small number of companies may have close relationships with each other and public authorities that make competition between private companies less likely</w:t>
      </w:r>
      <w:r w:rsidR="007F0057">
        <w:rPr>
          <w:rFonts w:cstheme="minorHAnsi"/>
          <w:szCs w:val="20"/>
        </w:rPr>
        <w:t>.</w:t>
      </w:r>
      <w:r w:rsidRPr="00216A71">
        <w:rPr>
          <w:rFonts w:cstheme="minorHAnsi"/>
          <w:szCs w:val="20"/>
        </w:rPr>
        <w:t>”</w:t>
      </w:r>
      <w:r w:rsidR="008F4F74" w:rsidRPr="00216A71">
        <w:rPr>
          <w:rStyle w:val="EndnoteReference"/>
          <w:rFonts w:cstheme="minorHAnsi"/>
          <w:szCs w:val="20"/>
        </w:rPr>
        <w:endnoteReference w:id="117"/>
      </w:r>
    </w:p>
    <w:p w:rsidR="000C629A" w:rsidRDefault="008374DA" w:rsidP="00781FBC">
      <w:pPr>
        <w:pStyle w:val="ListParagraph"/>
        <w:numPr>
          <w:ilvl w:val="0"/>
          <w:numId w:val="58"/>
        </w:numPr>
        <w:rPr>
          <w:rFonts w:cstheme="minorHAnsi"/>
          <w:szCs w:val="20"/>
        </w:rPr>
      </w:pPr>
      <w:r w:rsidRPr="00216A71">
        <w:rPr>
          <w:rFonts w:cstheme="minorHAnsi"/>
          <w:szCs w:val="20"/>
        </w:rPr>
        <w:t>In Ghana</w:t>
      </w:r>
      <w:r w:rsidR="00817611" w:rsidRPr="00216A71">
        <w:rPr>
          <w:rFonts w:cstheme="minorHAnsi"/>
          <w:szCs w:val="20"/>
        </w:rPr>
        <w:t>, the entire national water service was restructured and split into two: one company covering the capital city, Accra, and one covering the rest of the country. This reorganisation did not make sense for national water policy, as it reduced the ability of the system to cross-subsidise water services in poorer areas</w:t>
      </w:r>
      <w:r w:rsidR="004045AD">
        <w:rPr>
          <w:rFonts w:cstheme="minorHAnsi"/>
          <w:szCs w:val="20"/>
        </w:rPr>
        <w:t xml:space="preserve"> – </w:t>
      </w:r>
      <w:r w:rsidR="00817611" w:rsidRPr="00216A71">
        <w:rPr>
          <w:rFonts w:cstheme="minorHAnsi"/>
          <w:szCs w:val="20"/>
        </w:rPr>
        <w:t>but the private companies could only make a profit in Accra, so it had to be separated for them.</w:t>
      </w:r>
    </w:p>
    <w:p w:rsidR="000C629A" w:rsidRDefault="00817611" w:rsidP="00781FBC">
      <w:pPr>
        <w:pStyle w:val="ListParagraph"/>
        <w:numPr>
          <w:ilvl w:val="0"/>
          <w:numId w:val="58"/>
        </w:numPr>
        <w:autoSpaceDE w:val="0"/>
        <w:autoSpaceDN w:val="0"/>
        <w:adjustRightInd w:val="0"/>
        <w:rPr>
          <w:rFonts w:cstheme="minorHAnsi"/>
          <w:szCs w:val="20"/>
        </w:rPr>
      </w:pPr>
      <w:r w:rsidRPr="00216A71">
        <w:rPr>
          <w:rFonts w:cstheme="minorHAnsi"/>
          <w:szCs w:val="20"/>
        </w:rPr>
        <w:t>In the USA, contracts for private road schemes include clauses giving companies “the right to object to and receive compensation for legislative, administrative, and judicial decisions</w:t>
      </w:r>
      <w:r w:rsidR="007F0057">
        <w:rPr>
          <w:rFonts w:cstheme="minorHAnsi"/>
          <w:szCs w:val="20"/>
        </w:rPr>
        <w:t>.</w:t>
      </w:r>
      <w:r w:rsidRPr="00216A71">
        <w:rPr>
          <w:rFonts w:cstheme="minorHAnsi"/>
          <w:szCs w:val="20"/>
        </w:rPr>
        <w:t>”</w:t>
      </w:r>
      <w:r w:rsidR="004045AD">
        <w:rPr>
          <w:rFonts w:cstheme="minorHAnsi"/>
          <w:szCs w:val="20"/>
        </w:rPr>
        <w:t xml:space="preserve"> </w:t>
      </w:r>
      <w:r w:rsidRPr="00216A71">
        <w:rPr>
          <w:rFonts w:cstheme="minorHAnsi"/>
          <w:szCs w:val="20"/>
        </w:rPr>
        <w:t>After a</w:t>
      </w:r>
      <w:r w:rsidR="004045AD">
        <w:rPr>
          <w:rFonts w:cstheme="minorHAnsi"/>
          <w:szCs w:val="20"/>
        </w:rPr>
        <w:t xml:space="preserve"> </w:t>
      </w:r>
      <w:r w:rsidRPr="00216A71">
        <w:rPr>
          <w:rFonts w:cstheme="minorHAnsi"/>
          <w:szCs w:val="20"/>
        </w:rPr>
        <w:t>PPP toll road in Orange County, California, was given a 35-year concession in 1995, other roads remained clogged by traffic, so the county decided to expand other roads as well</w:t>
      </w:r>
      <w:r w:rsidR="004045AD">
        <w:rPr>
          <w:rFonts w:cstheme="minorHAnsi"/>
          <w:szCs w:val="20"/>
        </w:rPr>
        <w:t xml:space="preserve"> – </w:t>
      </w:r>
      <w:r w:rsidRPr="00216A71">
        <w:rPr>
          <w:rFonts w:cstheme="minorHAnsi"/>
          <w:szCs w:val="20"/>
        </w:rPr>
        <w:t>but the private company won a court order preventing that as it might reduce their profits. The only escape for the county was to re</w:t>
      </w:r>
      <w:r w:rsidR="0066057E">
        <w:rPr>
          <w:rFonts w:cstheme="minorHAnsi"/>
          <w:szCs w:val="20"/>
        </w:rPr>
        <w:t>-</w:t>
      </w:r>
      <w:r w:rsidRPr="00216A71">
        <w:rPr>
          <w:rFonts w:cstheme="minorHAnsi"/>
          <w:szCs w:val="20"/>
        </w:rPr>
        <w:t>municipalise the road – for 50</w:t>
      </w:r>
      <w:r w:rsidR="00A42FDE">
        <w:rPr>
          <w:rFonts w:cstheme="minorHAnsi"/>
          <w:szCs w:val="20"/>
        </w:rPr>
        <w:t xml:space="preserve"> per cent</w:t>
      </w:r>
      <w:r w:rsidRPr="00216A71">
        <w:rPr>
          <w:rFonts w:cstheme="minorHAnsi"/>
          <w:szCs w:val="20"/>
        </w:rPr>
        <w:t xml:space="preserve"> more than the cost of building it.</w:t>
      </w:r>
      <w:r w:rsidRPr="00216A71">
        <w:rPr>
          <w:rFonts w:cstheme="minorHAnsi"/>
          <w:szCs w:val="20"/>
          <w:vertAlign w:val="superscript"/>
        </w:rPr>
        <w:t xml:space="preserve"> </w:t>
      </w:r>
      <w:r w:rsidRPr="00216A71">
        <w:rPr>
          <w:rFonts w:cstheme="minorHAnsi"/>
          <w:szCs w:val="20"/>
          <w:vertAlign w:val="superscript"/>
        </w:rPr>
        <w:endnoteReference w:id="118"/>
      </w:r>
    </w:p>
    <w:p w:rsidR="008F4F74" w:rsidRPr="00216A71" w:rsidRDefault="008F4F74" w:rsidP="008F4F74">
      <w:pPr>
        <w:pStyle w:val="Heading6"/>
        <w:spacing w:before="120"/>
        <w:ind w:left="0" w:firstLine="0"/>
        <w:rPr>
          <w:rFonts w:cstheme="minorHAnsi"/>
          <w:szCs w:val="20"/>
        </w:rPr>
      </w:pPr>
      <w:r w:rsidRPr="00216A71">
        <w:rPr>
          <w:rFonts w:cstheme="minorHAnsi"/>
          <w:szCs w:val="20"/>
        </w:rPr>
        <w:t>Skewed PPPs and the IMF: closing schools in Mubarak’s Egypt</w:t>
      </w:r>
    </w:p>
    <w:p w:rsidR="000C629A" w:rsidRDefault="008F4F74" w:rsidP="008F4F7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“As a former employee of the PPP Authority in Egypt which is under the mandate of Minist</w:t>
      </w:r>
      <w:r w:rsidR="00253050" w:rsidRPr="00216A71">
        <w:rPr>
          <w:rFonts w:cstheme="minorHAnsi"/>
          <w:szCs w:val="20"/>
        </w:rPr>
        <w:t xml:space="preserve">ry of Finance </w:t>
      </w:r>
      <w:r w:rsidR="007F0057">
        <w:rPr>
          <w:rFonts w:cstheme="minorHAnsi"/>
          <w:szCs w:val="20"/>
        </w:rPr>
        <w:t>(</w:t>
      </w:r>
      <w:r w:rsidR="00253050" w:rsidRPr="00216A71">
        <w:rPr>
          <w:rFonts w:cstheme="minorHAnsi"/>
          <w:szCs w:val="20"/>
        </w:rPr>
        <w:t>MoF</w:t>
      </w:r>
      <w:r w:rsidR="007F0057">
        <w:rPr>
          <w:rFonts w:cstheme="minorHAnsi"/>
          <w:szCs w:val="20"/>
        </w:rPr>
        <w:t>)</w:t>
      </w:r>
      <w:r w:rsidR="00253050" w:rsidRPr="00216A71">
        <w:rPr>
          <w:rFonts w:cstheme="minorHAnsi"/>
          <w:szCs w:val="20"/>
        </w:rPr>
        <w:t>, I know first-</w:t>
      </w:r>
      <w:r w:rsidRPr="00216A71">
        <w:rPr>
          <w:rFonts w:cstheme="minorHAnsi"/>
          <w:szCs w:val="20"/>
        </w:rPr>
        <w:t>hand how these deals work and how the IMF and World Bank use these neo-colonial programs to enslave us. First, the IMF and World Bank are main consultants on almost all projects. During negotiation meetings with the main private sector bidders on the Project, the IMF team would side with almost all of the private companies</w:t>
      </w:r>
      <w:r w:rsidR="007F0057">
        <w:rPr>
          <w:rFonts w:cstheme="minorHAnsi"/>
          <w:szCs w:val="20"/>
        </w:rPr>
        <w:t>’</w:t>
      </w:r>
      <w:r w:rsidRPr="00216A71">
        <w:rPr>
          <w:rFonts w:cstheme="minorHAnsi"/>
          <w:szCs w:val="20"/>
        </w:rPr>
        <w:t xml:space="preserve"> request</w:t>
      </w:r>
      <w:r w:rsidR="0073642F" w:rsidRPr="00216A71">
        <w:rPr>
          <w:rFonts w:cstheme="minorHAnsi"/>
          <w:szCs w:val="20"/>
        </w:rPr>
        <w:t>s</w:t>
      </w:r>
      <w:r w:rsidRPr="00216A71">
        <w:rPr>
          <w:rFonts w:cstheme="minorHAnsi"/>
          <w:szCs w:val="20"/>
        </w:rPr>
        <w:t xml:space="preserve"> when it came to cont</w:t>
      </w:r>
      <w:r w:rsidR="0073642F" w:rsidRPr="00216A71">
        <w:rPr>
          <w:rFonts w:cstheme="minorHAnsi"/>
          <w:szCs w:val="20"/>
        </w:rPr>
        <w:t>r</w:t>
      </w:r>
      <w:r w:rsidRPr="00216A71">
        <w:rPr>
          <w:rFonts w:cstheme="minorHAnsi"/>
          <w:szCs w:val="20"/>
        </w:rPr>
        <w:t xml:space="preserve">act drafting, payment mechanisms and responsibility and services provided. </w:t>
      </w:r>
    </w:p>
    <w:p w:rsidR="000C629A" w:rsidRDefault="007F0057" w:rsidP="008F4F74">
      <w:pPr>
        <w:pBdr>
          <w:top w:val="single" w:sz="4" w:space="1" w:color="auto"/>
          <w:left w:val="single" w:sz="4" w:space="4" w:color="auto"/>
          <w:bottom w:val="single" w:sz="4" w:space="1" w:color="auto"/>
          <w:right w:val="single" w:sz="4" w:space="4" w:color="auto"/>
        </w:pBdr>
        <w:rPr>
          <w:rFonts w:cstheme="minorHAnsi"/>
          <w:szCs w:val="20"/>
        </w:rPr>
      </w:pPr>
      <w:r>
        <w:rPr>
          <w:rFonts w:cstheme="minorHAnsi"/>
          <w:szCs w:val="20"/>
        </w:rPr>
        <w:t>“</w:t>
      </w:r>
      <w:r w:rsidR="008F4F74" w:rsidRPr="00216A71">
        <w:rPr>
          <w:rFonts w:cstheme="minorHAnsi"/>
          <w:szCs w:val="20"/>
        </w:rPr>
        <w:t>I worked on a project that was suppose</w:t>
      </w:r>
      <w:r w:rsidR="00750051" w:rsidRPr="00216A71">
        <w:rPr>
          <w:rFonts w:cstheme="minorHAnsi"/>
          <w:szCs w:val="20"/>
        </w:rPr>
        <w:t>d</w:t>
      </w:r>
      <w:r w:rsidR="008F4F74" w:rsidRPr="00216A71">
        <w:rPr>
          <w:rFonts w:cstheme="minorHAnsi"/>
          <w:szCs w:val="20"/>
        </w:rPr>
        <w:t xml:space="preserve"> to build nearly 345 public schools in 18 governorates (has not been implemented so far to the best of my knowledge). The main bidder on the Project had high profile lawyers that would continuously twist the arm of the MoF and the General Authority for Educational Buildings</w:t>
      </w:r>
      <w:r w:rsidR="00253050" w:rsidRPr="00216A71">
        <w:rPr>
          <w:rFonts w:cstheme="minorHAnsi"/>
          <w:szCs w:val="20"/>
        </w:rPr>
        <w:t xml:space="preserve"> </w:t>
      </w:r>
      <w:r w:rsidR="008F4F74" w:rsidRPr="00216A71">
        <w:rPr>
          <w:rFonts w:cstheme="minorHAnsi"/>
          <w:szCs w:val="20"/>
        </w:rPr>
        <w:t xml:space="preserve">(GAEB). </w:t>
      </w:r>
    </w:p>
    <w:p w:rsidR="000C629A" w:rsidRDefault="007F0057" w:rsidP="008F4F74">
      <w:pPr>
        <w:pBdr>
          <w:top w:val="single" w:sz="4" w:space="1" w:color="auto"/>
          <w:left w:val="single" w:sz="4" w:space="4" w:color="auto"/>
          <w:bottom w:val="single" w:sz="4" w:space="1" w:color="auto"/>
          <w:right w:val="single" w:sz="4" w:space="4" w:color="auto"/>
        </w:pBdr>
        <w:rPr>
          <w:rFonts w:cstheme="minorHAnsi"/>
          <w:szCs w:val="20"/>
        </w:rPr>
      </w:pPr>
      <w:r>
        <w:rPr>
          <w:rFonts w:cstheme="minorHAnsi"/>
          <w:szCs w:val="20"/>
        </w:rPr>
        <w:lastRenderedPageBreak/>
        <w:t>“</w:t>
      </w:r>
      <w:r w:rsidR="008F4F74" w:rsidRPr="00216A71">
        <w:rPr>
          <w:rFonts w:cstheme="minorHAnsi"/>
          <w:szCs w:val="20"/>
        </w:rPr>
        <w:t>Most of the time, the bidders</w:t>
      </w:r>
      <w:r>
        <w:rPr>
          <w:rFonts w:cstheme="minorHAnsi"/>
          <w:szCs w:val="20"/>
        </w:rPr>
        <w:t>’</w:t>
      </w:r>
      <w:r w:rsidR="008F4F74" w:rsidRPr="00216A71">
        <w:rPr>
          <w:rFonts w:cstheme="minorHAnsi"/>
          <w:szCs w:val="20"/>
        </w:rPr>
        <w:t xml:space="preserve"> requests would be approved and drafted in the contract. For example, and this is one of many, schools usually have after school and weekend programs for their students. This was unacceptable to bidders and their high priced Dubai stationed lawyers. Schools in the contract were only to be open from 7</w:t>
      </w:r>
      <w:r>
        <w:rPr>
          <w:rFonts w:cstheme="minorHAnsi"/>
          <w:szCs w:val="20"/>
        </w:rPr>
        <w:t xml:space="preserve"> </w:t>
      </w:r>
      <w:r w:rsidR="008F4F74" w:rsidRPr="00216A71">
        <w:rPr>
          <w:rFonts w:cstheme="minorHAnsi"/>
          <w:szCs w:val="20"/>
        </w:rPr>
        <w:t>am to 4</w:t>
      </w:r>
      <w:r>
        <w:rPr>
          <w:rFonts w:cstheme="minorHAnsi"/>
          <w:szCs w:val="20"/>
        </w:rPr>
        <w:t xml:space="preserve"> </w:t>
      </w:r>
      <w:r w:rsidR="008F4F74" w:rsidRPr="00216A71">
        <w:rPr>
          <w:rFonts w:cstheme="minorHAnsi"/>
          <w:szCs w:val="20"/>
        </w:rPr>
        <w:t xml:space="preserve">pm. According to the lawyers, </w:t>
      </w:r>
      <w:r>
        <w:rPr>
          <w:rFonts w:cstheme="minorHAnsi"/>
          <w:szCs w:val="20"/>
        </w:rPr>
        <w:t>”T</w:t>
      </w:r>
      <w:r w:rsidR="008F4F74" w:rsidRPr="00216A71">
        <w:rPr>
          <w:rFonts w:cstheme="minorHAnsi"/>
          <w:szCs w:val="20"/>
        </w:rPr>
        <w:t>he opening of schools on weekends or later on in the evening during the week would be a security threat to the investors and if such programs were to be implemented that would come with an extra cost</w:t>
      </w:r>
      <w:r>
        <w:rPr>
          <w:rFonts w:cstheme="minorHAnsi"/>
          <w:szCs w:val="20"/>
        </w:rPr>
        <w:t>.”</w:t>
      </w:r>
      <w:r w:rsidR="008F4F74" w:rsidRPr="00216A71">
        <w:rPr>
          <w:rFonts w:cstheme="minorHAnsi"/>
          <w:szCs w:val="20"/>
        </w:rPr>
        <w:t xml:space="preserve"> An extra cost the MoF could not afford. Further, the investors wanted to expand their "revenue streams" by having "cultural events" at the schools at night, such programs would inhibit the "cultural events" from taking place. Also, no students could be at school after 4</w:t>
      </w:r>
      <w:r>
        <w:rPr>
          <w:rFonts w:cstheme="minorHAnsi"/>
          <w:szCs w:val="20"/>
        </w:rPr>
        <w:t xml:space="preserve"> </w:t>
      </w:r>
      <w:r w:rsidR="008F4F74" w:rsidRPr="00216A71">
        <w:rPr>
          <w:rFonts w:cstheme="minorHAnsi"/>
          <w:szCs w:val="20"/>
        </w:rPr>
        <w:t xml:space="preserve">pm. This means a child that was waiting for their older brother or sister to pick them up would have to stay out in the street and wait if the person responsible for picking them up was late for any reason. </w:t>
      </w:r>
    </w:p>
    <w:p w:rsidR="000C629A" w:rsidRDefault="007F0057" w:rsidP="008F4F74">
      <w:pPr>
        <w:pBdr>
          <w:top w:val="single" w:sz="4" w:space="1" w:color="auto"/>
          <w:left w:val="single" w:sz="4" w:space="4" w:color="auto"/>
          <w:bottom w:val="single" w:sz="4" w:space="1" w:color="auto"/>
          <w:right w:val="single" w:sz="4" w:space="4" w:color="auto"/>
        </w:pBdr>
        <w:rPr>
          <w:rFonts w:cstheme="minorHAnsi"/>
          <w:szCs w:val="20"/>
        </w:rPr>
      </w:pPr>
      <w:r>
        <w:rPr>
          <w:rFonts w:cstheme="minorHAnsi"/>
          <w:szCs w:val="20"/>
        </w:rPr>
        <w:t>“</w:t>
      </w:r>
      <w:r w:rsidR="008F4F74" w:rsidRPr="00216A71">
        <w:rPr>
          <w:rFonts w:cstheme="minorHAnsi"/>
          <w:szCs w:val="20"/>
        </w:rPr>
        <w:t>My point is this, the process and discourse to making money is unethical in its essence, especially on large scale projects. The maximization of profits always comes at the cost of people closest to the business operation, whether cutting costs, reduced services, unethical treatment of students...etc. If we want to build a new Egypt that meets the demands of its people we should not allow these types of aid programs to operate. These investors don't build schools to improve education, the</w:t>
      </w:r>
      <w:r>
        <w:rPr>
          <w:rFonts w:cstheme="minorHAnsi"/>
          <w:szCs w:val="20"/>
        </w:rPr>
        <w:t>y</w:t>
      </w:r>
      <w:r w:rsidR="008F4F74" w:rsidRPr="00216A71">
        <w:rPr>
          <w:rFonts w:cstheme="minorHAnsi"/>
          <w:szCs w:val="20"/>
        </w:rPr>
        <w:t xml:space="preserve"> build schools to make money. They don't build hospitals to provide decent health care, they build hospitals to overprice medical care that us the tax payers and generations after us will have to pay. </w:t>
      </w:r>
    </w:p>
    <w:p w:rsidR="000C629A" w:rsidRDefault="007F0057" w:rsidP="008F4F74">
      <w:pPr>
        <w:pBdr>
          <w:top w:val="single" w:sz="4" w:space="1" w:color="auto"/>
          <w:left w:val="single" w:sz="4" w:space="4" w:color="auto"/>
          <w:bottom w:val="single" w:sz="4" w:space="1" w:color="auto"/>
          <w:right w:val="single" w:sz="4" w:space="4" w:color="auto"/>
        </w:pBdr>
        <w:rPr>
          <w:rFonts w:cstheme="minorHAnsi"/>
          <w:szCs w:val="20"/>
        </w:rPr>
      </w:pPr>
      <w:r>
        <w:rPr>
          <w:rFonts w:cstheme="minorHAnsi"/>
          <w:szCs w:val="20"/>
        </w:rPr>
        <w:t>“</w:t>
      </w:r>
      <w:r w:rsidR="008F4F74" w:rsidRPr="00216A71">
        <w:rPr>
          <w:rFonts w:cstheme="minorHAnsi"/>
          <w:szCs w:val="20"/>
        </w:rPr>
        <w:t>I believe the motivation and financing behind a project can always provide a good indicator of who will benefit most. Investors</w:t>
      </w:r>
      <w:r w:rsidR="0073642F" w:rsidRPr="00216A71">
        <w:rPr>
          <w:rFonts w:cstheme="minorHAnsi"/>
          <w:szCs w:val="20"/>
        </w:rPr>
        <w:t>’</w:t>
      </w:r>
      <w:r w:rsidR="008F4F74" w:rsidRPr="00216A71">
        <w:rPr>
          <w:rFonts w:cstheme="minorHAnsi"/>
          <w:szCs w:val="20"/>
        </w:rPr>
        <w:t xml:space="preserve"> one and only goal is to make a profit, this i</w:t>
      </w:r>
      <w:r>
        <w:rPr>
          <w:rFonts w:cstheme="minorHAnsi"/>
          <w:szCs w:val="20"/>
        </w:rPr>
        <w:t>n</w:t>
      </w:r>
      <w:r w:rsidR="008F4F74" w:rsidRPr="00216A71">
        <w:rPr>
          <w:rFonts w:cstheme="minorHAnsi"/>
          <w:szCs w:val="20"/>
        </w:rPr>
        <w:t xml:space="preserve"> my view is not the motivation we need as Egyptians to build a country we fought for and will continue to fight for as this article clearly points out.”</w:t>
      </w:r>
    </w:p>
    <w:p w:rsidR="000C629A" w:rsidRDefault="008F4F74" w:rsidP="008F4F7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Comment by Ahmed Tarik on Jadaliyya we</w:t>
      </w:r>
      <w:r w:rsidR="00B94CE0">
        <w:rPr>
          <w:rFonts w:cstheme="minorHAnsi"/>
          <w:szCs w:val="20"/>
        </w:rPr>
        <w:t>bsite 12 June 2011</w:t>
      </w:r>
      <w:r w:rsidR="00B94CE0" w:rsidRPr="00216A71">
        <w:rPr>
          <w:rStyle w:val="EndnoteReference"/>
          <w:rFonts w:cstheme="minorHAnsi"/>
          <w:szCs w:val="20"/>
        </w:rPr>
        <w:endnoteReference w:id="119"/>
      </w:r>
    </w:p>
    <w:p w:rsidR="008F4F74" w:rsidRPr="00216A71" w:rsidRDefault="008F4F74" w:rsidP="008F4F74">
      <w:pPr>
        <w:pStyle w:val="Heading3"/>
        <w:rPr>
          <w:rFonts w:asciiTheme="minorHAnsi" w:hAnsiTheme="minorHAnsi" w:cstheme="minorHAnsi"/>
          <w:szCs w:val="20"/>
        </w:rPr>
      </w:pPr>
      <w:r w:rsidRPr="00216A71">
        <w:rPr>
          <w:rFonts w:asciiTheme="minorHAnsi" w:hAnsiTheme="minorHAnsi" w:cstheme="minorHAnsi"/>
          <w:szCs w:val="20"/>
        </w:rPr>
        <w:t>Loading austerity onto other services</w:t>
      </w:r>
    </w:p>
    <w:p w:rsidR="000C629A" w:rsidRDefault="008F4F74" w:rsidP="008F4F74">
      <w:pPr>
        <w:rPr>
          <w:rFonts w:cstheme="minorHAnsi"/>
          <w:szCs w:val="20"/>
        </w:rPr>
      </w:pPr>
      <w:r w:rsidRPr="00216A71">
        <w:rPr>
          <w:rFonts w:cstheme="minorHAnsi"/>
          <w:szCs w:val="20"/>
        </w:rPr>
        <w:t>In a context where there are political demands to cut public spending, the existence of PPPs creates greater threats to other spending on public services. This is because PPPs create long-term contractual rights to streams of income, and so governments are legally constrained from reducing payments to PPPs. That in turn means that reductions in spending are concentrated on non-PPP areas. This is made worse because PPP/PFI schemes have much longer contractual periods (25-30 years or more) than conventional service contracts e.g. f</w:t>
      </w:r>
      <w:r w:rsidR="0073642F" w:rsidRPr="00216A71">
        <w:rPr>
          <w:rFonts w:cstheme="minorHAnsi"/>
          <w:szCs w:val="20"/>
        </w:rPr>
        <w:t>or refuse collection, 3-5 years</w:t>
      </w:r>
      <w:r w:rsidRPr="00216A71">
        <w:rPr>
          <w:rFonts w:cstheme="minorHAnsi"/>
          <w:szCs w:val="20"/>
        </w:rPr>
        <w:t xml:space="preserve">. </w:t>
      </w:r>
    </w:p>
    <w:p w:rsidR="000C629A" w:rsidRDefault="008F4F74" w:rsidP="008F4F74">
      <w:pPr>
        <w:rPr>
          <w:rFonts w:cstheme="minorHAnsi"/>
          <w:szCs w:val="20"/>
        </w:rPr>
      </w:pPr>
      <w:r w:rsidRPr="00216A71">
        <w:rPr>
          <w:rFonts w:cstheme="minorHAnsi"/>
          <w:szCs w:val="20"/>
        </w:rPr>
        <w:t>The size of PPPs means that the potential displacement effect can be huge. I</w:t>
      </w:r>
      <w:bookmarkStart w:id="90" w:name="_Toc201724007"/>
      <w:r w:rsidRPr="00216A71">
        <w:rPr>
          <w:rFonts w:cstheme="minorHAnsi"/>
          <w:szCs w:val="20"/>
        </w:rPr>
        <w:t>n Portugal, the annual payments to just two major road PPPs cost €800</w:t>
      </w:r>
      <w:r w:rsidR="007F0057">
        <w:rPr>
          <w:rFonts w:cstheme="minorHAnsi"/>
          <w:szCs w:val="20"/>
        </w:rPr>
        <w:t xml:space="preserve"> </w:t>
      </w:r>
      <w:r w:rsidRPr="00216A71">
        <w:rPr>
          <w:rFonts w:cstheme="minorHAnsi"/>
          <w:szCs w:val="20"/>
        </w:rPr>
        <w:t>million, larger than the entire national transport budget of €700</w:t>
      </w:r>
      <w:r w:rsidR="0073642F" w:rsidRPr="00216A71">
        <w:rPr>
          <w:rFonts w:cstheme="minorHAnsi"/>
          <w:szCs w:val="20"/>
        </w:rPr>
        <w:t xml:space="preserve"> </w:t>
      </w:r>
      <w:r w:rsidRPr="00216A71">
        <w:rPr>
          <w:rFonts w:cstheme="minorHAnsi"/>
          <w:szCs w:val="20"/>
        </w:rPr>
        <w:t>million.</w:t>
      </w:r>
      <w:r w:rsidRPr="00216A71">
        <w:rPr>
          <w:rStyle w:val="EndnoteReference"/>
          <w:rFonts w:cstheme="minorHAnsi"/>
          <w:szCs w:val="20"/>
        </w:rPr>
        <w:endnoteReference w:id="120"/>
      </w:r>
      <w:bookmarkEnd w:id="90"/>
    </w:p>
    <w:p w:rsidR="008F4F74" w:rsidRPr="00216A71" w:rsidRDefault="008F4F74" w:rsidP="008F4F74">
      <w:pPr>
        <w:rPr>
          <w:rFonts w:cstheme="minorHAnsi"/>
          <w:szCs w:val="20"/>
        </w:rPr>
      </w:pPr>
      <w:r w:rsidRPr="00216A71">
        <w:rPr>
          <w:rFonts w:cstheme="minorHAnsi"/>
          <w:szCs w:val="20"/>
        </w:rPr>
        <w:t xml:space="preserve">A report on PPPs in central and </w:t>
      </w:r>
      <w:r w:rsidR="00FF6D63" w:rsidRPr="00216A71">
        <w:rPr>
          <w:rFonts w:cstheme="minorHAnsi"/>
          <w:szCs w:val="20"/>
        </w:rPr>
        <w:t>Eastern</w:t>
      </w:r>
      <w:r w:rsidRPr="00216A71">
        <w:rPr>
          <w:rFonts w:cstheme="minorHAnsi"/>
          <w:szCs w:val="20"/>
        </w:rPr>
        <w:t xml:space="preserve"> Europe warns that: </w:t>
      </w:r>
    </w:p>
    <w:p w:rsidR="000C629A" w:rsidRDefault="008F4F74" w:rsidP="008F4F74">
      <w:pPr>
        <w:ind w:left="720"/>
        <w:rPr>
          <w:rFonts w:cstheme="minorHAnsi"/>
          <w:szCs w:val="20"/>
        </w:rPr>
      </w:pPr>
      <w:r w:rsidRPr="00216A71">
        <w:rPr>
          <w:rFonts w:cstheme="minorHAnsi"/>
          <w:szCs w:val="20"/>
        </w:rPr>
        <w:t>“</w:t>
      </w:r>
      <w:r w:rsidR="007F0057">
        <w:rPr>
          <w:rFonts w:cstheme="minorHAnsi"/>
          <w:szCs w:val="20"/>
        </w:rPr>
        <w:t>T</w:t>
      </w:r>
      <w:r w:rsidRPr="00216A71">
        <w:rPr>
          <w:rFonts w:cstheme="minorHAnsi"/>
          <w:szCs w:val="20"/>
        </w:rPr>
        <w:t>here are wider and more systemic issues that have not been sufficiently taken into account by PPP advocates and governments, particularly in terms of the cumulative impacts of PPPs on public budgets during the coming decades....</w:t>
      </w:r>
      <w:r w:rsidRPr="00216A71">
        <w:rPr>
          <w:rFonts w:eastAsia="KatarineLightCE" w:cstheme="minorHAnsi"/>
          <w:szCs w:val="20"/>
        </w:rPr>
        <w:t xml:space="preserve"> </w:t>
      </w:r>
      <w:r w:rsidR="007F0057">
        <w:rPr>
          <w:rFonts w:eastAsia="KatarineLightCE" w:cstheme="minorHAnsi"/>
          <w:szCs w:val="20"/>
        </w:rPr>
        <w:t>N</w:t>
      </w:r>
      <w:r w:rsidRPr="00216A71">
        <w:rPr>
          <w:rFonts w:cstheme="minorHAnsi"/>
          <w:szCs w:val="20"/>
        </w:rPr>
        <w:t>ot only are there an unacceptably high number of ‘bad</w:t>
      </w:r>
      <w:r w:rsidR="007F0057">
        <w:rPr>
          <w:rFonts w:cstheme="minorHAnsi"/>
          <w:szCs w:val="20"/>
        </w:rPr>
        <w:t xml:space="preserve"> a</w:t>
      </w:r>
      <w:r w:rsidRPr="00216A71">
        <w:rPr>
          <w:rFonts w:cstheme="minorHAnsi"/>
          <w:szCs w:val="20"/>
        </w:rPr>
        <w:t>pples’ but using a large number of PPPs in itself is likely to lead to affordability problems…</w:t>
      </w:r>
      <w:r w:rsidR="007F0057">
        <w:rPr>
          <w:rFonts w:cstheme="minorHAnsi"/>
          <w:szCs w:val="20"/>
        </w:rPr>
        <w:t>. T</w:t>
      </w:r>
      <w:r w:rsidRPr="00216A71">
        <w:rPr>
          <w:rFonts w:cstheme="minorHAnsi"/>
          <w:szCs w:val="20"/>
        </w:rPr>
        <w:t>he attempted PPP [for the Trakia Highway, Bulgaria] only delayed the implementation of the project, and has involved spiralling costs that are causing an increased burden on the state budget.”</w:t>
      </w:r>
      <w:r w:rsidRPr="00216A71">
        <w:rPr>
          <w:rStyle w:val="EndnoteReference"/>
          <w:rFonts w:cstheme="minorHAnsi"/>
          <w:szCs w:val="20"/>
        </w:rPr>
        <w:t xml:space="preserve"> </w:t>
      </w:r>
      <w:r w:rsidRPr="00216A71">
        <w:rPr>
          <w:rStyle w:val="EndnoteReference"/>
          <w:rFonts w:cstheme="minorHAnsi"/>
          <w:szCs w:val="20"/>
        </w:rPr>
        <w:endnoteReference w:id="121"/>
      </w:r>
    </w:p>
    <w:p w:rsidR="008F4F74" w:rsidRPr="00216A71" w:rsidRDefault="008F4F74" w:rsidP="008F4F74">
      <w:pPr>
        <w:rPr>
          <w:rFonts w:cstheme="minorHAnsi"/>
          <w:szCs w:val="20"/>
        </w:rPr>
      </w:pPr>
      <w:r w:rsidRPr="00216A71">
        <w:rPr>
          <w:rFonts w:cstheme="minorHAnsi"/>
          <w:szCs w:val="20"/>
        </w:rPr>
        <w:t>PPP policies sometimes deliberately aim at getting a high proportion of government budgets. In Colombia, the new director of</w:t>
      </w:r>
      <w:r w:rsidR="004045AD">
        <w:rPr>
          <w:rFonts w:cstheme="minorHAnsi"/>
          <w:szCs w:val="20"/>
        </w:rPr>
        <w:t xml:space="preserve"> </w:t>
      </w:r>
      <w:r w:rsidRPr="00216A71">
        <w:rPr>
          <w:rFonts w:cstheme="minorHAnsi"/>
          <w:szCs w:val="20"/>
        </w:rPr>
        <w:t xml:space="preserve">the PPP unit pushed through a decision to triple government spending on roads and </w:t>
      </w:r>
      <w:r w:rsidR="007F0057">
        <w:rPr>
          <w:rFonts w:cstheme="minorHAnsi"/>
          <w:szCs w:val="20"/>
        </w:rPr>
        <w:t xml:space="preserve">to </w:t>
      </w:r>
      <w:r w:rsidRPr="00216A71">
        <w:rPr>
          <w:rFonts w:cstheme="minorHAnsi"/>
          <w:szCs w:val="20"/>
        </w:rPr>
        <w:t>borrow $23</w:t>
      </w:r>
      <w:r w:rsidR="007F0057">
        <w:rPr>
          <w:rFonts w:cstheme="minorHAnsi"/>
          <w:szCs w:val="20"/>
        </w:rPr>
        <w:t xml:space="preserve"> </w:t>
      </w:r>
      <w:r w:rsidRPr="00216A71">
        <w:rPr>
          <w:rFonts w:cstheme="minorHAnsi"/>
          <w:szCs w:val="20"/>
        </w:rPr>
        <w:t>billion by issuing government bonds to help finance PPPs.</w:t>
      </w:r>
      <w:r w:rsidRPr="00216A71">
        <w:rPr>
          <w:rStyle w:val="EndnoteReference"/>
          <w:rFonts w:cstheme="minorHAnsi"/>
          <w:szCs w:val="20"/>
        </w:rPr>
        <w:endnoteReference w:id="122"/>
      </w:r>
    </w:p>
    <w:p w:rsidR="008F4F74" w:rsidRPr="00216A71" w:rsidRDefault="008F4F74" w:rsidP="008F4F74">
      <w:pPr>
        <w:pStyle w:val="Heading6"/>
        <w:rPr>
          <w:rFonts w:cstheme="minorHAnsi"/>
          <w:szCs w:val="20"/>
        </w:rPr>
      </w:pPr>
      <w:r w:rsidRPr="00216A71">
        <w:rPr>
          <w:rFonts w:cstheme="minorHAnsi"/>
          <w:szCs w:val="20"/>
        </w:rPr>
        <w:t xml:space="preserve">PPPs </w:t>
      </w:r>
      <w:r w:rsidR="00F90593" w:rsidRPr="00216A71">
        <w:rPr>
          <w:rFonts w:cstheme="minorHAnsi"/>
          <w:szCs w:val="20"/>
        </w:rPr>
        <w:t xml:space="preserve">in UK: crowding out other spending, </w:t>
      </w:r>
      <w:r w:rsidRPr="00216A71">
        <w:rPr>
          <w:rFonts w:cstheme="minorHAnsi"/>
          <w:szCs w:val="20"/>
        </w:rPr>
        <w:t>forc</w:t>
      </w:r>
      <w:r w:rsidR="00F90593" w:rsidRPr="00216A71">
        <w:rPr>
          <w:rFonts w:cstheme="minorHAnsi"/>
          <w:szCs w:val="20"/>
        </w:rPr>
        <w:t>ing</w:t>
      </w:r>
      <w:r w:rsidRPr="00216A71">
        <w:rPr>
          <w:rFonts w:cstheme="minorHAnsi"/>
          <w:szCs w:val="20"/>
        </w:rPr>
        <w:t xml:space="preserve"> cuts in health services </w:t>
      </w:r>
    </w:p>
    <w:p w:rsidR="000C629A" w:rsidRDefault="008F4F74" w:rsidP="008F4F7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In the UK, </w:t>
      </w:r>
      <w:r w:rsidR="00F90593" w:rsidRPr="00216A71">
        <w:rPr>
          <w:rFonts w:cstheme="minorHAnsi"/>
          <w:szCs w:val="20"/>
        </w:rPr>
        <w:t xml:space="preserve">the total amount of capital investment delivered by over 700 PPPs under the PFI scheme is </w:t>
      </w:r>
      <w:r w:rsidR="00F74AE3" w:rsidRPr="00216A71">
        <w:rPr>
          <w:rFonts w:cstheme="minorHAnsi"/>
          <w:szCs w:val="20"/>
        </w:rPr>
        <w:t>about £55</w:t>
      </w:r>
      <w:r w:rsidR="007F0057">
        <w:rPr>
          <w:rFonts w:cstheme="minorHAnsi"/>
          <w:szCs w:val="20"/>
        </w:rPr>
        <w:t xml:space="preserve"> </w:t>
      </w:r>
      <w:r w:rsidR="00F74AE3" w:rsidRPr="00216A71">
        <w:rPr>
          <w:rFonts w:cstheme="minorHAnsi"/>
          <w:szCs w:val="20"/>
        </w:rPr>
        <w:t>billion – but by the end of the contracts, the government will have paid over £300</w:t>
      </w:r>
      <w:r w:rsidR="007F0057">
        <w:rPr>
          <w:rFonts w:cstheme="minorHAnsi"/>
          <w:szCs w:val="20"/>
        </w:rPr>
        <w:t xml:space="preserve"> </w:t>
      </w:r>
      <w:r w:rsidR="00F74AE3" w:rsidRPr="00216A71">
        <w:rPr>
          <w:rFonts w:cstheme="minorHAnsi"/>
          <w:szCs w:val="20"/>
        </w:rPr>
        <w:t>billion – including</w:t>
      </w:r>
      <w:r w:rsidR="004045AD">
        <w:rPr>
          <w:rFonts w:cstheme="minorHAnsi"/>
          <w:szCs w:val="20"/>
        </w:rPr>
        <w:t xml:space="preserve"> </w:t>
      </w:r>
      <w:r w:rsidR="00F90593" w:rsidRPr="00216A71">
        <w:rPr>
          <w:rFonts w:cstheme="minorHAnsi"/>
          <w:szCs w:val="20"/>
        </w:rPr>
        <w:t>£10 billion each year for the next decade</w:t>
      </w:r>
      <w:r w:rsidR="00F74AE3" w:rsidRPr="00216A71">
        <w:rPr>
          <w:rFonts w:cstheme="minorHAnsi"/>
          <w:szCs w:val="20"/>
        </w:rPr>
        <w:t xml:space="preserve">. This huge </w:t>
      </w:r>
      <w:r w:rsidRPr="00216A71">
        <w:rPr>
          <w:rFonts w:cstheme="minorHAnsi"/>
          <w:szCs w:val="20"/>
        </w:rPr>
        <w:t>fixed expenditure for many years ahead, which cannot be adjusted in response to changing circumstances,</w:t>
      </w:r>
      <w:r w:rsidR="004045AD">
        <w:rPr>
          <w:rFonts w:cstheme="minorHAnsi"/>
          <w:szCs w:val="20"/>
        </w:rPr>
        <w:t xml:space="preserve"> </w:t>
      </w:r>
      <w:r w:rsidR="00F74AE3" w:rsidRPr="00216A71">
        <w:rPr>
          <w:rFonts w:cstheme="minorHAnsi"/>
          <w:szCs w:val="20"/>
        </w:rPr>
        <w:t>means that the PPPs will ‘crowd out’ the space for</w:t>
      </w:r>
      <w:r w:rsidR="003662A2" w:rsidRPr="00216A71">
        <w:rPr>
          <w:rFonts w:cstheme="minorHAnsi"/>
          <w:szCs w:val="20"/>
        </w:rPr>
        <w:t xml:space="preserve"> </w:t>
      </w:r>
      <w:r w:rsidR="00F74AE3" w:rsidRPr="00216A71">
        <w:rPr>
          <w:rFonts w:cstheme="minorHAnsi"/>
          <w:szCs w:val="20"/>
        </w:rPr>
        <w:t xml:space="preserve">spending on other public services in general. </w:t>
      </w:r>
    </w:p>
    <w:p w:rsidR="000C629A" w:rsidRDefault="00F74AE3" w:rsidP="008F4F7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Individual PPPs already have this impact on public services, forcing cuts and closures in healthcare and other services, because the binding contracts of PFI</w:t>
      </w:r>
      <w:r w:rsidR="004045AD">
        <w:rPr>
          <w:rFonts w:cstheme="minorHAnsi"/>
          <w:szCs w:val="20"/>
        </w:rPr>
        <w:t xml:space="preserve"> </w:t>
      </w:r>
      <w:r w:rsidR="008F4F74" w:rsidRPr="00216A71">
        <w:rPr>
          <w:rFonts w:cstheme="minorHAnsi"/>
          <w:szCs w:val="20"/>
        </w:rPr>
        <w:t>transfer unforeseen risks onto that part of expenditure providing services</w:t>
      </w:r>
      <w:r w:rsidR="007F0057">
        <w:rPr>
          <w:rFonts w:cstheme="minorHAnsi"/>
          <w:szCs w:val="20"/>
        </w:rPr>
        <w:t>.</w:t>
      </w:r>
      <w:r w:rsidR="008F4F74" w:rsidRPr="00216A71">
        <w:rPr>
          <w:rFonts w:cstheme="minorHAnsi"/>
          <w:szCs w:val="20"/>
        </w:rPr>
        <w:t xml:space="preserve"> “</w:t>
      </w:r>
      <w:r w:rsidR="007F0057">
        <w:rPr>
          <w:rFonts w:cstheme="minorHAnsi"/>
          <w:szCs w:val="20"/>
        </w:rPr>
        <w:t>M</w:t>
      </w:r>
      <w:r w:rsidR="008F4F74" w:rsidRPr="00216A71">
        <w:rPr>
          <w:rFonts w:cstheme="minorHAnsi"/>
          <w:szCs w:val="20"/>
        </w:rPr>
        <w:t>any of the building projects impose costs that are not justified in terms of income under payment by</w:t>
      </w:r>
      <w:r w:rsidR="004045AD">
        <w:rPr>
          <w:rFonts w:cstheme="minorHAnsi"/>
          <w:szCs w:val="20"/>
        </w:rPr>
        <w:t xml:space="preserve"> </w:t>
      </w:r>
      <w:r w:rsidR="008F4F74" w:rsidRPr="00216A71">
        <w:rPr>
          <w:rFonts w:cstheme="minorHAnsi"/>
          <w:szCs w:val="20"/>
        </w:rPr>
        <w:t xml:space="preserve">results…. </w:t>
      </w:r>
      <w:r w:rsidRPr="00216A71">
        <w:rPr>
          <w:rFonts w:cstheme="minorHAnsi"/>
          <w:szCs w:val="20"/>
        </w:rPr>
        <w:t>[NHS] t</w:t>
      </w:r>
      <w:r w:rsidR="008F4F74" w:rsidRPr="00216A71">
        <w:rPr>
          <w:rFonts w:cstheme="minorHAnsi"/>
          <w:szCs w:val="20"/>
        </w:rPr>
        <w:t xml:space="preserve">rusts which have much less contracted expenditure – current as well as </w:t>
      </w:r>
      <w:r w:rsidR="008F4F74" w:rsidRPr="00216A71">
        <w:rPr>
          <w:rFonts w:cstheme="minorHAnsi"/>
          <w:szCs w:val="20"/>
        </w:rPr>
        <w:lastRenderedPageBreak/>
        <w:t>capital – are going to be much better placed in the near future to cope with the rigours of the reform agenda as it will be easier to adjust to variation in revenue.”</w:t>
      </w:r>
      <w:r w:rsidR="008F4F74" w:rsidRPr="00216A71">
        <w:rPr>
          <w:rStyle w:val="EndnoteReference"/>
          <w:rFonts w:cstheme="minorHAnsi"/>
          <w:szCs w:val="20"/>
        </w:rPr>
        <w:endnoteReference w:id="123"/>
      </w:r>
      <w:r w:rsidR="008F4F74" w:rsidRPr="00216A71">
        <w:rPr>
          <w:rFonts w:cstheme="minorHAnsi"/>
          <w:szCs w:val="20"/>
        </w:rPr>
        <w:t xml:space="preserve"> The capital costs of hospitals with</w:t>
      </w:r>
      <w:r w:rsidR="004045AD">
        <w:rPr>
          <w:rFonts w:cstheme="minorHAnsi"/>
          <w:szCs w:val="20"/>
        </w:rPr>
        <w:t xml:space="preserve"> </w:t>
      </w:r>
      <w:r w:rsidR="008F4F74" w:rsidRPr="00216A71">
        <w:rPr>
          <w:rFonts w:cstheme="minorHAnsi"/>
          <w:szCs w:val="20"/>
        </w:rPr>
        <w:t>PFI contracts were 2.5</w:t>
      </w:r>
      <w:r w:rsidR="00A42FDE">
        <w:rPr>
          <w:rFonts w:cstheme="minorHAnsi"/>
          <w:szCs w:val="20"/>
        </w:rPr>
        <w:t xml:space="preserve"> per cent</w:t>
      </w:r>
      <w:r w:rsidR="008F4F74" w:rsidRPr="00216A71">
        <w:rPr>
          <w:rFonts w:cstheme="minorHAnsi"/>
          <w:szCs w:val="20"/>
        </w:rPr>
        <w:t xml:space="preserve"> more than their funding.</w:t>
      </w:r>
      <w:r w:rsidR="008F4F74" w:rsidRPr="00216A71">
        <w:rPr>
          <w:rStyle w:val="EndnoteReference"/>
          <w:rFonts w:cstheme="minorHAnsi"/>
          <w:szCs w:val="20"/>
        </w:rPr>
        <w:endnoteReference w:id="124"/>
      </w:r>
    </w:p>
    <w:p w:rsidR="00F90593" w:rsidRPr="00216A71" w:rsidRDefault="008F4F74" w:rsidP="002A17DD">
      <w:pPr>
        <w:pBdr>
          <w:top w:val="single" w:sz="4" w:space="1" w:color="auto"/>
          <w:left w:val="single" w:sz="4" w:space="4" w:color="auto"/>
          <w:bottom w:val="single" w:sz="4" w:space="1" w:color="auto"/>
          <w:right w:val="single" w:sz="4" w:space="4" w:color="auto"/>
        </w:pBdr>
        <w:autoSpaceDE w:val="0"/>
        <w:autoSpaceDN w:val="0"/>
        <w:adjustRightInd w:val="0"/>
        <w:rPr>
          <w:rFonts w:cstheme="minorHAnsi"/>
          <w:szCs w:val="20"/>
        </w:rPr>
      </w:pPr>
      <w:r w:rsidRPr="00216A71">
        <w:rPr>
          <w:rFonts w:cstheme="minorHAnsi"/>
          <w:szCs w:val="20"/>
        </w:rPr>
        <w:t xml:space="preserve">The </w:t>
      </w:r>
      <w:r w:rsidR="00F74AE3" w:rsidRPr="00216A71">
        <w:rPr>
          <w:rFonts w:cstheme="minorHAnsi"/>
          <w:szCs w:val="20"/>
        </w:rPr>
        <w:t>South London Healthcare T</w:t>
      </w:r>
      <w:r w:rsidRPr="00216A71">
        <w:rPr>
          <w:rFonts w:cstheme="minorHAnsi"/>
          <w:szCs w:val="20"/>
        </w:rPr>
        <w:t xml:space="preserve">rust had </w:t>
      </w:r>
      <w:r w:rsidR="00F74AE3" w:rsidRPr="00216A71">
        <w:rPr>
          <w:rFonts w:cstheme="minorHAnsi"/>
          <w:szCs w:val="20"/>
        </w:rPr>
        <w:t>three hospitals with PFI schemes, and was declared bankrupt by the government. One of them, at Greenwich, found that the costs</w:t>
      </w:r>
      <w:r w:rsidR="004045AD">
        <w:rPr>
          <w:rFonts w:cstheme="minorHAnsi"/>
          <w:szCs w:val="20"/>
        </w:rPr>
        <w:t xml:space="preserve"> </w:t>
      </w:r>
      <w:r w:rsidRPr="00216A71">
        <w:rPr>
          <w:rFonts w:cstheme="minorHAnsi"/>
          <w:szCs w:val="20"/>
        </w:rPr>
        <w:t>rose to 11.3</w:t>
      </w:r>
      <w:r w:rsidR="00A42FDE">
        <w:rPr>
          <w:rFonts w:cstheme="minorHAnsi"/>
          <w:szCs w:val="20"/>
        </w:rPr>
        <w:t xml:space="preserve"> per cent</w:t>
      </w:r>
      <w:r w:rsidR="00F74AE3" w:rsidRPr="00216A71">
        <w:rPr>
          <w:rFonts w:cstheme="minorHAnsi"/>
          <w:szCs w:val="20"/>
        </w:rPr>
        <w:t xml:space="preserve"> of its entire budget</w:t>
      </w:r>
      <w:r w:rsidR="004045AD">
        <w:rPr>
          <w:rFonts w:cstheme="minorHAnsi"/>
          <w:szCs w:val="20"/>
        </w:rPr>
        <w:t xml:space="preserve"> – </w:t>
      </w:r>
      <w:r w:rsidRPr="00216A71">
        <w:rPr>
          <w:rFonts w:cstheme="minorHAnsi"/>
          <w:szCs w:val="20"/>
        </w:rPr>
        <w:t xml:space="preserve">nearly double the government allocation for capital costs. </w:t>
      </w:r>
      <w:r w:rsidR="007A0DEC" w:rsidRPr="00216A71">
        <w:rPr>
          <w:rFonts w:cstheme="minorHAnsi"/>
          <w:szCs w:val="20"/>
        </w:rPr>
        <w:t>A report by the strategic health authority warned that other local trusts in a similar situation would “incur recurrent [income/expenditure] and cash flow deficits even if they operate as efficiently as the average hospital trust in England. A high proportion of their underlying [income/expenditure] and cash flow deficits are attributable to this effect</w:t>
      </w:r>
      <w:r w:rsidR="007F0057">
        <w:rPr>
          <w:rFonts w:cstheme="minorHAnsi"/>
          <w:szCs w:val="20"/>
        </w:rPr>
        <w:t>.</w:t>
      </w:r>
      <w:r w:rsidR="007A0DEC" w:rsidRPr="00216A71">
        <w:rPr>
          <w:rFonts w:cstheme="minorHAnsi"/>
          <w:szCs w:val="20"/>
        </w:rPr>
        <w:t xml:space="preserve">” </w:t>
      </w:r>
      <w:r w:rsidR="00F74AE3" w:rsidRPr="00216A71">
        <w:rPr>
          <w:rFonts w:cstheme="minorHAnsi"/>
          <w:szCs w:val="20"/>
        </w:rPr>
        <w:t>The h</w:t>
      </w:r>
      <w:r w:rsidR="007A0DEC" w:rsidRPr="00216A71">
        <w:rPr>
          <w:rFonts w:cstheme="minorHAnsi"/>
          <w:szCs w:val="20"/>
        </w:rPr>
        <w:t>o</w:t>
      </w:r>
      <w:r w:rsidR="00F74AE3" w:rsidRPr="00216A71">
        <w:rPr>
          <w:rFonts w:cstheme="minorHAnsi"/>
          <w:szCs w:val="20"/>
        </w:rPr>
        <w:t xml:space="preserve">spitals were forced to merge with other local hospitals, services were reduced, the number of nurses and doctors reduced, </w:t>
      </w:r>
      <w:r w:rsidR="007A0DEC" w:rsidRPr="00216A71">
        <w:rPr>
          <w:rFonts w:cstheme="minorHAnsi"/>
          <w:szCs w:val="20"/>
        </w:rPr>
        <w:t xml:space="preserve">and </w:t>
      </w:r>
      <w:r w:rsidR="00F74AE3" w:rsidRPr="00216A71">
        <w:rPr>
          <w:rFonts w:cstheme="minorHAnsi"/>
          <w:szCs w:val="20"/>
        </w:rPr>
        <w:t>accident and emergency</w:t>
      </w:r>
      <w:r w:rsidR="007A0DEC" w:rsidRPr="00216A71">
        <w:rPr>
          <w:rFonts w:cstheme="minorHAnsi"/>
          <w:szCs w:val="20"/>
        </w:rPr>
        <w:t xml:space="preserve"> </w:t>
      </w:r>
      <w:r w:rsidR="007F0057">
        <w:rPr>
          <w:rFonts w:cstheme="minorHAnsi"/>
          <w:szCs w:val="20"/>
        </w:rPr>
        <w:t xml:space="preserve">services </w:t>
      </w:r>
      <w:r w:rsidR="007A0DEC" w:rsidRPr="00216A71">
        <w:rPr>
          <w:rFonts w:cstheme="minorHAnsi"/>
          <w:szCs w:val="20"/>
        </w:rPr>
        <w:t>cut back – prompting a massive local campaign</w:t>
      </w:r>
      <w:r w:rsidR="00F74AE3" w:rsidRPr="00216A71">
        <w:rPr>
          <w:rFonts w:cstheme="minorHAnsi"/>
          <w:szCs w:val="20"/>
        </w:rPr>
        <w:t>.</w:t>
      </w:r>
      <w:r w:rsidRPr="00216A71">
        <w:rPr>
          <w:rStyle w:val="EndnoteReference"/>
          <w:rFonts w:cstheme="minorHAnsi"/>
          <w:szCs w:val="20"/>
        </w:rPr>
        <w:endnoteReference w:id="125"/>
      </w:r>
      <w:r w:rsidRPr="00216A71">
        <w:rPr>
          <w:rFonts w:cstheme="minorHAnsi"/>
          <w:szCs w:val="20"/>
        </w:rPr>
        <w:t xml:space="preserve"> </w:t>
      </w:r>
    </w:p>
    <w:p w:rsidR="00F90593" w:rsidRPr="00216A71" w:rsidRDefault="00F90593" w:rsidP="00F90593">
      <w:pPr>
        <w:pStyle w:val="Heading8"/>
        <w:pBdr>
          <w:top w:val="single" w:sz="4" w:space="1" w:color="auto"/>
          <w:left w:val="single" w:sz="4" w:space="4" w:color="auto"/>
          <w:bottom w:val="single" w:sz="4" w:space="1" w:color="auto"/>
          <w:right w:val="single" w:sz="4" w:space="4" w:color="auto"/>
        </w:pBdr>
        <w:rPr>
          <w:rFonts w:asciiTheme="minorHAnsi" w:hAnsiTheme="minorHAnsi" w:cstheme="minorHAnsi"/>
          <w:szCs w:val="20"/>
        </w:rPr>
      </w:pPr>
      <w:r w:rsidRPr="00216A71">
        <w:rPr>
          <w:rFonts w:asciiTheme="minorHAnsi" w:hAnsiTheme="minorHAnsi" w:cstheme="minorHAnsi"/>
          <w:szCs w:val="20"/>
        </w:rPr>
        <w:t>Expenditure on PFI schemes in the UK</w:t>
      </w:r>
    </w:p>
    <w:p w:rsidR="000C629A" w:rsidRDefault="00F90593" w:rsidP="00F90593">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noProof/>
          <w:lang w:eastAsia="en-GB"/>
        </w:rPr>
        <w:drawing>
          <wp:inline distT="0" distB="0" distL="0" distR="0" wp14:anchorId="135D0E0F" wp14:editId="73F1010E">
            <wp:extent cx="4134010" cy="3685521"/>
            <wp:effectExtent l="0" t="0" r="0" b="0"/>
            <wp:docPr id="19" name="Picture 19" descr="The cost of P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st of PFI"/>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31105" cy="3682932"/>
                    </a:xfrm>
                    <a:prstGeom prst="rect">
                      <a:avLst/>
                    </a:prstGeom>
                    <a:noFill/>
                    <a:ln>
                      <a:noFill/>
                    </a:ln>
                  </pic:spPr>
                </pic:pic>
              </a:graphicData>
            </a:graphic>
          </wp:inline>
        </w:drawing>
      </w:r>
    </w:p>
    <w:p w:rsidR="008F4F74" w:rsidRPr="00216A71" w:rsidRDefault="00F90593" w:rsidP="00216A71">
      <w:pPr>
        <w:pBdr>
          <w:top w:val="single" w:sz="4" w:space="1" w:color="auto"/>
          <w:left w:val="single" w:sz="4" w:space="4" w:color="auto"/>
          <w:bottom w:val="single" w:sz="4" w:space="1" w:color="auto"/>
          <w:right w:val="single" w:sz="4" w:space="4" w:color="auto"/>
        </w:pBdr>
        <w:autoSpaceDE w:val="0"/>
        <w:autoSpaceDN w:val="0"/>
        <w:adjustRightInd w:val="0"/>
        <w:rPr>
          <w:rFonts w:cstheme="minorHAnsi"/>
          <w:szCs w:val="20"/>
        </w:rPr>
      </w:pPr>
      <w:r w:rsidRPr="00216A71">
        <w:rPr>
          <w:rFonts w:cstheme="minorHAnsi"/>
          <w:szCs w:val="20"/>
        </w:rPr>
        <w:t>Source: Guardian 5</w:t>
      </w:r>
      <w:r w:rsidRPr="00216A71">
        <w:rPr>
          <w:rFonts w:cstheme="minorHAnsi"/>
          <w:szCs w:val="20"/>
          <w:vertAlign w:val="superscript"/>
        </w:rPr>
        <w:t>th</w:t>
      </w:r>
      <w:r w:rsidRPr="00216A71">
        <w:rPr>
          <w:rFonts w:cstheme="minorHAnsi"/>
          <w:szCs w:val="20"/>
        </w:rPr>
        <w:t xml:space="preserve"> July 2012 </w:t>
      </w:r>
      <w:r w:rsidRPr="00216A71">
        <w:rPr>
          <w:rFonts w:cstheme="minorHAnsi"/>
        </w:rPr>
        <w:t>PFI will ultimately cost £300bn</w:t>
      </w:r>
      <w:r w:rsidR="004045AD">
        <w:rPr>
          <w:rFonts w:cstheme="minorHAnsi"/>
        </w:rPr>
        <w:t xml:space="preserve"> </w:t>
      </w:r>
      <w:hyperlink r:id="rId139" w:history="1">
        <w:r w:rsidRPr="00216A71">
          <w:rPr>
            <w:rStyle w:val="Hyperlink"/>
            <w:rFonts w:cstheme="minorHAnsi"/>
            <w:szCs w:val="20"/>
          </w:rPr>
          <w:t>http://www.theguardian.com/politics/2012/jul/05/pfi-cost-300bn</w:t>
        </w:r>
      </w:hyperlink>
    </w:p>
    <w:p w:rsidR="00817611" w:rsidRPr="00216A71" w:rsidRDefault="008F4F74" w:rsidP="008F4F74">
      <w:pPr>
        <w:pStyle w:val="Heading3"/>
        <w:rPr>
          <w:rFonts w:asciiTheme="minorHAnsi" w:hAnsiTheme="minorHAnsi" w:cstheme="minorHAnsi"/>
          <w:szCs w:val="20"/>
        </w:rPr>
      </w:pPr>
      <w:r w:rsidRPr="00216A71">
        <w:rPr>
          <w:rFonts w:asciiTheme="minorHAnsi" w:hAnsiTheme="minorHAnsi" w:cstheme="minorHAnsi"/>
          <w:szCs w:val="20"/>
        </w:rPr>
        <w:t>Impact on environment</w:t>
      </w:r>
      <w:r w:rsidR="00FA542C" w:rsidRPr="00216A71">
        <w:rPr>
          <w:rFonts w:asciiTheme="minorHAnsi" w:hAnsiTheme="minorHAnsi" w:cstheme="minorHAnsi"/>
          <w:szCs w:val="20"/>
        </w:rPr>
        <w:t xml:space="preserve"> </w:t>
      </w:r>
    </w:p>
    <w:p w:rsidR="000C629A" w:rsidRDefault="008F4F74">
      <w:pPr>
        <w:rPr>
          <w:rFonts w:cstheme="minorHAnsi"/>
          <w:szCs w:val="20"/>
        </w:rPr>
      </w:pPr>
      <w:r w:rsidRPr="00216A71">
        <w:rPr>
          <w:rFonts w:cstheme="minorHAnsi"/>
          <w:szCs w:val="20"/>
        </w:rPr>
        <w:t>In the energy sector, the most common form of PPP is the private power station, known as independent power producers (IPP), which depend on long-term contracts backed by governments to purchase their outputs. The energy policies of all countries are now expected to shift away from using fossil fuels such as coal, oil and gas to using renewable energy sources, including hydro-electricity – but the great majority of IPPs do the opposite. A World Bank review in March 2013 found that IPPs invest mainly in coal, gas and oil-fired generation, including diesel, rather than renewables.</w:t>
      </w:r>
      <w:r w:rsidRPr="00216A71">
        <w:rPr>
          <w:rStyle w:val="EndnoteReference"/>
          <w:rFonts w:cstheme="minorHAnsi"/>
          <w:szCs w:val="20"/>
        </w:rPr>
        <w:endnoteReference w:id="126"/>
      </w:r>
    </w:p>
    <w:p w:rsidR="008F4F74" w:rsidRPr="00216A71" w:rsidRDefault="008F4F74" w:rsidP="00817611">
      <w:pPr>
        <w:pStyle w:val="Heading8"/>
        <w:jc w:val="center"/>
        <w:rPr>
          <w:rFonts w:asciiTheme="minorHAnsi" w:hAnsiTheme="minorHAnsi" w:cstheme="minorHAnsi"/>
          <w:szCs w:val="20"/>
        </w:rPr>
      </w:pPr>
      <w:r w:rsidRPr="00216A71">
        <w:rPr>
          <w:rFonts w:asciiTheme="minorHAnsi" w:hAnsiTheme="minorHAnsi" w:cstheme="minorHAnsi"/>
          <w:szCs w:val="20"/>
        </w:rPr>
        <w:t>PPP investments in electricity generation by fuel</w:t>
      </w:r>
    </w:p>
    <w:p w:rsidR="000C629A" w:rsidRDefault="008F4F74" w:rsidP="008F4F74">
      <w:pPr>
        <w:jc w:val="center"/>
        <w:rPr>
          <w:rFonts w:cstheme="minorHAnsi"/>
          <w:i/>
          <w:szCs w:val="20"/>
        </w:rPr>
      </w:pPr>
      <w:r w:rsidRPr="00216A71">
        <w:rPr>
          <w:rFonts w:cstheme="minorHAnsi"/>
          <w:i/>
          <w:noProof/>
          <w:szCs w:val="20"/>
          <w:lang w:eastAsia="en-GB"/>
        </w:rPr>
        <w:lastRenderedPageBreak/>
        <w:drawing>
          <wp:inline distT="0" distB="0" distL="0" distR="0" wp14:anchorId="7FC26B58" wp14:editId="609D1982">
            <wp:extent cx="1657656" cy="13913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68924" cy="1400796"/>
                    </a:xfrm>
                    <a:prstGeom prst="rect">
                      <a:avLst/>
                    </a:prstGeom>
                    <a:noFill/>
                    <a:ln>
                      <a:noFill/>
                    </a:ln>
                  </pic:spPr>
                </pic:pic>
              </a:graphicData>
            </a:graphic>
          </wp:inline>
        </w:drawing>
      </w:r>
    </w:p>
    <w:p w:rsidR="000C629A" w:rsidRDefault="008F4F74" w:rsidP="008F4F74">
      <w:pPr>
        <w:rPr>
          <w:rFonts w:cstheme="minorHAnsi"/>
          <w:szCs w:val="20"/>
        </w:rPr>
      </w:pPr>
      <w:r w:rsidRPr="00216A71">
        <w:rPr>
          <w:rFonts w:cstheme="minorHAnsi"/>
          <w:szCs w:val="20"/>
        </w:rPr>
        <w:t>The same kind of problem can be seen in waste manageme</w:t>
      </w:r>
      <w:r w:rsidR="0073642F" w:rsidRPr="00216A71">
        <w:rPr>
          <w:rFonts w:cstheme="minorHAnsi"/>
          <w:szCs w:val="20"/>
        </w:rPr>
        <w:t xml:space="preserve">nt. In three cities in Egypt, </w:t>
      </w:r>
      <w:r w:rsidRPr="00216A71">
        <w:rPr>
          <w:rFonts w:cstheme="minorHAnsi"/>
          <w:szCs w:val="20"/>
        </w:rPr>
        <w:t>PPPs were signed with international waste management companies from 2002. There were a number of problems with these, partly because the requirement for recycling was fixed too low at 20</w:t>
      </w:r>
      <w:r w:rsidR="00A42FDE">
        <w:rPr>
          <w:rFonts w:cstheme="minorHAnsi"/>
          <w:szCs w:val="20"/>
        </w:rPr>
        <w:t xml:space="preserve"> per cent</w:t>
      </w:r>
      <w:r w:rsidRPr="00216A71">
        <w:rPr>
          <w:rFonts w:cstheme="minorHAnsi"/>
          <w:szCs w:val="20"/>
        </w:rPr>
        <w:t>, with too much reliance on landfill.</w:t>
      </w:r>
      <w:r w:rsidRPr="00216A71">
        <w:rPr>
          <w:rStyle w:val="EndnoteReference"/>
          <w:rFonts w:cstheme="minorHAnsi"/>
          <w:szCs w:val="20"/>
        </w:rPr>
        <w:endnoteReference w:id="127"/>
      </w:r>
    </w:p>
    <w:p w:rsidR="00FA542C" w:rsidRPr="00216A71" w:rsidRDefault="00FA542C" w:rsidP="00FA542C">
      <w:pPr>
        <w:pStyle w:val="Heading3"/>
        <w:rPr>
          <w:rFonts w:asciiTheme="minorHAnsi" w:hAnsiTheme="minorHAnsi" w:cstheme="minorHAnsi"/>
          <w:szCs w:val="20"/>
        </w:rPr>
      </w:pPr>
      <w:r w:rsidRPr="00216A71">
        <w:rPr>
          <w:rFonts w:asciiTheme="minorHAnsi" w:hAnsiTheme="minorHAnsi" w:cstheme="minorHAnsi"/>
          <w:szCs w:val="20"/>
        </w:rPr>
        <w:t>Impact on workers</w:t>
      </w:r>
    </w:p>
    <w:p w:rsidR="000C629A" w:rsidRDefault="00FA542C" w:rsidP="00FA542C">
      <w:pPr>
        <w:rPr>
          <w:rFonts w:cstheme="minorHAnsi"/>
          <w:szCs w:val="20"/>
        </w:rPr>
      </w:pPr>
      <w:r w:rsidRPr="00216A71">
        <w:rPr>
          <w:rFonts w:cstheme="minorHAnsi"/>
          <w:szCs w:val="20"/>
        </w:rPr>
        <w:t>PPPs also generally worsen the employment conditions of workers and their collective organisation in unions. These effects are caused by firstly, the employees being transferred to a separate private employer, and secondly, by the dominant role of the PPP contract itself, which forces public authorities to prioritise payments to the PPP company over all other expenditure</w:t>
      </w:r>
      <w:r w:rsidR="007F0057">
        <w:rPr>
          <w:rFonts w:cstheme="minorHAnsi"/>
          <w:szCs w:val="20"/>
        </w:rPr>
        <w:t>s</w:t>
      </w:r>
      <w:r w:rsidRPr="00216A71">
        <w:rPr>
          <w:rFonts w:cstheme="minorHAnsi"/>
          <w:szCs w:val="20"/>
        </w:rPr>
        <w:t>. The effects can be categorised under five broad headings:</w:t>
      </w:r>
      <w:r w:rsidRPr="00216A71">
        <w:rPr>
          <w:rStyle w:val="EndnoteReference"/>
          <w:rFonts w:cstheme="minorHAnsi"/>
          <w:szCs w:val="20"/>
        </w:rPr>
        <w:endnoteReference w:id="128"/>
      </w:r>
    </w:p>
    <w:p w:rsidR="000C629A" w:rsidRDefault="00FA542C" w:rsidP="00781FBC">
      <w:pPr>
        <w:numPr>
          <w:ilvl w:val="0"/>
          <w:numId w:val="57"/>
        </w:numPr>
        <w:rPr>
          <w:rFonts w:cstheme="minorHAnsi"/>
          <w:szCs w:val="20"/>
        </w:rPr>
      </w:pPr>
      <w:r w:rsidRPr="00216A71">
        <w:rPr>
          <w:rFonts w:cstheme="minorHAnsi"/>
          <w:szCs w:val="20"/>
        </w:rPr>
        <w:t>Security of employment is reduced, because it is related to the contract itself and/or the private company, rather than the public authority. The private company has a greater incentive to reduce employment in order to increase profit margins, and has less incentive to maintain ‘overheads’ such as training. The terms of a contract and the profit-maximising incentives of the private company may lead to further casualisation through the use of short-term contracts or secondary sub-contracting.</w:t>
      </w:r>
    </w:p>
    <w:p w:rsidR="000C629A" w:rsidRDefault="00FA542C" w:rsidP="00781FBC">
      <w:pPr>
        <w:numPr>
          <w:ilvl w:val="0"/>
          <w:numId w:val="57"/>
        </w:numPr>
        <w:rPr>
          <w:rFonts w:cstheme="minorHAnsi"/>
          <w:szCs w:val="20"/>
        </w:rPr>
      </w:pPr>
      <w:r w:rsidRPr="00216A71">
        <w:rPr>
          <w:rFonts w:cstheme="minorHAnsi"/>
          <w:szCs w:val="20"/>
        </w:rPr>
        <w:t>Workers normally lose their status as public employees. Possible future returns to public sector employment become more complex. Workers may lose the benefit of public sector pension schemes.</w:t>
      </w:r>
    </w:p>
    <w:p w:rsidR="000C629A" w:rsidRDefault="00FA542C" w:rsidP="00781FBC">
      <w:pPr>
        <w:numPr>
          <w:ilvl w:val="0"/>
          <w:numId w:val="57"/>
        </w:numPr>
        <w:rPr>
          <w:rFonts w:cstheme="minorHAnsi"/>
          <w:szCs w:val="20"/>
        </w:rPr>
      </w:pPr>
      <w:r w:rsidRPr="00216A71">
        <w:rPr>
          <w:rFonts w:cstheme="minorHAnsi"/>
          <w:szCs w:val="20"/>
        </w:rPr>
        <w:t xml:space="preserve">It is more difficult to protect and improve pay and working conditions. This depends on the enforceability of indirect mechanisms such as fair wages clauses or legal rules on sectoral pay agreements. The PPP contract itself may not guarantee funding for nationally agreed pay increases. Private employers may apply different employment conditions </w:t>
      </w:r>
      <w:r w:rsidR="007F0057">
        <w:rPr>
          <w:rFonts w:cstheme="minorHAnsi"/>
          <w:szCs w:val="20"/>
        </w:rPr>
        <w:t>for</w:t>
      </w:r>
      <w:r w:rsidRPr="00216A71">
        <w:rPr>
          <w:rFonts w:cstheme="minorHAnsi"/>
          <w:szCs w:val="20"/>
        </w:rPr>
        <w:t xml:space="preserve"> new entrants compared with transferred workers, creating a ‘</w:t>
      </w:r>
      <w:r w:rsidR="007F0057">
        <w:rPr>
          <w:rFonts w:cstheme="minorHAnsi"/>
          <w:szCs w:val="20"/>
        </w:rPr>
        <w:t>two</w:t>
      </w:r>
      <w:r w:rsidRPr="00216A71">
        <w:rPr>
          <w:rFonts w:cstheme="minorHAnsi"/>
          <w:szCs w:val="20"/>
        </w:rPr>
        <w:t xml:space="preserve">-tier’ workforce. </w:t>
      </w:r>
    </w:p>
    <w:p w:rsidR="000C629A" w:rsidRDefault="00FA542C" w:rsidP="00781FBC">
      <w:pPr>
        <w:numPr>
          <w:ilvl w:val="0"/>
          <w:numId w:val="57"/>
        </w:numPr>
        <w:rPr>
          <w:rFonts w:cstheme="minorHAnsi"/>
          <w:szCs w:val="20"/>
        </w:rPr>
      </w:pPr>
      <w:r w:rsidRPr="00216A71">
        <w:rPr>
          <w:rFonts w:cstheme="minorHAnsi"/>
          <w:szCs w:val="20"/>
        </w:rPr>
        <w:t>Union organisation is weakened because employees are divided into smaller units with different employers, thus weakening solidarity and forcing unions to deal with a number of different employers. The management of private companies is not directly subject to considerations of public policy in relation to employment issues, and may thus be less supportive of union organisation and workers’ rights.</w:t>
      </w:r>
    </w:p>
    <w:p w:rsidR="000C629A" w:rsidRDefault="00FA542C" w:rsidP="00781FBC">
      <w:pPr>
        <w:numPr>
          <w:ilvl w:val="0"/>
          <w:numId w:val="57"/>
        </w:numPr>
        <w:rPr>
          <w:rFonts w:cstheme="minorHAnsi"/>
          <w:szCs w:val="20"/>
        </w:rPr>
      </w:pPr>
      <w:r w:rsidRPr="00216A71">
        <w:rPr>
          <w:rFonts w:cstheme="minorHAnsi"/>
          <w:szCs w:val="20"/>
        </w:rPr>
        <w:t xml:space="preserve">Other public service workers may also be affected as a result of the existence of the contract. If the income of a public authority is reduced, or if the PPP itself becomes more expensive than expected, the cuts are concentrated on the remaining direct employees, because the PPP contract cannot be broken. </w:t>
      </w:r>
    </w:p>
    <w:p w:rsidR="00EA47F5" w:rsidRPr="00216A71" w:rsidRDefault="00EA47F5" w:rsidP="00CE1FBB">
      <w:pPr>
        <w:pStyle w:val="Heading1"/>
      </w:pPr>
      <w:bookmarkStart w:id="91" w:name="_Toc392857538"/>
      <w:r w:rsidRPr="00216A71">
        <w:t>Evaluating PPPs</w:t>
      </w:r>
      <w:bookmarkEnd w:id="91"/>
    </w:p>
    <w:p w:rsidR="00160AAB" w:rsidRPr="00216A71" w:rsidRDefault="00160AAB" w:rsidP="00160AAB">
      <w:pPr>
        <w:rPr>
          <w:rFonts w:cstheme="minorHAnsi"/>
        </w:rPr>
      </w:pPr>
      <w:r w:rsidRPr="00216A71">
        <w:rPr>
          <w:rFonts w:cstheme="minorHAnsi"/>
        </w:rPr>
        <w:t>The previous section showed general reasons for not accepting the arguments usually made for PPPs. This section sets out a rational framework for comparing the advantages of public sector provision and PPPs</w:t>
      </w:r>
      <w:r w:rsidR="006B65C5" w:rsidRPr="00216A71">
        <w:rPr>
          <w:rFonts w:cstheme="minorHAnsi"/>
        </w:rPr>
        <w:t xml:space="preserve">. </w:t>
      </w:r>
    </w:p>
    <w:p w:rsidR="00A0154B" w:rsidRPr="00A0154B" w:rsidRDefault="00A0154B" w:rsidP="00A0154B">
      <w:pPr>
        <w:pStyle w:val="ListParagraph"/>
        <w:keepNext/>
        <w:numPr>
          <w:ilvl w:val="0"/>
          <w:numId w:val="16"/>
        </w:numPr>
        <w:spacing w:before="240" w:after="60"/>
        <w:contextualSpacing w:val="0"/>
        <w:outlineLvl w:val="1"/>
        <w:rPr>
          <w:rFonts w:cstheme="minorHAnsi"/>
          <w:b/>
          <w:bCs/>
          <w:iCs/>
          <w:vanish/>
          <w:szCs w:val="20"/>
        </w:rPr>
      </w:pPr>
    </w:p>
    <w:p w:rsidR="004D655B" w:rsidRPr="00216A71" w:rsidRDefault="004D655B" w:rsidP="00A0154B">
      <w:pPr>
        <w:pStyle w:val="Heading2"/>
      </w:pPr>
      <w:bookmarkStart w:id="92" w:name="_Toc392857539"/>
      <w:r w:rsidRPr="00216A71">
        <w:t>The necessity for comparison with a public option</w:t>
      </w:r>
      <w:bookmarkEnd w:id="92"/>
    </w:p>
    <w:p w:rsidR="004D655B" w:rsidRPr="00216A71" w:rsidRDefault="004D655B" w:rsidP="004D655B">
      <w:pPr>
        <w:rPr>
          <w:rFonts w:cstheme="minorHAnsi"/>
          <w:szCs w:val="20"/>
        </w:rPr>
      </w:pPr>
      <w:r w:rsidRPr="00216A71">
        <w:rPr>
          <w:rFonts w:cstheme="minorHAnsi"/>
          <w:szCs w:val="20"/>
        </w:rPr>
        <w:t>This section sets out a framework for a comparative assessment of economic and public service impacts, and</w:t>
      </w:r>
      <w:r w:rsidR="004045AD">
        <w:rPr>
          <w:rFonts w:cstheme="minorHAnsi"/>
          <w:szCs w:val="20"/>
        </w:rPr>
        <w:t xml:space="preserve"> </w:t>
      </w:r>
      <w:r w:rsidRPr="00216A71">
        <w:rPr>
          <w:rFonts w:cstheme="minorHAnsi"/>
          <w:szCs w:val="20"/>
        </w:rPr>
        <w:t>evidence from international experience on the key issues, including the cost of capital, cost of construction, efficiency, transaction costs, the uncertainties created by ‘incomplete contracts</w:t>
      </w:r>
      <w:r w:rsidR="00A0154B">
        <w:rPr>
          <w:rFonts w:cstheme="minorHAnsi"/>
          <w:szCs w:val="20"/>
        </w:rPr>
        <w:t>,</w:t>
      </w:r>
      <w:r w:rsidRPr="00216A71">
        <w:rPr>
          <w:rFonts w:cstheme="minorHAnsi"/>
          <w:szCs w:val="20"/>
        </w:rPr>
        <w:t>’ and the impact on public policy, public services and wider communities.</w:t>
      </w:r>
    </w:p>
    <w:p w:rsidR="004D655B" w:rsidRPr="00216A71" w:rsidRDefault="004045AD" w:rsidP="004D655B">
      <w:pPr>
        <w:rPr>
          <w:rFonts w:cstheme="minorHAnsi"/>
          <w:szCs w:val="20"/>
        </w:rPr>
      </w:pPr>
      <w:r>
        <w:rPr>
          <w:rFonts w:cstheme="minorHAnsi"/>
          <w:szCs w:val="20"/>
        </w:rPr>
        <w:t xml:space="preserve"> </w:t>
      </w:r>
    </w:p>
    <w:p w:rsidR="000C629A" w:rsidRDefault="00EA47F5" w:rsidP="004D655B">
      <w:pPr>
        <w:rPr>
          <w:rFonts w:eastAsia="SimSun" w:cstheme="minorHAnsi"/>
          <w:szCs w:val="20"/>
          <w:lang w:val="en-US"/>
        </w:rPr>
      </w:pPr>
      <w:r w:rsidRPr="00216A71">
        <w:rPr>
          <w:rFonts w:cstheme="minorHAnsi"/>
          <w:szCs w:val="20"/>
        </w:rPr>
        <w:lastRenderedPageBreak/>
        <w:t xml:space="preserve">Evaluation of PPPs needs to be based on a comparison with public sector options. </w:t>
      </w:r>
      <w:r w:rsidR="004D655B" w:rsidRPr="00216A71">
        <w:rPr>
          <w:rFonts w:cstheme="minorHAnsi"/>
          <w:szCs w:val="20"/>
        </w:rPr>
        <w:t>E</w:t>
      </w:r>
      <w:r w:rsidR="004D655B" w:rsidRPr="00216A71">
        <w:rPr>
          <w:rFonts w:eastAsia="SimSun" w:cstheme="minorHAnsi"/>
          <w:szCs w:val="20"/>
        </w:rPr>
        <w:t xml:space="preserve">ven the </w:t>
      </w:r>
      <w:r w:rsidR="004D655B" w:rsidRPr="00216A71">
        <w:rPr>
          <w:rFonts w:eastAsia="SimSun" w:cstheme="minorHAnsi"/>
          <w:szCs w:val="20"/>
          <w:lang w:val="en-US"/>
        </w:rPr>
        <w:t>IMF insists</w:t>
      </w:r>
      <w:r w:rsidR="004D655B" w:rsidRPr="00216A71">
        <w:rPr>
          <w:rFonts w:cstheme="minorHAnsi"/>
          <w:szCs w:val="20"/>
        </w:rPr>
        <w:t xml:space="preserve"> that t</w:t>
      </w:r>
      <w:r w:rsidR="004D655B" w:rsidRPr="00216A71">
        <w:rPr>
          <w:rFonts w:eastAsia="SimSun" w:cstheme="minorHAnsi"/>
          <w:szCs w:val="20"/>
        </w:rPr>
        <w:t>he evaluation of a PPP must always be a comparative exercise with the public sector option</w:t>
      </w:r>
      <w:r w:rsidR="004D655B" w:rsidRPr="00216A71">
        <w:rPr>
          <w:rFonts w:eastAsia="SimSun" w:cstheme="minorHAnsi"/>
          <w:szCs w:val="20"/>
          <w:lang w:val="en-US"/>
        </w:rPr>
        <w:t xml:space="preserve">: </w:t>
      </w:r>
    </w:p>
    <w:p w:rsidR="004D655B" w:rsidRPr="00216A71" w:rsidRDefault="004D655B" w:rsidP="004D655B">
      <w:pPr>
        <w:ind w:left="720"/>
        <w:rPr>
          <w:rFonts w:eastAsia="SimSun" w:cstheme="minorHAnsi"/>
          <w:szCs w:val="20"/>
          <w:lang w:eastAsia="zh-CN"/>
        </w:rPr>
      </w:pPr>
      <w:r w:rsidRPr="00216A71">
        <w:rPr>
          <w:rFonts w:eastAsia="SimSun" w:cstheme="minorHAnsi"/>
          <w:szCs w:val="20"/>
          <w:lang w:val="en-US"/>
        </w:rPr>
        <w:t>“</w:t>
      </w:r>
      <w:r w:rsidRPr="00216A71">
        <w:rPr>
          <w:rFonts w:eastAsia="SimSun" w:cstheme="minorHAnsi"/>
          <w:szCs w:val="20"/>
          <w:lang w:eastAsia="zh-CN"/>
        </w:rPr>
        <w:t>When considering the PPP option, the government has to compare the cost of public investment and government provision of services with the cost of services provided by a PPP</w:t>
      </w:r>
      <w:r w:rsidR="00A0154B">
        <w:rPr>
          <w:rFonts w:eastAsia="SimSun" w:cstheme="minorHAnsi"/>
          <w:szCs w:val="20"/>
          <w:lang w:eastAsia="zh-CN"/>
        </w:rPr>
        <w:t>.</w:t>
      </w:r>
      <w:r w:rsidRPr="00216A71">
        <w:rPr>
          <w:rFonts w:eastAsia="SimSun" w:cstheme="minorHAnsi"/>
          <w:szCs w:val="20"/>
          <w:lang w:eastAsia="zh-CN"/>
        </w:rPr>
        <w:t>”</w:t>
      </w:r>
      <w:r w:rsidRPr="00216A71">
        <w:rPr>
          <w:rStyle w:val="EndnoteReference"/>
          <w:rFonts w:eastAsia="SimSun" w:cstheme="minorHAnsi"/>
          <w:szCs w:val="20"/>
          <w:lang w:eastAsia="zh-CN"/>
        </w:rPr>
        <w:endnoteReference w:id="129"/>
      </w:r>
      <w:r w:rsidRPr="00216A71">
        <w:rPr>
          <w:rFonts w:eastAsia="SimSun" w:cstheme="minorHAnsi"/>
          <w:szCs w:val="20"/>
          <w:lang w:eastAsia="zh-CN"/>
        </w:rPr>
        <w:t xml:space="preserve"> </w:t>
      </w:r>
    </w:p>
    <w:p w:rsidR="002044D4" w:rsidRPr="00216A71" w:rsidRDefault="006B29F8" w:rsidP="004D655B">
      <w:pPr>
        <w:pStyle w:val="Heading6"/>
        <w:rPr>
          <w:rFonts w:cstheme="minorHAnsi"/>
          <w:szCs w:val="20"/>
        </w:rPr>
      </w:pPr>
      <w:r w:rsidRPr="00216A71">
        <w:rPr>
          <w:rFonts w:cstheme="minorHAnsi"/>
          <w:szCs w:val="20"/>
        </w:rPr>
        <w:t>How governments avoid comparisons with the public sector option</w:t>
      </w:r>
    </w:p>
    <w:p w:rsidR="000C629A" w:rsidRDefault="002044D4" w:rsidP="002044D4">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Governments often try to avoid these comparisons. They want to use PPPs, regardless of their cost, to reduce the apparent level of government borrowing and debt – they are not interested in the comparative value for money. So it is often claimed that ‘there is no alternative’ to a PPP, because of the constraints on government borrowing, and a reluctance to increase taxes or charges</w:t>
      </w:r>
      <w:r w:rsidR="00A0154B">
        <w:rPr>
          <w:rFonts w:cstheme="minorHAnsi"/>
          <w:szCs w:val="20"/>
        </w:rPr>
        <w:t>.</w:t>
      </w:r>
      <w:r w:rsidRPr="00216A71">
        <w:rPr>
          <w:rFonts w:cstheme="minorHAnsi"/>
          <w:szCs w:val="20"/>
        </w:rPr>
        <w:t xml:space="preserve">’ </w:t>
      </w:r>
    </w:p>
    <w:p w:rsidR="000C629A" w:rsidRDefault="002044D4" w:rsidP="00781FBC">
      <w:pPr>
        <w:pStyle w:val="ListParagraph"/>
        <w:numPr>
          <w:ilvl w:val="0"/>
          <w:numId w:val="54"/>
        </w:num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In the UK a parliamentary committee complained that</w:t>
      </w:r>
      <w:r w:rsidR="00A0154B">
        <w:rPr>
          <w:rFonts w:cstheme="minorHAnsi"/>
          <w:szCs w:val="20"/>
        </w:rPr>
        <w:t>,</w:t>
      </w:r>
      <w:r w:rsidRPr="00216A71">
        <w:rPr>
          <w:rFonts w:cstheme="minorHAnsi"/>
          <w:szCs w:val="20"/>
        </w:rPr>
        <w:t xml:space="preserve"> “For too long PFI has been the 'only game in town' in some sectors which have not been provided with adequate capital budgets for their investment needs. This problem is likely to get worse in the future with capital budgets cut significantly at the Spending Review. If PFI is the only option for necessary capital expenditure then it will be used even if it is not value for money.”</w:t>
      </w:r>
      <w:r w:rsidRPr="00216A71">
        <w:rPr>
          <w:rFonts w:cstheme="minorHAnsi"/>
          <w:szCs w:val="20"/>
          <w:vertAlign w:val="superscript"/>
        </w:rPr>
        <w:endnoteReference w:id="130"/>
      </w:r>
    </w:p>
    <w:p w:rsidR="000C629A" w:rsidRDefault="0073642F" w:rsidP="00781FBC">
      <w:pPr>
        <w:pStyle w:val="ListParagraph"/>
        <w:numPr>
          <w:ilvl w:val="0"/>
          <w:numId w:val="54"/>
        </w:numPr>
        <w:pBdr>
          <w:top w:val="single" w:sz="4" w:space="1" w:color="auto"/>
          <w:left w:val="single" w:sz="4" w:space="4" w:color="auto"/>
          <w:bottom w:val="single" w:sz="4" w:space="1" w:color="auto"/>
          <w:right w:val="single" w:sz="4" w:space="4" w:color="auto"/>
        </w:pBdr>
        <w:contextualSpacing w:val="0"/>
        <w:rPr>
          <w:rFonts w:cstheme="minorHAnsi"/>
          <w:szCs w:val="20"/>
        </w:rPr>
      </w:pPr>
      <w:r w:rsidRPr="00216A71">
        <w:rPr>
          <w:rFonts w:cstheme="minorHAnsi"/>
          <w:szCs w:val="20"/>
        </w:rPr>
        <w:t>A</w:t>
      </w:r>
      <w:r w:rsidR="002044D4" w:rsidRPr="00216A71">
        <w:rPr>
          <w:rFonts w:cstheme="minorHAnsi"/>
          <w:szCs w:val="20"/>
        </w:rPr>
        <w:t xml:space="preserve"> state audit office report in Estonia reported that Estonian public authorities did not use proper public sector comparators in assessing the relative attractions of PPPs. The consequences of a PPP have been assessed “by primitive investment accounting, measuring the benefits in terms of cost savings and profits</w:t>
      </w:r>
      <w:r w:rsidR="00A0154B">
        <w:rPr>
          <w:rFonts w:cstheme="minorHAnsi"/>
          <w:szCs w:val="20"/>
        </w:rPr>
        <w:t>.</w:t>
      </w:r>
      <w:r w:rsidR="002044D4" w:rsidRPr="00216A71">
        <w:rPr>
          <w:rFonts w:cstheme="minorHAnsi"/>
          <w:szCs w:val="20"/>
        </w:rPr>
        <w:t>”</w:t>
      </w:r>
      <w:r w:rsidR="004045AD">
        <w:rPr>
          <w:rFonts w:cstheme="minorHAnsi"/>
          <w:szCs w:val="20"/>
        </w:rPr>
        <w:t xml:space="preserve"> </w:t>
      </w:r>
      <w:r w:rsidR="002044D4" w:rsidRPr="00216A71">
        <w:rPr>
          <w:rFonts w:cstheme="minorHAnsi"/>
          <w:szCs w:val="20"/>
        </w:rPr>
        <w:t>As a result “non-transparent, costly and unfavourable contracts” have been signed.</w:t>
      </w:r>
      <w:r w:rsidR="004045AD">
        <w:rPr>
          <w:rFonts w:cstheme="minorHAnsi"/>
          <w:szCs w:val="20"/>
        </w:rPr>
        <w:t xml:space="preserve"> </w:t>
      </w:r>
      <w:r w:rsidR="002044D4" w:rsidRPr="00216A71">
        <w:rPr>
          <w:rFonts w:cstheme="minorHAnsi"/>
          <w:szCs w:val="20"/>
        </w:rPr>
        <w:t>These contracts have included inflated costs, due to excessive profit margins, risk premia, or depreciation allowances. Proper evaluations would have led to many PP</w:t>
      </w:r>
      <w:r w:rsidRPr="00216A71">
        <w:rPr>
          <w:rFonts w:cstheme="minorHAnsi"/>
          <w:szCs w:val="20"/>
        </w:rPr>
        <w:t xml:space="preserve">Ps being rejected: in reality, </w:t>
      </w:r>
      <w:r w:rsidR="002044D4" w:rsidRPr="00216A71">
        <w:rPr>
          <w:rFonts w:cstheme="minorHAnsi"/>
          <w:szCs w:val="20"/>
        </w:rPr>
        <w:t>long-term PPPs cost 25</w:t>
      </w:r>
      <w:r w:rsidR="00A42FDE">
        <w:rPr>
          <w:rFonts w:cstheme="minorHAnsi"/>
          <w:szCs w:val="20"/>
        </w:rPr>
        <w:t xml:space="preserve"> per cent</w:t>
      </w:r>
      <w:r w:rsidR="002044D4" w:rsidRPr="00216A71">
        <w:rPr>
          <w:rFonts w:cstheme="minorHAnsi"/>
          <w:szCs w:val="20"/>
        </w:rPr>
        <w:t xml:space="preserve"> more than public ownership. </w:t>
      </w:r>
      <w:r w:rsidR="002044D4" w:rsidRPr="00216A71">
        <w:rPr>
          <w:rStyle w:val="EndnoteReference"/>
          <w:rFonts w:cstheme="minorHAnsi"/>
          <w:szCs w:val="20"/>
        </w:rPr>
        <w:endnoteReference w:id="131"/>
      </w:r>
    </w:p>
    <w:p w:rsidR="000C629A" w:rsidRDefault="002044D4" w:rsidP="00781FBC">
      <w:pPr>
        <w:pStyle w:val="ListParagraph"/>
        <w:numPr>
          <w:ilvl w:val="0"/>
          <w:numId w:val="54"/>
        </w:num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An evaluation of EIB loans to ten different PPPs across Europe “</w:t>
      </w:r>
      <w:r w:rsidRPr="00216A71">
        <w:rPr>
          <w:rFonts w:cstheme="minorHAnsi"/>
          <w:color w:val="000000"/>
          <w:szCs w:val="20"/>
        </w:rPr>
        <w:t xml:space="preserve">found that the key impact of the PPP mechanism was that the projects were implemented at all. In all of the projects evaluated in-depth, public-sector budgetary constraints meant that the alternative to a PPP project was </w:t>
      </w:r>
      <w:r w:rsidRPr="00216A71">
        <w:rPr>
          <w:rFonts w:cstheme="minorHAnsi"/>
          <w:b/>
          <w:bCs/>
          <w:color w:val="000000"/>
          <w:szCs w:val="20"/>
        </w:rPr>
        <w:t xml:space="preserve">no </w:t>
      </w:r>
      <w:r w:rsidRPr="00216A71">
        <w:rPr>
          <w:rFonts w:cstheme="minorHAnsi"/>
          <w:color w:val="000000"/>
          <w:szCs w:val="20"/>
        </w:rPr>
        <w:t xml:space="preserve">project, or at least no project within the foreseeable future, rather than a public-procurement project.” </w:t>
      </w:r>
      <w:r w:rsidRPr="00216A71">
        <w:rPr>
          <w:rFonts w:cstheme="minorHAnsi"/>
          <w:szCs w:val="20"/>
          <w:vertAlign w:val="superscript"/>
        </w:rPr>
        <w:endnoteReference w:id="132"/>
      </w:r>
      <w:r w:rsidR="004045AD">
        <w:rPr>
          <w:rFonts w:cstheme="minorHAnsi"/>
          <w:szCs w:val="20"/>
        </w:rPr>
        <w:t xml:space="preserve"> </w:t>
      </w:r>
      <w:r w:rsidRPr="00216A71">
        <w:rPr>
          <w:rFonts w:cstheme="minorHAnsi"/>
          <w:color w:val="000000"/>
          <w:szCs w:val="20"/>
        </w:rPr>
        <w:t>But</w:t>
      </w:r>
      <w:r w:rsidRPr="00216A71">
        <w:rPr>
          <w:rFonts w:cstheme="minorHAnsi"/>
          <w:szCs w:val="20"/>
        </w:rPr>
        <w:t xml:space="preserve"> the ‘budgetary constraints’ are political rules, not set in stone, as</w:t>
      </w:r>
      <w:r w:rsidRPr="00216A71">
        <w:rPr>
          <w:rFonts w:cstheme="minorHAnsi"/>
          <w:color w:val="000000"/>
          <w:szCs w:val="20"/>
        </w:rPr>
        <w:t xml:space="preserve"> the EIB evaluation also notes, “The extent to which government spending limits could have been adjusted to accommodate these projects [without using a PPP] can be debated...</w:t>
      </w:r>
      <w:r w:rsidR="00A0154B">
        <w:rPr>
          <w:rFonts w:cstheme="minorHAnsi"/>
          <w:color w:val="000000"/>
          <w:szCs w:val="20"/>
        </w:rPr>
        <w:t>.</w:t>
      </w:r>
      <w:r w:rsidRPr="00216A71">
        <w:rPr>
          <w:rFonts w:cstheme="minorHAnsi"/>
          <w:color w:val="000000"/>
          <w:szCs w:val="20"/>
        </w:rPr>
        <w:t>”</w:t>
      </w:r>
      <w:r w:rsidRPr="00216A71">
        <w:rPr>
          <w:rFonts w:cstheme="minorHAnsi"/>
          <w:szCs w:val="20"/>
        </w:rPr>
        <w:t xml:space="preserve"> </w:t>
      </w:r>
      <w:r w:rsidRPr="00216A71">
        <w:rPr>
          <w:rFonts w:cstheme="minorHAnsi"/>
          <w:szCs w:val="20"/>
          <w:vertAlign w:val="superscript"/>
        </w:rPr>
        <w:endnoteReference w:id="133"/>
      </w:r>
    </w:p>
    <w:p w:rsidR="002044D4" w:rsidRPr="00216A71" w:rsidRDefault="002044D4" w:rsidP="00781FBC">
      <w:pPr>
        <w:pStyle w:val="ListParagraph"/>
        <w:numPr>
          <w:ilvl w:val="0"/>
          <w:numId w:val="54"/>
        </w:num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In Ireland, the government preference for PPPs “led local authorities to reject its own VFM assessments or preliminary reports where they were found to favour traditional procurement methods.” </w:t>
      </w:r>
      <w:r w:rsidRPr="00216A71">
        <w:rPr>
          <w:rFonts w:cstheme="minorHAnsi"/>
          <w:szCs w:val="20"/>
          <w:vertAlign w:val="superscript"/>
        </w:rPr>
        <w:endnoteReference w:id="134"/>
      </w:r>
    </w:p>
    <w:p w:rsidR="007F3DD2" w:rsidRPr="00216A71" w:rsidRDefault="00D75210" w:rsidP="007F3DD2">
      <w:pPr>
        <w:pStyle w:val="Heading2"/>
        <w:rPr>
          <w:rFonts w:asciiTheme="minorHAnsi" w:hAnsiTheme="minorHAnsi" w:cstheme="minorHAnsi"/>
          <w:szCs w:val="20"/>
        </w:rPr>
      </w:pPr>
      <w:bookmarkStart w:id="93" w:name="_Toc212951544"/>
      <w:bookmarkStart w:id="94" w:name="_Toc392857540"/>
      <w:r w:rsidRPr="00216A71">
        <w:rPr>
          <w:rFonts w:asciiTheme="minorHAnsi" w:hAnsiTheme="minorHAnsi" w:cstheme="minorHAnsi"/>
          <w:szCs w:val="20"/>
        </w:rPr>
        <w:t xml:space="preserve">A </w:t>
      </w:r>
      <w:r w:rsidR="007F3DD2" w:rsidRPr="00216A71">
        <w:rPr>
          <w:rFonts w:asciiTheme="minorHAnsi" w:hAnsiTheme="minorHAnsi" w:cstheme="minorHAnsi"/>
          <w:szCs w:val="20"/>
        </w:rPr>
        <w:t xml:space="preserve">comparative framework </w:t>
      </w:r>
      <w:bookmarkEnd w:id="93"/>
      <w:r w:rsidR="007F3DD2" w:rsidRPr="00216A71">
        <w:rPr>
          <w:rFonts w:asciiTheme="minorHAnsi" w:hAnsiTheme="minorHAnsi" w:cstheme="minorHAnsi"/>
          <w:szCs w:val="20"/>
        </w:rPr>
        <w:t xml:space="preserve">– </w:t>
      </w:r>
      <w:r w:rsidRPr="00216A71">
        <w:rPr>
          <w:rFonts w:asciiTheme="minorHAnsi" w:hAnsiTheme="minorHAnsi" w:cstheme="minorHAnsi"/>
          <w:szCs w:val="20"/>
        </w:rPr>
        <w:t xml:space="preserve">VFM </w:t>
      </w:r>
      <w:r w:rsidR="007F3DD2" w:rsidRPr="00216A71">
        <w:rPr>
          <w:rFonts w:asciiTheme="minorHAnsi" w:hAnsiTheme="minorHAnsi" w:cstheme="minorHAnsi"/>
          <w:szCs w:val="20"/>
        </w:rPr>
        <w:t xml:space="preserve">and the </w:t>
      </w:r>
      <w:r w:rsidR="00A0154B">
        <w:rPr>
          <w:rFonts w:asciiTheme="minorHAnsi" w:hAnsiTheme="minorHAnsi" w:cstheme="minorHAnsi"/>
          <w:szCs w:val="20"/>
        </w:rPr>
        <w:t xml:space="preserve">public </w:t>
      </w:r>
      <w:r w:rsidR="007F3DD2" w:rsidRPr="00216A71">
        <w:rPr>
          <w:rFonts w:asciiTheme="minorHAnsi" w:hAnsiTheme="minorHAnsi" w:cstheme="minorHAnsi"/>
          <w:szCs w:val="20"/>
        </w:rPr>
        <w:t>impact</w:t>
      </w:r>
      <w:bookmarkEnd w:id="94"/>
      <w:r w:rsidR="007F3DD2" w:rsidRPr="00216A71">
        <w:rPr>
          <w:rFonts w:asciiTheme="minorHAnsi" w:hAnsiTheme="minorHAnsi" w:cstheme="minorHAnsi"/>
          <w:szCs w:val="20"/>
        </w:rPr>
        <w:t xml:space="preserve"> </w:t>
      </w:r>
    </w:p>
    <w:p w:rsidR="000C629A" w:rsidRDefault="007F3DD2" w:rsidP="007F3DD2">
      <w:pPr>
        <w:rPr>
          <w:rFonts w:cstheme="minorHAnsi"/>
          <w:szCs w:val="20"/>
        </w:rPr>
      </w:pPr>
      <w:r w:rsidRPr="00216A71">
        <w:rPr>
          <w:rFonts w:cstheme="minorHAnsi"/>
          <w:szCs w:val="20"/>
        </w:rPr>
        <w:t xml:space="preserve">The table below sets out a framework for a value for money </w:t>
      </w:r>
      <w:r w:rsidR="006C087C" w:rsidRPr="00216A71">
        <w:rPr>
          <w:rFonts w:cstheme="minorHAnsi"/>
          <w:szCs w:val="20"/>
        </w:rPr>
        <w:t xml:space="preserve">(VFM) </w:t>
      </w:r>
      <w:r w:rsidRPr="00216A71">
        <w:rPr>
          <w:rFonts w:cstheme="minorHAnsi"/>
          <w:szCs w:val="20"/>
        </w:rPr>
        <w:t xml:space="preserve">comparison </w:t>
      </w:r>
      <w:r w:rsidR="006C087C" w:rsidRPr="00216A71">
        <w:rPr>
          <w:rFonts w:cstheme="minorHAnsi"/>
          <w:szCs w:val="20"/>
        </w:rPr>
        <w:t xml:space="preserve">covering all </w:t>
      </w:r>
      <w:r w:rsidRPr="00216A71">
        <w:rPr>
          <w:rFonts w:cstheme="minorHAnsi"/>
          <w:szCs w:val="20"/>
        </w:rPr>
        <w:t xml:space="preserve">the economic elements of a PPP – finance, construction, operation, and the contract itself. These comparative evaluations should be carried out on any PPP proposal before it is implemented. If the result is that the PPP looks like a worse option, then the public sector alternative should be preferred. </w:t>
      </w:r>
    </w:p>
    <w:p w:rsidR="000C629A" w:rsidRDefault="002044D4" w:rsidP="007F3DD2">
      <w:pPr>
        <w:rPr>
          <w:rFonts w:cstheme="minorHAnsi"/>
          <w:szCs w:val="20"/>
        </w:rPr>
      </w:pPr>
      <w:r w:rsidRPr="00216A71">
        <w:rPr>
          <w:rFonts w:cstheme="minorHAnsi"/>
          <w:szCs w:val="20"/>
        </w:rPr>
        <w:t>In</w:t>
      </w:r>
      <w:r w:rsidR="00D75210" w:rsidRPr="00216A71">
        <w:rPr>
          <w:rFonts w:cstheme="minorHAnsi"/>
          <w:szCs w:val="20"/>
        </w:rPr>
        <w:t xml:space="preserve"> </w:t>
      </w:r>
      <w:r w:rsidR="007F3DD2" w:rsidRPr="00216A71">
        <w:rPr>
          <w:rFonts w:cstheme="minorHAnsi"/>
          <w:szCs w:val="20"/>
        </w:rPr>
        <w:t xml:space="preserve">addition to an accurate </w:t>
      </w:r>
      <w:r w:rsidR="006C087C" w:rsidRPr="00216A71">
        <w:rPr>
          <w:rFonts w:cstheme="minorHAnsi"/>
          <w:szCs w:val="20"/>
        </w:rPr>
        <w:t xml:space="preserve">VFM </w:t>
      </w:r>
      <w:r w:rsidR="007F3DD2" w:rsidRPr="00216A71">
        <w:rPr>
          <w:rFonts w:cstheme="minorHAnsi"/>
          <w:szCs w:val="20"/>
        </w:rPr>
        <w:t xml:space="preserve">assessment of relative costs, a comparison needs also to </w:t>
      </w:r>
      <w:r w:rsidRPr="00216A71">
        <w:rPr>
          <w:rFonts w:cstheme="minorHAnsi"/>
          <w:szCs w:val="20"/>
        </w:rPr>
        <w:t>take account of multiple public interest objectives.</w:t>
      </w:r>
      <w:r w:rsidR="004045AD">
        <w:rPr>
          <w:rFonts w:cstheme="minorHAnsi"/>
          <w:szCs w:val="20"/>
        </w:rPr>
        <w:t xml:space="preserve"> </w:t>
      </w:r>
      <w:r w:rsidRPr="00216A71">
        <w:rPr>
          <w:rFonts w:cstheme="minorHAnsi"/>
          <w:szCs w:val="20"/>
        </w:rPr>
        <w:t>These include</w:t>
      </w:r>
      <w:r w:rsidR="007F3DD2" w:rsidRPr="00216A71">
        <w:rPr>
          <w:rFonts w:cstheme="minorHAnsi"/>
          <w:szCs w:val="20"/>
        </w:rPr>
        <w:t xml:space="preserve"> the impact of a PPP on public service</w:t>
      </w:r>
      <w:r w:rsidRPr="00216A71">
        <w:rPr>
          <w:rFonts w:cstheme="minorHAnsi"/>
          <w:szCs w:val="20"/>
        </w:rPr>
        <w:t>s</w:t>
      </w:r>
      <w:r w:rsidR="007F3DD2" w:rsidRPr="00216A71">
        <w:rPr>
          <w:rFonts w:cstheme="minorHAnsi"/>
          <w:szCs w:val="20"/>
        </w:rPr>
        <w:t xml:space="preserve">, </w:t>
      </w:r>
      <w:r w:rsidRPr="00216A71">
        <w:rPr>
          <w:rFonts w:cstheme="minorHAnsi"/>
          <w:szCs w:val="20"/>
        </w:rPr>
        <w:t>the wider</w:t>
      </w:r>
      <w:r w:rsidR="007F3DD2" w:rsidRPr="00216A71">
        <w:rPr>
          <w:rFonts w:cstheme="minorHAnsi"/>
          <w:szCs w:val="20"/>
        </w:rPr>
        <w:t xml:space="preserve"> economic effects – for example on employment</w:t>
      </w:r>
      <w:r w:rsidRPr="00216A71">
        <w:rPr>
          <w:rFonts w:cstheme="minorHAnsi"/>
          <w:szCs w:val="20"/>
        </w:rPr>
        <w:t xml:space="preserve">, </w:t>
      </w:r>
      <w:r w:rsidR="007F3DD2" w:rsidRPr="00216A71">
        <w:rPr>
          <w:rFonts w:cstheme="minorHAnsi"/>
          <w:szCs w:val="20"/>
        </w:rPr>
        <w:t>and the relative w</w:t>
      </w:r>
      <w:r w:rsidRPr="00216A71">
        <w:rPr>
          <w:rFonts w:cstheme="minorHAnsi"/>
          <w:szCs w:val="20"/>
        </w:rPr>
        <w:t>illingness to pay of citizens.</w:t>
      </w:r>
      <w:r w:rsidR="007F3DD2" w:rsidRPr="00216A71">
        <w:rPr>
          <w:rStyle w:val="EndnoteReference"/>
          <w:rFonts w:cstheme="minorHAnsi"/>
          <w:szCs w:val="20"/>
        </w:rPr>
        <w:endnoteReference w:id="135"/>
      </w:r>
      <w:r w:rsidR="004045AD">
        <w:rPr>
          <w:rFonts w:cstheme="minorHAnsi"/>
          <w:szCs w:val="20"/>
        </w:rPr>
        <w:t xml:space="preserve"> </w:t>
      </w:r>
    </w:p>
    <w:p w:rsidR="000C629A" w:rsidRDefault="00D75210" w:rsidP="007F3DD2">
      <w:pPr>
        <w:rPr>
          <w:rFonts w:cstheme="minorHAnsi"/>
          <w:szCs w:val="20"/>
        </w:rPr>
      </w:pPr>
      <w:r w:rsidRPr="00216A71">
        <w:rPr>
          <w:rFonts w:cstheme="minorHAnsi"/>
          <w:szCs w:val="20"/>
        </w:rPr>
        <w:t>The New York State report on assess</w:t>
      </w:r>
      <w:r w:rsidR="002044D4" w:rsidRPr="00216A71">
        <w:rPr>
          <w:rFonts w:cstheme="minorHAnsi"/>
          <w:szCs w:val="20"/>
        </w:rPr>
        <w:t xml:space="preserve">ing proposals for </w:t>
      </w:r>
      <w:r w:rsidRPr="00216A71">
        <w:rPr>
          <w:rFonts w:cstheme="minorHAnsi"/>
          <w:szCs w:val="20"/>
        </w:rPr>
        <w:t>PPPs</w:t>
      </w:r>
      <w:r w:rsidR="002044D4" w:rsidRPr="00216A71">
        <w:rPr>
          <w:rFonts w:cstheme="minorHAnsi"/>
          <w:szCs w:val="20"/>
        </w:rPr>
        <w:t xml:space="preserve"> spells out the importance of addressing</w:t>
      </w:r>
      <w:r w:rsidR="007E4721" w:rsidRPr="00216A71">
        <w:rPr>
          <w:rFonts w:cstheme="minorHAnsi"/>
          <w:szCs w:val="20"/>
        </w:rPr>
        <w:t xml:space="preserve"> these issues as part of a comparative evaluation</w:t>
      </w:r>
      <w:r w:rsidRPr="00216A71">
        <w:rPr>
          <w:rFonts w:cstheme="minorHAnsi"/>
          <w:szCs w:val="20"/>
        </w:rPr>
        <w:t>:</w:t>
      </w:r>
    </w:p>
    <w:p w:rsidR="007F3DD2" w:rsidRPr="00216A71" w:rsidRDefault="00D75210" w:rsidP="006C087C">
      <w:pPr>
        <w:ind w:left="720"/>
        <w:rPr>
          <w:rFonts w:cstheme="minorHAnsi"/>
          <w:szCs w:val="20"/>
        </w:rPr>
      </w:pPr>
      <w:r w:rsidRPr="00216A71">
        <w:rPr>
          <w:rFonts w:cstheme="minorHAnsi"/>
          <w:szCs w:val="20"/>
        </w:rPr>
        <w:t>“</w:t>
      </w:r>
      <w:r w:rsidR="00A0154B">
        <w:rPr>
          <w:rFonts w:cstheme="minorHAnsi"/>
          <w:szCs w:val="20"/>
        </w:rPr>
        <w:t>T</w:t>
      </w:r>
      <w:r w:rsidRPr="00216A71">
        <w:rPr>
          <w:rFonts w:cstheme="minorHAnsi"/>
          <w:szCs w:val="20"/>
        </w:rPr>
        <w:t>he more basic question of the value of the asset not just to the State but to the public itself…</w:t>
      </w:r>
      <w:r w:rsidR="00A0154B">
        <w:rPr>
          <w:rFonts w:cstheme="minorHAnsi"/>
          <w:szCs w:val="20"/>
        </w:rPr>
        <w:t xml:space="preserve"> </w:t>
      </w:r>
      <w:r w:rsidRPr="00216A71">
        <w:rPr>
          <w:rFonts w:cstheme="minorHAnsi"/>
          <w:szCs w:val="20"/>
        </w:rPr>
        <w:t>in terms of performance, user satisfaction and the overall viability of the project. This type of valuation is sometimes called a ‘qualitative value for money assessment’ because many of the factors have not and cannot be quantified. What is the value of ensuring that a public facility is affordable or available to all? What is the cost of locking the public in to a particular pattern of consumption when alternatives might serve them better in the future? Other concerns, beyond the financial aspects of P3s, should also be considered by policy makers</w:t>
      </w:r>
      <w:r w:rsidR="007E4721" w:rsidRPr="00216A71">
        <w:rPr>
          <w:rFonts w:cstheme="minorHAnsi"/>
          <w:szCs w:val="20"/>
        </w:rPr>
        <w:t>, [including] c</w:t>
      </w:r>
      <w:r w:rsidR="0073642F" w:rsidRPr="00216A71">
        <w:rPr>
          <w:rFonts w:cstheme="minorHAnsi"/>
          <w:szCs w:val="20"/>
        </w:rPr>
        <w:t>ommunity</w:t>
      </w:r>
      <w:r w:rsidR="007E4721" w:rsidRPr="00216A71">
        <w:rPr>
          <w:rFonts w:cstheme="minorHAnsi"/>
          <w:szCs w:val="20"/>
        </w:rPr>
        <w:t xml:space="preserve"> issues, l</w:t>
      </w:r>
      <w:r w:rsidRPr="00216A71">
        <w:rPr>
          <w:rFonts w:cstheme="minorHAnsi"/>
          <w:szCs w:val="20"/>
        </w:rPr>
        <w:t xml:space="preserve">abour issues, </w:t>
      </w:r>
      <w:r w:rsidR="007E4721" w:rsidRPr="00216A71">
        <w:rPr>
          <w:rFonts w:cstheme="minorHAnsi"/>
          <w:szCs w:val="20"/>
        </w:rPr>
        <w:t>e</w:t>
      </w:r>
      <w:r w:rsidRPr="00216A71">
        <w:rPr>
          <w:rFonts w:cstheme="minorHAnsi"/>
          <w:szCs w:val="20"/>
        </w:rPr>
        <w:t>nvironmental issues”</w:t>
      </w:r>
      <w:r w:rsidRPr="00216A71">
        <w:rPr>
          <w:rStyle w:val="EndnoteReference"/>
          <w:rFonts w:cstheme="minorHAnsi"/>
          <w:szCs w:val="20"/>
        </w:rPr>
        <w:endnoteReference w:id="136"/>
      </w:r>
    </w:p>
    <w:p w:rsidR="007F3DD2" w:rsidRPr="00216A71" w:rsidRDefault="007F3DD2" w:rsidP="007F3DD2">
      <w:pPr>
        <w:pStyle w:val="Heading7"/>
        <w:rPr>
          <w:rFonts w:asciiTheme="minorHAnsi" w:hAnsiTheme="minorHAnsi" w:cstheme="minorHAnsi"/>
          <w:szCs w:val="20"/>
        </w:rPr>
      </w:pPr>
      <w:bookmarkStart w:id="95" w:name="_Toc210421186"/>
      <w:bookmarkStart w:id="96" w:name="_Toc210425560"/>
      <w:bookmarkStart w:id="97" w:name="_Toc210426017"/>
      <w:bookmarkStart w:id="98" w:name="_Toc210421187"/>
      <w:bookmarkStart w:id="99" w:name="_Toc210425561"/>
      <w:bookmarkStart w:id="100" w:name="_Toc210426018"/>
      <w:bookmarkStart w:id="101" w:name="_Toc210421189"/>
      <w:bookmarkStart w:id="102" w:name="_Toc210425569"/>
      <w:bookmarkStart w:id="103" w:name="_Toc210426026"/>
      <w:bookmarkStart w:id="104" w:name="_Toc210421190"/>
      <w:bookmarkStart w:id="105" w:name="_Toc210425570"/>
      <w:bookmarkStart w:id="106" w:name="_Toc210426027"/>
      <w:bookmarkStart w:id="107" w:name="_Toc210421191"/>
      <w:bookmarkStart w:id="108" w:name="_Toc210425571"/>
      <w:bookmarkStart w:id="109" w:name="_Toc210426028"/>
      <w:bookmarkStart w:id="110" w:name="_Toc210421192"/>
      <w:bookmarkStart w:id="111" w:name="_Toc210425572"/>
      <w:bookmarkStart w:id="112" w:name="_Toc210426029"/>
      <w:bookmarkStart w:id="113" w:name="_Toc210421194"/>
      <w:bookmarkStart w:id="114" w:name="_Toc210425574"/>
      <w:bookmarkStart w:id="115" w:name="_Toc210426031"/>
      <w:bookmarkStart w:id="116" w:name="_Toc210421196"/>
      <w:bookmarkStart w:id="117" w:name="_Toc210425576"/>
      <w:bookmarkStart w:id="118" w:name="_Toc210426033"/>
      <w:bookmarkStart w:id="119" w:name="_Toc210421197"/>
      <w:bookmarkStart w:id="120" w:name="_Toc210425577"/>
      <w:bookmarkStart w:id="121" w:name="_Toc210426034"/>
      <w:bookmarkStart w:id="122" w:name="_Toc210421198"/>
      <w:bookmarkStart w:id="123" w:name="_Toc210425578"/>
      <w:bookmarkStart w:id="124" w:name="_Toc210426035"/>
      <w:bookmarkStart w:id="125" w:name="_Toc210421199"/>
      <w:bookmarkStart w:id="126" w:name="_Toc210425579"/>
      <w:bookmarkStart w:id="127" w:name="_Toc210426036"/>
      <w:bookmarkStart w:id="128" w:name="_Toc210421200"/>
      <w:bookmarkStart w:id="129" w:name="_Toc210425580"/>
      <w:bookmarkStart w:id="130" w:name="_Toc210426037"/>
      <w:bookmarkStart w:id="131" w:name="_Toc210421201"/>
      <w:bookmarkStart w:id="132" w:name="_Toc210425581"/>
      <w:bookmarkStart w:id="133" w:name="_Toc210426038"/>
      <w:bookmarkStart w:id="134" w:name="_Toc210421203"/>
      <w:bookmarkStart w:id="135" w:name="_Toc210425583"/>
      <w:bookmarkStart w:id="136" w:name="_Toc210426040"/>
      <w:bookmarkStart w:id="137" w:name="_Toc210421204"/>
      <w:bookmarkStart w:id="138" w:name="_Toc210425584"/>
      <w:bookmarkStart w:id="139" w:name="_Toc210426041"/>
      <w:bookmarkStart w:id="140" w:name="_Toc210421205"/>
      <w:bookmarkStart w:id="141" w:name="_Toc210425585"/>
      <w:bookmarkStart w:id="142" w:name="_Toc210426042"/>
      <w:bookmarkStart w:id="143" w:name="_Toc201723987"/>
      <w:bookmarkStart w:id="144" w:name="_Toc212951546"/>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216A71">
        <w:rPr>
          <w:rFonts w:asciiTheme="minorHAnsi" w:hAnsiTheme="minorHAnsi" w:cstheme="minorHAnsi"/>
          <w:szCs w:val="20"/>
        </w:rPr>
        <w:t xml:space="preserve">Value for money </w:t>
      </w:r>
      <w:r w:rsidR="00D75210" w:rsidRPr="00216A71">
        <w:rPr>
          <w:rFonts w:asciiTheme="minorHAnsi" w:hAnsiTheme="minorHAnsi" w:cstheme="minorHAnsi"/>
          <w:szCs w:val="20"/>
        </w:rPr>
        <w:t xml:space="preserve">and public impact </w:t>
      </w:r>
      <w:r w:rsidRPr="00216A71">
        <w:rPr>
          <w:rFonts w:asciiTheme="minorHAnsi" w:hAnsiTheme="minorHAnsi" w:cstheme="minorHAnsi"/>
          <w:szCs w:val="20"/>
        </w:rPr>
        <w:t>comparison of PPPs and public sector option</w:t>
      </w:r>
    </w:p>
    <w:tbl>
      <w:tblPr>
        <w:tblW w:w="9500" w:type="dxa"/>
        <w:tblCellMar>
          <w:left w:w="0" w:type="dxa"/>
          <w:right w:w="0" w:type="dxa"/>
        </w:tblCellMar>
        <w:tblLook w:val="0600" w:firstRow="0" w:lastRow="0" w:firstColumn="0" w:lastColumn="0" w:noHBand="1" w:noVBand="1"/>
      </w:tblPr>
      <w:tblGrid>
        <w:gridCol w:w="570"/>
        <w:gridCol w:w="2126"/>
        <w:gridCol w:w="4252"/>
        <w:gridCol w:w="2552"/>
      </w:tblGrid>
      <w:tr w:rsidR="007F3DD2" w:rsidRPr="00216A71" w:rsidTr="00D75210">
        <w:trPr>
          <w:trHeight w:val="407"/>
        </w:trPr>
        <w:tc>
          <w:tcPr>
            <w:tcW w:w="57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p>
        </w:tc>
        <w:tc>
          <w:tcPr>
            <w:tcW w:w="2126"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Factor</w:t>
            </w:r>
          </w:p>
        </w:tc>
        <w:tc>
          <w:tcPr>
            <w:tcW w:w="4252"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Comparing</w:t>
            </w:r>
          </w:p>
        </w:tc>
        <w:tc>
          <w:tcPr>
            <w:tcW w:w="2552"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Evidence indicates</w:t>
            </w:r>
          </w:p>
        </w:tc>
      </w:tr>
      <w:tr w:rsidR="007F3DD2" w:rsidRPr="00216A71" w:rsidTr="00D75210">
        <w:trPr>
          <w:trHeight w:val="401"/>
        </w:trPr>
        <w:tc>
          <w:tcPr>
            <w:tcW w:w="57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Cost of capital</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Debt interest + dividends</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PPP more expensive</w:t>
            </w:r>
          </w:p>
        </w:tc>
      </w:tr>
      <w:tr w:rsidR="007F3DD2" w:rsidRPr="00216A71" w:rsidTr="00D75210">
        <w:trPr>
          <w:trHeight w:val="537"/>
        </w:trPr>
        <w:tc>
          <w:tcPr>
            <w:tcW w:w="57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2</w:t>
            </w:r>
          </w:p>
        </w:tc>
        <w:tc>
          <w:tcPr>
            <w:tcW w:w="2126"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Cost of construction</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Comparative costs</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PPP more expensive</w:t>
            </w:r>
          </w:p>
        </w:tc>
      </w:tr>
      <w:tr w:rsidR="007F3DD2" w:rsidRPr="00216A71" w:rsidTr="00D75210">
        <w:trPr>
          <w:trHeight w:val="405"/>
        </w:trPr>
        <w:tc>
          <w:tcPr>
            <w:tcW w:w="57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Cost of operation</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Comparative efficiency</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 xml:space="preserve">Neutral/public more flexible </w:t>
            </w:r>
          </w:p>
        </w:tc>
      </w:tr>
      <w:tr w:rsidR="007F3DD2" w:rsidRPr="00216A71" w:rsidTr="00D75210">
        <w:trPr>
          <w:trHeight w:val="541"/>
        </w:trPr>
        <w:tc>
          <w:tcPr>
            <w:tcW w:w="57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4</w:t>
            </w:r>
          </w:p>
        </w:tc>
        <w:tc>
          <w:tcPr>
            <w:tcW w:w="2126"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Transaction costs</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Procurement + monitoring, management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PPP more expensive</w:t>
            </w:r>
          </w:p>
        </w:tc>
      </w:tr>
      <w:tr w:rsidR="007F3DD2" w:rsidRPr="00216A71" w:rsidTr="00D75210">
        <w:trPr>
          <w:trHeight w:val="551"/>
        </w:trPr>
        <w:tc>
          <w:tcPr>
            <w:tcW w:w="57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5</w:t>
            </w:r>
          </w:p>
        </w:tc>
        <w:tc>
          <w:tcPr>
            <w:tcW w:w="2126"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Uncertainty</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D75210">
            <w:pPr>
              <w:rPr>
                <w:rFonts w:cstheme="minorHAnsi"/>
                <w:szCs w:val="20"/>
              </w:rPr>
            </w:pPr>
            <w:r w:rsidRPr="00216A71">
              <w:rPr>
                <w:rFonts w:cstheme="minorHAnsi"/>
                <w:szCs w:val="20"/>
              </w:rPr>
              <w:t>Incomplete contracts, renegot</w:t>
            </w:r>
            <w:r w:rsidR="0073642F" w:rsidRPr="00216A71">
              <w:rPr>
                <w:rFonts w:cstheme="minorHAnsi"/>
                <w:szCs w:val="20"/>
              </w:rPr>
              <w:t>iations, contingent liabilities</w:t>
            </w:r>
            <w:r w:rsidRPr="00216A71">
              <w:rPr>
                <w:rFonts w:cstheme="minorHAnsi"/>
                <w:szCs w:val="20"/>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F3DD2" w:rsidRPr="00216A71" w:rsidRDefault="007F3DD2" w:rsidP="007F3DD2">
            <w:pPr>
              <w:rPr>
                <w:rFonts w:cstheme="minorHAnsi"/>
                <w:szCs w:val="20"/>
              </w:rPr>
            </w:pPr>
            <w:r w:rsidRPr="00216A71">
              <w:rPr>
                <w:rFonts w:cstheme="minorHAnsi"/>
                <w:szCs w:val="20"/>
              </w:rPr>
              <w:t>PPP riskier</w:t>
            </w:r>
          </w:p>
        </w:tc>
      </w:tr>
      <w:tr w:rsidR="007F3DD2" w:rsidRPr="00216A71" w:rsidTr="00D75210">
        <w:trPr>
          <w:trHeight w:val="551"/>
        </w:trPr>
        <w:tc>
          <w:tcPr>
            <w:tcW w:w="570"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tcPr>
          <w:p w:rsidR="007F3DD2" w:rsidRPr="00216A71" w:rsidRDefault="007F3DD2" w:rsidP="007F3DD2">
            <w:pPr>
              <w:rPr>
                <w:rFonts w:cstheme="minorHAnsi"/>
                <w:szCs w:val="20"/>
              </w:rPr>
            </w:pPr>
            <w:r w:rsidRPr="00216A71">
              <w:rPr>
                <w:rFonts w:cstheme="minorHAnsi"/>
                <w:szCs w:val="20"/>
              </w:rPr>
              <w:t>6</w:t>
            </w:r>
          </w:p>
        </w:tc>
        <w:tc>
          <w:tcPr>
            <w:tcW w:w="2126" w:type="dxa"/>
            <w:tcBorders>
              <w:top w:val="single" w:sz="8" w:space="0" w:color="000000"/>
              <w:left w:val="single" w:sz="8" w:space="0" w:color="000000"/>
              <w:bottom w:val="single" w:sz="8" w:space="0" w:color="000000"/>
              <w:right w:val="single" w:sz="8" w:space="0" w:color="000000"/>
            </w:tcBorders>
            <w:shd w:val="clear" w:color="auto" w:fill="CCFFFF"/>
            <w:tcMar>
              <w:top w:w="72" w:type="dxa"/>
              <w:left w:w="144" w:type="dxa"/>
              <w:bottom w:w="72" w:type="dxa"/>
              <w:right w:w="144" w:type="dxa"/>
            </w:tcMar>
          </w:tcPr>
          <w:p w:rsidR="007F3DD2" w:rsidRPr="00216A71" w:rsidRDefault="007F3DD2" w:rsidP="007F3DD2">
            <w:pPr>
              <w:rPr>
                <w:rFonts w:cstheme="minorHAnsi"/>
                <w:szCs w:val="20"/>
              </w:rPr>
            </w:pPr>
            <w:r w:rsidRPr="00216A71">
              <w:rPr>
                <w:rFonts w:cstheme="minorHAnsi"/>
                <w:szCs w:val="20"/>
              </w:rPr>
              <w:t>Public impact</w:t>
            </w:r>
          </w:p>
        </w:tc>
        <w:tc>
          <w:tcPr>
            <w:tcW w:w="4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F3DD2" w:rsidRPr="00216A71" w:rsidRDefault="00D75210" w:rsidP="002044D4">
            <w:pPr>
              <w:rPr>
                <w:rFonts w:cstheme="minorHAnsi"/>
                <w:szCs w:val="20"/>
              </w:rPr>
            </w:pPr>
            <w:r w:rsidRPr="00216A71">
              <w:rPr>
                <w:rFonts w:cstheme="minorHAnsi"/>
                <w:szCs w:val="20"/>
              </w:rPr>
              <w:t>Impact on service, democratic policy decisions, communities, workers, environment</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F3DD2" w:rsidRPr="00216A71" w:rsidRDefault="00D75210" w:rsidP="007F3DD2">
            <w:pPr>
              <w:rPr>
                <w:rFonts w:cstheme="minorHAnsi"/>
                <w:szCs w:val="20"/>
              </w:rPr>
            </w:pPr>
            <w:r w:rsidRPr="00216A71">
              <w:rPr>
                <w:rFonts w:cstheme="minorHAnsi"/>
                <w:szCs w:val="20"/>
              </w:rPr>
              <w:t>PPP more dangerous</w:t>
            </w:r>
          </w:p>
        </w:tc>
      </w:tr>
      <w:bookmarkEnd w:id="143"/>
      <w:bookmarkEnd w:id="144"/>
    </w:tbl>
    <w:p w:rsidR="007F3DD2" w:rsidRPr="00216A71" w:rsidRDefault="007F3DD2" w:rsidP="00713C54">
      <w:pPr>
        <w:rPr>
          <w:rFonts w:cstheme="minorHAnsi"/>
          <w:szCs w:val="20"/>
        </w:rPr>
      </w:pPr>
    </w:p>
    <w:p w:rsidR="006B29F8" w:rsidRPr="00216A71" w:rsidRDefault="006B29F8" w:rsidP="006B29F8">
      <w:pPr>
        <w:pStyle w:val="Heading2"/>
        <w:rPr>
          <w:rFonts w:asciiTheme="minorHAnsi" w:hAnsiTheme="minorHAnsi" w:cstheme="minorHAnsi"/>
          <w:szCs w:val="20"/>
        </w:rPr>
      </w:pPr>
      <w:bookmarkStart w:id="145" w:name="_Toc392857541"/>
      <w:r w:rsidRPr="00216A71">
        <w:rPr>
          <w:rFonts w:asciiTheme="minorHAnsi" w:hAnsiTheme="minorHAnsi" w:cstheme="minorHAnsi"/>
          <w:szCs w:val="20"/>
        </w:rPr>
        <w:t>The need for evidence-based comparisons</w:t>
      </w:r>
      <w:bookmarkEnd w:id="145"/>
    </w:p>
    <w:p w:rsidR="006B29F8" w:rsidRPr="00216A71" w:rsidRDefault="006B29F8" w:rsidP="006B29F8">
      <w:pPr>
        <w:rPr>
          <w:rFonts w:cstheme="minorHAnsi"/>
          <w:szCs w:val="20"/>
        </w:rPr>
      </w:pPr>
      <w:r w:rsidRPr="00216A71">
        <w:rPr>
          <w:rFonts w:cstheme="minorHAnsi"/>
          <w:szCs w:val="20"/>
        </w:rPr>
        <w:t>Many PPP assessments only consider whether the PPP is economically feasible for a private consortium. Sometimes a comparison is made using a notional ‘public sector comparator’ rather than a real public sector alternative proposal</w:t>
      </w:r>
      <w:r w:rsidR="00A0154B">
        <w:rPr>
          <w:rFonts w:cstheme="minorHAnsi"/>
          <w:szCs w:val="20"/>
        </w:rPr>
        <w:t>.</w:t>
      </w:r>
      <w:r w:rsidRPr="00216A71">
        <w:rPr>
          <w:rFonts w:cstheme="minorHAnsi"/>
          <w:szCs w:val="20"/>
        </w:rPr>
        <w:t xml:space="preserve"> </w:t>
      </w:r>
      <w:r w:rsidR="00A0154B">
        <w:rPr>
          <w:rFonts w:cstheme="minorHAnsi"/>
          <w:szCs w:val="20"/>
        </w:rPr>
        <w:t>P</w:t>
      </w:r>
      <w:r w:rsidRPr="00216A71">
        <w:rPr>
          <w:rFonts w:cstheme="minorHAnsi"/>
          <w:szCs w:val="20"/>
        </w:rPr>
        <w:t>ublic auditors in the Netherlands and elsewhere have questioned whether such comparators are adequate.</w:t>
      </w:r>
      <w:r w:rsidRPr="00216A71">
        <w:rPr>
          <w:rStyle w:val="EndnoteReference"/>
          <w:rFonts w:cstheme="minorHAnsi"/>
          <w:szCs w:val="20"/>
        </w:rPr>
        <w:endnoteReference w:id="137"/>
      </w:r>
      <w:r w:rsidRPr="00216A71">
        <w:rPr>
          <w:rFonts w:cstheme="minorHAnsi"/>
          <w:szCs w:val="20"/>
        </w:rPr>
        <w:t xml:space="preserve"> A real comparison is important to avoid the use of PPPs simply as a way of moving borrowing off the public sector balance sheet, even when they are more costly.</w:t>
      </w:r>
      <w:r w:rsidRPr="00216A71">
        <w:rPr>
          <w:rStyle w:val="EndnoteReference"/>
          <w:rFonts w:cstheme="minorHAnsi"/>
          <w:szCs w:val="20"/>
        </w:rPr>
        <w:endnoteReference w:id="138"/>
      </w:r>
    </w:p>
    <w:p w:rsidR="006B29F8" w:rsidRPr="00216A71" w:rsidRDefault="006B29F8" w:rsidP="006C087C">
      <w:pPr>
        <w:pStyle w:val="Heading6"/>
        <w:rPr>
          <w:rFonts w:cstheme="minorHAnsi"/>
          <w:szCs w:val="20"/>
        </w:rPr>
      </w:pPr>
      <w:r w:rsidRPr="00216A71">
        <w:rPr>
          <w:rFonts w:cstheme="minorHAnsi"/>
          <w:szCs w:val="20"/>
        </w:rPr>
        <w:t>UK: inadequate comparisons and avoidance of evidence</w:t>
      </w:r>
    </w:p>
    <w:p w:rsidR="00A0154B" w:rsidRDefault="006B29F8" w:rsidP="006B29F8">
      <w:pPr>
        <w:pBdr>
          <w:top w:val="single" w:sz="4" w:space="1" w:color="auto"/>
          <w:left w:val="single" w:sz="4" w:space="4" w:color="auto"/>
          <w:bottom w:val="single" w:sz="4" w:space="1" w:color="auto"/>
          <w:right w:val="single" w:sz="4" w:space="4" w:color="auto"/>
        </w:pBdr>
        <w:rPr>
          <w:rFonts w:cstheme="minorHAnsi"/>
          <w:bCs/>
          <w:szCs w:val="20"/>
        </w:rPr>
      </w:pPr>
      <w:r w:rsidRPr="00216A71">
        <w:rPr>
          <w:rFonts w:cstheme="minorHAnsi"/>
          <w:szCs w:val="20"/>
        </w:rPr>
        <w:t>PPP proposals in the UK are supposed to be compared with a ‘public sector comparator’ before being authorised, but these comparisons have been the subject of much criticism by academics, auditors and parliamentary committees.</w:t>
      </w:r>
      <w:r w:rsidR="004045AD">
        <w:rPr>
          <w:rFonts w:cstheme="minorHAnsi"/>
          <w:szCs w:val="20"/>
        </w:rPr>
        <w:t xml:space="preserve"> </w:t>
      </w:r>
      <w:r w:rsidRPr="00216A71">
        <w:rPr>
          <w:rFonts w:cstheme="minorHAnsi"/>
          <w:szCs w:val="20"/>
        </w:rPr>
        <w:t>In the UK these comparisons have been badly done, not exposed to proper challenges and debate, and systematically biased in favour of PPPs</w:t>
      </w:r>
      <w:r w:rsidR="00A0154B">
        <w:rPr>
          <w:rFonts w:cstheme="minorHAnsi"/>
          <w:szCs w:val="20"/>
        </w:rPr>
        <w:t>.</w:t>
      </w:r>
      <w:r w:rsidRPr="00216A71">
        <w:rPr>
          <w:rFonts w:cstheme="minorHAnsi"/>
          <w:szCs w:val="20"/>
        </w:rPr>
        <w:t xml:space="preserve"> “</w:t>
      </w:r>
      <w:r w:rsidRPr="00216A71">
        <w:rPr>
          <w:rFonts w:cstheme="minorHAnsi"/>
          <w:bCs/>
          <w:szCs w:val="20"/>
        </w:rPr>
        <w:t>The use of PFI has been based on inadequate comparisons with conventional procurement which have not been sufficiently challenged.”</w:t>
      </w:r>
      <w:r w:rsidRPr="00216A71">
        <w:rPr>
          <w:rFonts w:cstheme="minorHAnsi"/>
          <w:bCs/>
          <w:szCs w:val="20"/>
          <w:vertAlign w:val="superscript"/>
        </w:rPr>
        <w:endnoteReference w:id="139"/>
      </w:r>
      <w:r w:rsidRPr="00216A71">
        <w:rPr>
          <w:rFonts w:cstheme="minorHAnsi"/>
          <w:bCs/>
          <w:szCs w:val="20"/>
        </w:rPr>
        <w:t xml:space="preserve"> </w:t>
      </w:r>
    </w:p>
    <w:p w:rsidR="000C629A" w:rsidRDefault="006B29F8" w:rsidP="006B29F8">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bCs/>
          <w:szCs w:val="20"/>
        </w:rPr>
        <w:t>“</w:t>
      </w:r>
      <w:r w:rsidR="00A0154B">
        <w:rPr>
          <w:rFonts w:cstheme="minorHAnsi"/>
          <w:szCs w:val="20"/>
        </w:rPr>
        <w:t>W</w:t>
      </w:r>
      <w:r w:rsidRPr="00216A71">
        <w:rPr>
          <w:rFonts w:cstheme="minorHAnsi"/>
          <w:szCs w:val="20"/>
        </w:rPr>
        <w:t>e are concerned that the VfM appraisal system is biased to favour PFI. Assuming that there will always be significant cost over-runs within the non-PFI option is one example of this bias</w:t>
      </w:r>
      <w:r w:rsidR="00A0154B">
        <w:rPr>
          <w:rFonts w:cstheme="minorHAnsi"/>
          <w:szCs w:val="20"/>
        </w:rPr>
        <w:t>…</w:t>
      </w:r>
      <w:r w:rsidRPr="00216A71">
        <w:rPr>
          <w:rFonts w:cstheme="minorHAnsi"/>
          <w:szCs w:val="20"/>
        </w:rPr>
        <w:t xml:space="preserve">. </w:t>
      </w:r>
      <w:r w:rsidR="00A0154B">
        <w:rPr>
          <w:rFonts w:cstheme="minorHAnsi"/>
          <w:szCs w:val="20"/>
        </w:rPr>
        <w:t xml:space="preserve"> </w:t>
      </w:r>
      <w:r w:rsidRPr="00216A71">
        <w:rPr>
          <w:rFonts w:cstheme="minorHAnsi"/>
          <w:szCs w:val="20"/>
        </w:rPr>
        <w:t>The Treasury should seek to ensure that all assumptions in the VfM assessment that favour PFI are based on objective and high quality evidence.”</w:t>
      </w:r>
      <w:r w:rsidRPr="00216A71">
        <w:rPr>
          <w:rFonts w:cstheme="minorHAnsi"/>
          <w:szCs w:val="20"/>
          <w:vertAlign w:val="superscript"/>
        </w:rPr>
        <w:endnoteReference w:id="140"/>
      </w:r>
      <w:r w:rsidR="004045AD">
        <w:rPr>
          <w:rFonts w:cstheme="minorHAnsi"/>
          <w:szCs w:val="20"/>
        </w:rPr>
        <w:t xml:space="preserve"> </w:t>
      </w:r>
    </w:p>
    <w:p w:rsidR="00A0154B" w:rsidRDefault="006B29F8" w:rsidP="006B29F8">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But, despite the biggest and longest programme of PPPs, the UK government has not collected data on actual performance, nor carried out a systematic evaluation of results</w:t>
      </w:r>
      <w:r w:rsidR="00A0154B">
        <w:rPr>
          <w:rFonts w:cstheme="minorHAnsi"/>
          <w:szCs w:val="20"/>
        </w:rPr>
        <w:t>.</w:t>
      </w:r>
      <w:r w:rsidRPr="00216A71">
        <w:rPr>
          <w:rFonts w:cstheme="minorHAnsi"/>
          <w:szCs w:val="20"/>
        </w:rPr>
        <w:t xml:space="preserve"> “There has not been a systematic value for money evaluation of operational PFI projects by departments. There is, therefore, insufficient data to demonstrate whether the use of private finance has led to better or worse value for money than other forms of procurement.”</w:t>
      </w:r>
      <w:r w:rsidRPr="00216A71">
        <w:rPr>
          <w:rFonts w:cstheme="minorHAnsi"/>
          <w:szCs w:val="20"/>
          <w:vertAlign w:val="superscript"/>
        </w:rPr>
        <w:endnoteReference w:id="141"/>
      </w:r>
      <w:r w:rsidR="004045AD">
        <w:rPr>
          <w:rFonts w:cstheme="minorHAnsi"/>
          <w:szCs w:val="20"/>
        </w:rPr>
        <w:t xml:space="preserve"> </w:t>
      </w:r>
    </w:p>
    <w:p w:rsidR="006B29F8" w:rsidRPr="00216A71" w:rsidRDefault="006B29F8" w:rsidP="006B29F8">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Despite so much experience, the government has not built up any expertise of its own to deal effectively with PPPs</w:t>
      </w:r>
      <w:r w:rsidR="00A0154B">
        <w:rPr>
          <w:rFonts w:cstheme="minorHAnsi"/>
          <w:szCs w:val="20"/>
        </w:rPr>
        <w:t>.</w:t>
      </w:r>
      <w:r w:rsidRPr="00216A71">
        <w:rPr>
          <w:rFonts w:cstheme="minorHAnsi"/>
          <w:szCs w:val="20"/>
        </w:rPr>
        <w:t xml:space="preserve"> “Departments should have developed commercial experience from using PFI but we still see some examples of projects and contracts which are clearly lacking in commercial awareness.”</w:t>
      </w:r>
      <w:r w:rsidRPr="00216A71">
        <w:rPr>
          <w:rFonts w:cstheme="minorHAnsi"/>
          <w:szCs w:val="20"/>
          <w:vertAlign w:val="superscript"/>
        </w:rPr>
        <w:endnoteReference w:id="142"/>
      </w:r>
      <w:r w:rsidRPr="00216A71">
        <w:rPr>
          <w:rFonts w:cstheme="minorHAnsi"/>
          <w:szCs w:val="20"/>
        </w:rPr>
        <w:t xml:space="preserve"> </w:t>
      </w:r>
    </w:p>
    <w:p w:rsidR="009F228C" w:rsidRPr="00216A71" w:rsidRDefault="009F228C" w:rsidP="00993CB2">
      <w:pPr>
        <w:pStyle w:val="Heading2"/>
        <w:rPr>
          <w:rFonts w:asciiTheme="minorHAnsi" w:hAnsiTheme="minorHAnsi" w:cstheme="minorHAnsi"/>
          <w:szCs w:val="20"/>
        </w:rPr>
      </w:pPr>
      <w:bookmarkStart w:id="146" w:name="_Toc210421220"/>
      <w:bookmarkStart w:id="147" w:name="_Toc210421222"/>
      <w:bookmarkStart w:id="148" w:name="_Toc210421223"/>
      <w:bookmarkStart w:id="149" w:name="_Toc210421224"/>
      <w:bookmarkStart w:id="150" w:name="_Toc392857542"/>
      <w:bookmarkEnd w:id="22"/>
      <w:bookmarkEnd w:id="78"/>
      <w:bookmarkEnd w:id="146"/>
      <w:bookmarkEnd w:id="147"/>
      <w:bookmarkEnd w:id="148"/>
      <w:bookmarkEnd w:id="149"/>
      <w:r w:rsidRPr="00216A71">
        <w:rPr>
          <w:rFonts w:asciiTheme="minorHAnsi" w:hAnsiTheme="minorHAnsi" w:cstheme="minorHAnsi"/>
          <w:szCs w:val="20"/>
        </w:rPr>
        <w:t>Cost of capital –</w:t>
      </w:r>
      <w:r w:rsidR="002A17DD" w:rsidRPr="00216A71">
        <w:rPr>
          <w:rFonts w:asciiTheme="minorHAnsi" w:hAnsiTheme="minorHAnsi" w:cstheme="minorHAnsi"/>
          <w:szCs w:val="20"/>
        </w:rPr>
        <w:t xml:space="preserve"> </w:t>
      </w:r>
      <w:r w:rsidRPr="00216A71">
        <w:rPr>
          <w:rFonts w:asciiTheme="minorHAnsi" w:hAnsiTheme="minorHAnsi" w:cstheme="minorHAnsi"/>
          <w:szCs w:val="20"/>
        </w:rPr>
        <w:t>cheaper through governments</w:t>
      </w:r>
      <w:bookmarkEnd w:id="150"/>
    </w:p>
    <w:p w:rsidR="000C629A" w:rsidRDefault="009F228C" w:rsidP="009F228C">
      <w:pPr>
        <w:rPr>
          <w:rFonts w:cstheme="minorHAnsi"/>
          <w:szCs w:val="20"/>
        </w:rPr>
      </w:pPr>
      <w:r w:rsidRPr="00216A71">
        <w:rPr>
          <w:rFonts w:cstheme="minorHAnsi"/>
          <w:szCs w:val="20"/>
        </w:rPr>
        <w:t>Governments can nearly always borrow money more cheaply than private companies or private individuals. This is because there is very little risk of defaults. Governments are always there, with large tax revenues whereas no private company is immune from the risk of going bankrupt.</w:t>
      </w:r>
      <w:r w:rsidR="004045AD">
        <w:rPr>
          <w:rFonts w:cstheme="minorHAnsi"/>
          <w:szCs w:val="20"/>
        </w:rPr>
        <w:t xml:space="preserve"> </w:t>
      </w:r>
      <w:r w:rsidRPr="00216A71">
        <w:rPr>
          <w:rFonts w:cstheme="minorHAnsi"/>
          <w:szCs w:val="20"/>
        </w:rPr>
        <w:t>Lending to private companies is therefore more risky, and so the interest rate is higher.</w:t>
      </w:r>
    </w:p>
    <w:p w:rsidR="000C629A" w:rsidRDefault="009F228C" w:rsidP="009F228C">
      <w:pPr>
        <w:rPr>
          <w:rFonts w:cstheme="minorHAnsi"/>
          <w:szCs w:val="20"/>
        </w:rPr>
      </w:pPr>
      <w:r w:rsidRPr="00216A71">
        <w:rPr>
          <w:rFonts w:cstheme="minorHAnsi"/>
          <w:szCs w:val="20"/>
        </w:rPr>
        <w:t>The OECD, the IMF and the senior economics journalist on the Financial Times</w:t>
      </w:r>
      <w:r w:rsidR="004045AD">
        <w:rPr>
          <w:rFonts w:cstheme="minorHAnsi"/>
          <w:szCs w:val="20"/>
        </w:rPr>
        <w:t xml:space="preserve"> </w:t>
      </w:r>
      <w:r w:rsidRPr="00216A71">
        <w:rPr>
          <w:rFonts w:cstheme="minorHAnsi"/>
          <w:szCs w:val="20"/>
        </w:rPr>
        <w:t>all state this very clearly:</w:t>
      </w:r>
    </w:p>
    <w:p w:rsidR="000C629A" w:rsidRDefault="009F228C" w:rsidP="00781FBC">
      <w:pPr>
        <w:pStyle w:val="ListParagraph"/>
        <w:numPr>
          <w:ilvl w:val="0"/>
          <w:numId w:val="56"/>
        </w:numPr>
        <w:rPr>
          <w:rFonts w:cstheme="minorHAnsi"/>
          <w:szCs w:val="20"/>
        </w:rPr>
      </w:pPr>
      <w:r w:rsidRPr="00216A71">
        <w:rPr>
          <w:rFonts w:cstheme="minorHAnsi"/>
          <w:szCs w:val="20"/>
        </w:rPr>
        <w:lastRenderedPageBreak/>
        <w:t>OECD 2008: “</w:t>
      </w:r>
      <w:r w:rsidR="00A0154B">
        <w:rPr>
          <w:rFonts w:cstheme="minorHAnsi"/>
          <w:szCs w:val="20"/>
        </w:rPr>
        <w:t>T</w:t>
      </w:r>
      <w:r w:rsidRPr="00216A71">
        <w:rPr>
          <w:rFonts w:cstheme="minorHAnsi"/>
          <w:szCs w:val="20"/>
        </w:rPr>
        <w:t>he cost of capital of the private partner is usually higher than that of government, i.e. the interest rate on private sector loans usually exceed the interest rate on public sector loans</w:t>
      </w:r>
      <w:r w:rsidR="00A0154B">
        <w:rPr>
          <w:rFonts w:cstheme="minorHAnsi"/>
          <w:szCs w:val="20"/>
        </w:rPr>
        <w:t>…</w:t>
      </w:r>
      <w:r w:rsidRPr="00216A71">
        <w:rPr>
          <w:rFonts w:cstheme="minorHAnsi"/>
          <w:szCs w:val="20"/>
        </w:rPr>
        <w:t>. If the efficiency gain of a PPP falls short of the additional interest cost, the minimum</w:t>
      </w:r>
      <w:r w:rsidR="004045AD">
        <w:rPr>
          <w:rFonts w:cstheme="minorHAnsi"/>
          <w:szCs w:val="20"/>
        </w:rPr>
        <w:t xml:space="preserve"> </w:t>
      </w:r>
      <w:r w:rsidRPr="00216A71">
        <w:rPr>
          <w:rFonts w:cstheme="minorHAnsi"/>
          <w:szCs w:val="20"/>
        </w:rPr>
        <w:t>unit price at which the private partner can deliver the service will not be lower than the price government will pay in the case of traditional procurement.”</w:t>
      </w:r>
      <w:r w:rsidRPr="00216A71">
        <w:rPr>
          <w:rStyle w:val="EndnoteReference"/>
          <w:rFonts w:cstheme="minorHAnsi"/>
          <w:szCs w:val="20"/>
        </w:rPr>
        <w:endnoteReference w:id="143"/>
      </w:r>
    </w:p>
    <w:p w:rsidR="000C629A" w:rsidRDefault="009F228C" w:rsidP="00781FBC">
      <w:pPr>
        <w:pStyle w:val="ListParagraph"/>
        <w:numPr>
          <w:ilvl w:val="0"/>
          <w:numId w:val="56"/>
        </w:numPr>
        <w:rPr>
          <w:rFonts w:cstheme="minorHAnsi"/>
          <w:szCs w:val="20"/>
        </w:rPr>
      </w:pPr>
      <w:r w:rsidRPr="00216A71">
        <w:rPr>
          <w:rFonts w:cstheme="minorHAnsi"/>
          <w:szCs w:val="20"/>
        </w:rPr>
        <w:t>IMF 2004</w:t>
      </w:r>
      <w:r w:rsidR="00A0154B">
        <w:rPr>
          <w:rFonts w:cstheme="minorHAnsi"/>
          <w:szCs w:val="20"/>
        </w:rPr>
        <w:t>:</w:t>
      </w:r>
      <w:r w:rsidRPr="00216A71">
        <w:rPr>
          <w:rFonts w:cstheme="minorHAnsi"/>
          <w:szCs w:val="20"/>
        </w:rPr>
        <w:t xml:space="preserve"> “The government’s power to tax reduces the likelihood that it will default on its debt, and the private sector is therefore prepared to lend to the government at close to the risk-free interest rate to finance risky projects. This being the case, when PPPs result in private borrowing being substituted for government borrowing, financing costs will in most cases rise even if project risk is lower in the private sector. Then the key issue is whether PPPs result in efficiency gains that more than offset higher private sector borrowing costs.” </w:t>
      </w:r>
      <w:r w:rsidRPr="00216A71">
        <w:rPr>
          <w:rStyle w:val="EndnoteReference"/>
          <w:rFonts w:cstheme="minorHAnsi"/>
          <w:b/>
          <w:szCs w:val="20"/>
        </w:rPr>
        <w:endnoteReference w:id="144"/>
      </w:r>
    </w:p>
    <w:p w:rsidR="000C629A" w:rsidRDefault="009F228C" w:rsidP="00781FBC">
      <w:pPr>
        <w:pStyle w:val="ListParagraph"/>
        <w:numPr>
          <w:ilvl w:val="0"/>
          <w:numId w:val="56"/>
        </w:numPr>
        <w:rPr>
          <w:rFonts w:cstheme="minorHAnsi"/>
          <w:szCs w:val="20"/>
        </w:rPr>
      </w:pPr>
      <w:r w:rsidRPr="00216A71">
        <w:rPr>
          <w:rFonts w:cstheme="minorHAnsi"/>
          <w:szCs w:val="20"/>
        </w:rPr>
        <w:t>Martin Wolf 2008:</w:t>
      </w:r>
      <w:r w:rsidR="004045AD">
        <w:rPr>
          <w:rFonts w:cstheme="minorHAnsi"/>
          <w:szCs w:val="20"/>
        </w:rPr>
        <w:t xml:space="preserve"> </w:t>
      </w:r>
      <w:r w:rsidRPr="00216A71">
        <w:rPr>
          <w:rFonts w:cstheme="minorHAnsi"/>
          <w:szCs w:val="20"/>
        </w:rPr>
        <w:t>“</w:t>
      </w:r>
      <w:r w:rsidR="00A0154B">
        <w:rPr>
          <w:rFonts w:cstheme="minorHAnsi"/>
          <w:szCs w:val="20"/>
        </w:rPr>
        <w:t>I</w:t>
      </w:r>
      <w:r w:rsidRPr="00216A71">
        <w:rPr>
          <w:rFonts w:cstheme="minorHAnsi"/>
          <w:szCs w:val="20"/>
        </w:rPr>
        <w:t>t seems obvious that the finance of assets is a suitable function for the public sector, which has one huge advantage</w:t>
      </w:r>
      <w:r w:rsidR="004045AD">
        <w:rPr>
          <w:rFonts w:cstheme="minorHAnsi"/>
          <w:szCs w:val="20"/>
        </w:rPr>
        <w:t xml:space="preserve"> – </w:t>
      </w:r>
      <w:r w:rsidRPr="00216A71">
        <w:rPr>
          <w:rFonts w:cstheme="minorHAnsi"/>
          <w:szCs w:val="20"/>
        </w:rPr>
        <w:t>the ability to borrow cheaply….”</w:t>
      </w:r>
      <w:r w:rsidRPr="00216A71">
        <w:rPr>
          <w:rStyle w:val="EndnoteReference"/>
          <w:rFonts w:cstheme="minorHAnsi"/>
          <w:szCs w:val="20"/>
        </w:rPr>
        <w:endnoteReference w:id="145"/>
      </w:r>
      <w:bookmarkStart w:id="151" w:name="_Toc210425587"/>
      <w:bookmarkStart w:id="152" w:name="_Toc210426044"/>
      <w:bookmarkStart w:id="153" w:name="_Toc210425589"/>
      <w:bookmarkStart w:id="154" w:name="_Toc210426046"/>
      <w:bookmarkStart w:id="155" w:name="_Toc210425590"/>
      <w:bookmarkStart w:id="156" w:name="_Toc210426047"/>
      <w:bookmarkStart w:id="157" w:name="_Toc210425591"/>
      <w:bookmarkStart w:id="158" w:name="_Toc210426048"/>
      <w:bookmarkStart w:id="159" w:name="_Toc210425592"/>
      <w:bookmarkStart w:id="160" w:name="_Toc210426049"/>
      <w:bookmarkStart w:id="161" w:name="_Toc210425594"/>
      <w:bookmarkStart w:id="162" w:name="_Toc210426051"/>
      <w:bookmarkStart w:id="163" w:name="_Toc210425597"/>
      <w:bookmarkStart w:id="164" w:name="_Toc210426054"/>
      <w:bookmarkStart w:id="165" w:name="_Toc210425599"/>
      <w:bookmarkStart w:id="166" w:name="_Toc210426056"/>
      <w:bookmarkStart w:id="167" w:name="_Toc210425600"/>
      <w:bookmarkStart w:id="168" w:name="_Toc210426057"/>
      <w:bookmarkStart w:id="169" w:name="_Toc210425601"/>
      <w:bookmarkStart w:id="170" w:name="_Toc210426058"/>
      <w:bookmarkStart w:id="171" w:name="_Toc210425604"/>
      <w:bookmarkStart w:id="172" w:name="_Toc210426061"/>
      <w:bookmarkStart w:id="173" w:name="_Toc210425606"/>
      <w:bookmarkStart w:id="174" w:name="_Toc210426063"/>
      <w:bookmarkStart w:id="175" w:name="_Toc210425607"/>
      <w:bookmarkStart w:id="176" w:name="_Toc210426064"/>
      <w:bookmarkStart w:id="177" w:name="_Toc210425608"/>
      <w:bookmarkStart w:id="178" w:name="_Toc210426065"/>
      <w:bookmarkStart w:id="179" w:name="_Toc210425609"/>
      <w:bookmarkStart w:id="180" w:name="_Toc210426066"/>
      <w:bookmarkStart w:id="181" w:name="_Toc210425612"/>
      <w:bookmarkStart w:id="182" w:name="_Toc210426069"/>
      <w:bookmarkStart w:id="183" w:name="_Toc210425640"/>
      <w:bookmarkStart w:id="184" w:name="_Toc210426097"/>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E87F01" w:rsidRPr="00216A71" w:rsidRDefault="00E87F01" w:rsidP="009F228C">
      <w:pPr>
        <w:rPr>
          <w:rFonts w:cstheme="minorHAnsi"/>
          <w:szCs w:val="20"/>
        </w:rPr>
      </w:pPr>
      <w:r w:rsidRPr="00216A71">
        <w:rPr>
          <w:rFonts w:cstheme="minorHAnsi"/>
          <w:szCs w:val="20"/>
        </w:rPr>
        <w:t>The evidence from</w:t>
      </w:r>
      <w:r w:rsidR="004045AD">
        <w:rPr>
          <w:rFonts w:cstheme="minorHAnsi"/>
          <w:szCs w:val="20"/>
        </w:rPr>
        <w:t xml:space="preserve"> </w:t>
      </w:r>
      <w:r w:rsidRPr="00216A71">
        <w:rPr>
          <w:rFonts w:cstheme="minorHAnsi"/>
          <w:szCs w:val="20"/>
        </w:rPr>
        <w:t>the UK and the USA</w:t>
      </w:r>
      <w:r w:rsidR="004045AD">
        <w:rPr>
          <w:rFonts w:cstheme="minorHAnsi"/>
          <w:szCs w:val="20"/>
        </w:rPr>
        <w:t xml:space="preserve"> </w:t>
      </w:r>
      <w:r w:rsidRPr="00216A71">
        <w:rPr>
          <w:rFonts w:cstheme="minorHAnsi"/>
          <w:szCs w:val="20"/>
        </w:rPr>
        <w:t xml:space="preserve">shows </w:t>
      </w:r>
      <w:r w:rsidR="00993CB2" w:rsidRPr="00216A71">
        <w:rPr>
          <w:rFonts w:cstheme="minorHAnsi"/>
          <w:szCs w:val="20"/>
        </w:rPr>
        <w:t xml:space="preserve">this differential in practice in high income countries. And the </w:t>
      </w:r>
      <w:r w:rsidRPr="00216A71">
        <w:rPr>
          <w:rFonts w:cstheme="minorHAnsi"/>
          <w:szCs w:val="20"/>
        </w:rPr>
        <w:t xml:space="preserve">same is true in developing countries. This is why PPPs in Brazil and Indonesia, for example, are only viable if the states provide loans and guarantees, because they are more credit-worthy than the private companies. When two of the largest multinationals in the world, Shell and Bechtel, set up a private power station in the Philippines, their credit rating was </w:t>
      </w:r>
      <w:r w:rsidR="00A0154B">
        <w:rPr>
          <w:rFonts w:cstheme="minorHAnsi"/>
          <w:szCs w:val="20"/>
        </w:rPr>
        <w:t xml:space="preserve">bolstered by </w:t>
      </w:r>
      <w:r w:rsidRPr="00216A71">
        <w:rPr>
          <w:rFonts w:cstheme="minorHAnsi"/>
          <w:szCs w:val="20"/>
        </w:rPr>
        <w:t>the Philippine government – the multinationals could not get bank loans for the project without the government guarantee.</w:t>
      </w:r>
      <w:r w:rsidR="004045AD">
        <w:rPr>
          <w:rFonts w:cstheme="minorHAnsi"/>
          <w:szCs w:val="20"/>
        </w:rPr>
        <w:t xml:space="preserve"> </w:t>
      </w:r>
    </w:p>
    <w:p w:rsidR="009F228C" w:rsidRPr="00216A71" w:rsidRDefault="009F228C" w:rsidP="009F228C">
      <w:pPr>
        <w:pStyle w:val="Heading3"/>
        <w:rPr>
          <w:rFonts w:asciiTheme="minorHAnsi" w:hAnsiTheme="minorHAnsi" w:cstheme="minorHAnsi"/>
          <w:szCs w:val="20"/>
        </w:rPr>
      </w:pPr>
      <w:bookmarkStart w:id="185" w:name="_Toc355878512"/>
      <w:r w:rsidRPr="00216A71">
        <w:rPr>
          <w:rFonts w:asciiTheme="minorHAnsi" w:hAnsiTheme="minorHAnsi" w:cstheme="minorHAnsi"/>
          <w:szCs w:val="20"/>
        </w:rPr>
        <w:t>UK</w:t>
      </w:r>
      <w:bookmarkEnd w:id="185"/>
    </w:p>
    <w:p w:rsidR="009F228C" w:rsidRPr="00216A71" w:rsidRDefault="009F228C" w:rsidP="009F228C">
      <w:pPr>
        <w:rPr>
          <w:rFonts w:cstheme="minorHAnsi"/>
          <w:szCs w:val="20"/>
        </w:rPr>
      </w:pPr>
      <w:r w:rsidRPr="00216A71">
        <w:rPr>
          <w:rFonts w:cstheme="minorHAnsi"/>
          <w:szCs w:val="20"/>
        </w:rPr>
        <w:t>In 2011 a representative of the UK private companies involved in PPPs estimated that the average extra cost of private sector capital over conventional borrowing had been 2.2 per cent a year. The Financial Times calculated that this means that the UK taxpayer</w:t>
      </w:r>
      <w:r w:rsidR="004045AD">
        <w:rPr>
          <w:rFonts w:cstheme="minorHAnsi"/>
          <w:szCs w:val="20"/>
        </w:rPr>
        <w:t xml:space="preserve"> </w:t>
      </w:r>
      <w:r w:rsidRPr="00216A71">
        <w:rPr>
          <w:rFonts w:cstheme="minorHAnsi"/>
          <w:szCs w:val="20"/>
        </w:rPr>
        <w:t>“is paying well over £20</w:t>
      </w:r>
      <w:r w:rsidR="00A0154B">
        <w:rPr>
          <w:rFonts w:cstheme="minorHAnsi"/>
          <w:szCs w:val="20"/>
        </w:rPr>
        <w:t xml:space="preserve"> </w:t>
      </w:r>
      <w:r w:rsidRPr="00216A71">
        <w:rPr>
          <w:rFonts w:cstheme="minorHAnsi"/>
          <w:szCs w:val="20"/>
        </w:rPr>
        <w:t>b</w:t>
      </w:r>
      <w:r w:rsidR="00A0154B">
        <w:rPr>
          <w:rFonts w:cstheme="minorHAnsi"/>
          <w:szCs w:val="20"/>
        </w:rPr>
        <w:t>illio</w:t>
      </w:r>
      <w:r w:rsidRPr="00216A71">
        <w:rPr>
          <w:rFonts w:cstheme="minorHAnsi"/>
          <w:szCs w:val="20"/>
        </w:rPr>
        <w:t>n in extra borrowing costs – the equivalent of more than 40 sizeable new hospitals – for the 700 projects that successive governments have acquired under the private finance initiative....”</w:t>
      </w:r>
      <w:r w:rsidRPr="00216A71">
        <w:rPr>
          <w:rStyle w:val="EndnoteReference"/>
          <w:rFonts w:cstheme="minorHAnsi"/>
          <w:szCs w:val="20"/>
        </w:rPr>
        <w:endnoteReference w:id="146"/>
      </w:r>
    </w:p>
    <w:p w:rsidR="000C629A" w:rsidRDefault="009F228C" w:rsidP="009F228C">
      <w:pPr>
        <w:rPr>
          <w:rFonts w:cstheme="minorHAnsi"/>
          <w:szCs w:val="20"/>
        </w:rPr>
      </w:pPr>
      <w:r w:rsidRPr="00216A71">
        <w:rPr>
          <w:rFonts w:cstheme="minorHAnsi"/>
          <w:szCs w:val="20"/>
        </w:rPr>
        <w:t>The gap is now larger, with the cost of PPP finance estimated as 8</w:t>
      </w:r>
      <w:r w:rsidR="00A42FDE">
        <w:rPr>
          <w:rFonts w:cstheme="minorHAnsi"/>
          <w:szCs w:val="20"/>
        </w:rPr>
        <w:t xml:space="preserve"> per cent</w:t>
      </w:r>
      <w:r w:rsidRPr="00216A71">
        <w:rPr>
          <w:rFonts w:cstheme="minorHAnsi"/>
          <w:szCs w:val="20"/>
        </w:rPr>
        <w:t>, compared with government bonds at 4</w:t>
      </w:r>
      <w:r w:rsidR="00A42FDE">
        <w:rPr>
          <w:rFonts w:cstheme="minorHAnsi"/>
          <w:szCs w:val="20"/>
        </w:rPr>
        <w:t xml:space="preserve"> per cent</w:t>
      </w:r>
      <w:r w:rsidR="00A0154B">
        <w:rPr>
          <w:rFonts w:cstheme="minorHAnsi"/>
          <w:szCs w:val="20"/>
        </w:rPr>
        <w:t>.</w:t>
      </w:r>
      <w:r w:rsidRPr="00216A71">
        <w:rPr>
          <w:rFonts w:cstheme="minorHAnsi"/>
          <w:szCs w:val="20"/>
        </w:rPr>
        <w:t xml:space="preserve"> “</w:t>
      </w:r>
      <w:r w:rsidR="00A0154B">
        <w:rPr>
          <w:rFonts w:cstheme="minorHAnsi"/>
          <w:szCs w:val="20"/>
        </w:rPr>
        <w:t>T</w:t>
      </w:r>
      <w:r w:rsidRPr="00216A71">
        <w:rPr>
          <w:rFonts w:cstheme="minorHAnsi"/>
          <w:szCs w:val="20"/>
        </w:rPr>
        <w:t>he difference between direct government funding and the cost of this finance has increased significantly since the financial crisis. The substantial increase in private finance costs means that the PFI financing method is now extremely inefficient. Recent data suggests that the weighted average cost of capital of a PFI is double that of government gilts</w:t>
      </w:r>
      <w:r w:rsidR="00851810">
        <w:rPr>
          <w:rFonts w:cstheme="minorHAnsi"/>
          <w:szCs w:val="20"/>
        </w:rPr>
        <w:t xml:space="preserve"> (bonds issued by the UK government)</w:t>
      </w:r>
      <w:r w:rsidRPr="00216A71">
        <w:rPr>
          <w:rFonts w:cstheme="minorHAnsi"/>
          <w:szCs w:val="20"/>
        </w:rPr>
        <w:t>.”</w:t>
      </w:r>
      <w:r w:rsidRPr="00216A71">
        <w:rPr>
          <w:rStyle w:val="EndnoteReference"/>
          <w:rFonts w:cstheme="minorHAnsi"/>
          <w:szCs w:val="20"/>
        </w:rPr>
        <w:endnoteReference w:id="147"/>
      </w:r>
    </w:p>
    <w:p w:rsidR="000C629A" w:rsidRDefault="009F228C" w:rsidP="009F228C">
      <w:pPr>
        <w:rPr>
          <w:rFonts w:cstheme="minorHAnsi"/>
          <w:szCs w:val="20"/>
        </w:rPr>
      </w:pPr>
      <w:r w:rsidRPr="00216A71">
        <w:rPr>
          <w:rFonts w:cstheme="minorHAnsi"/>
          <w:szCs w:val="20"/>
        </w:rPr>
        <w:t>In August 2011</w:t>
      </w:r>
      <w:r w:rsidR="0073642F" w:rsidRPr="00216A71">
        <w:rPr>
          <w:rFonts w:cstheme="minorHAnsi"/>
          <w:szCs w:val="20"/>
        </w:rPr>
        <w:t xml:space="preserve"> </w:t>
      </w:r>
      <w:r w:rsidRPr="00216A71">
        <w:rPr>
          <w:rFonts w:cstheme="minorHAnsi"/>
          <w:szCs w:val="20"/>
        </w:rPr>
        <w:t>the parliamentary select committee monitoring the Treasury concluded that this was an expensive and wasteful way of financing infrastructure investment. They recommended not only that the PFI system should be ended, but also that the government should take over the financing of existing PPPs</w:t>
      </w:r>
      <w:r w:rsidR="004045AD">
        <w:rPr>
          <w:rFonts w:cstheme="minorHAnsi"/>
          <w:szCs w:val="20"/>
        </w:rPr>
        <w:t xml:space="preserve"> – </w:t>
      </w:r>
      <w:r w:rsidRPr="00216A71">
        <w:rPr>
          <w:rFonts w:cstheme="minorHAnsi"/>
          <w:szCs w:val="20"/>
        </w:rPr>
        <w:t>effectively renationalising them</w:t>
      </w:r>
      <w:r w:rsidR="004045AD">
        <w:rPr>
          <w:rFonts w:cstheme="minorHAnsi"/>
          <w:szCs w:val="20"/>
        </w:rPr>
        <w:t xml:space="preserve"> – </w:t>
      </w:r>
      <w:r w:rsidRPr="00216A71">
        <w:rPr>
          <w:rFonts w:cstheme="minorHAnsi"/>
          <w:szCs w:val="20"/>
        </w:rPr>
        <w:t xml:space="preserve">because it would lead to a large </w:t>
      </w:r>
      <w:r w:rsidRPr="00216A71">
        <w:rPr>
          <w:rFonts w:cstheme="minorHAnsi"/>
          <w:i/>
          <w:szCs w:val="20"/>
        </w:rPr>
        <w:t>reduction</w:t>
      </w:r>
      <w:r w:rsidRPr="00216A71">
        <w:rPr>
          <w:rFonts w:cstheme="minorHAnsi"/>
          <w:szCs w:val="20"/>
        </w:rPr>
        <w:t xml:space="preserve"> in costs:</w:t>
      </w:r>
    </w:p>
    <w:p w:rsidR="000C629A" w:rsidRDefault="009F228C" w:rsidP="00781FBC">
      <w:pPr>
        <w:numPr>
          <w:ilvl w:val="0"/>
          <w:numId w:val="24"/>
        </w:numPr>
        <w:ind w:left="360"/>
        <w:rPr>
          <w:rFonts w:cstheme="minorHAnsi"/>
          <w:szCs w:val="20"/>
        </w:rPr>
      </w:pPr>
      <w:r w:rsidRPr="00216A71">
        <w:rPr>
          <w:rFonts w:cstheme="minorHAnsi"/>
          <w:szCs w:val="20"/>
        </w:rPr>
        <w:t>“The price of finance is significantly higher with a PFI. The financial cost of repaying the capital investment of PFI investors is therefore considerably greater than the equivalent repayment of direct government investment</w:t>
      </w:r>
      <w:r w:rsidR="00851810">
        <w:rPr>
          <w:rFonts w:cstheme="minorHAnsi"/>
          <w:szCs w:val="20"/>
        </w:rPr>
        <w:t>…</w:t>
      </w:r>
      <w:r w:rsidRPr="00216A71">
        <w:rPr>
          <w:rFonts w:cstheme="minorHAnsi"/>
          <w:szCs w:val="20"/>
        </w:rPr>
        <w:t>. Recent data suggests that the weighted average cost of capital of a PFI is double that of government gilts</w:t>
      </w:r>
      <w:r w:rsidR="00851810">
        <w:rPr>
          <w:rFonts w:cstheme="minorHAnsi"/>
          <w:szCs w:val="20"/>
        </w:rPr>
        <w:t xml:space="preserve">…. </w:t>
      </w:r>
      <w:r w:rsidRPr="00216A71">
        <w:rPr>
          <w:rFonts w:cstheme="minorHAnsi"/>
          <w:szCs w:val="20"/>
        </w:rPr>
        <w:t>We have not seen evidence to suggest that this inefficient method of financing has been offset by the perceived benefits of PFI from increased risk transfer. On the contrary there is evidence of the opposite</w:t>
      </w:r>
      <w:r w:rsidR="00851810">
        <w:rPr>
          <w:rFonts w:cstheme="minorHAnsi"/>
          <w:szCs w:val="20"/>
        </w:rPr>
        <w:t>.</w:t>
      </w:r>
      <w:r w:rsidR="0073642F" w:rsidRPr="00216A71">
        <w:rPr>
          <w:rFonts w:cstheme="minorHAnsi"/>
          <w:szCs w:val="20"/>
        </w:rPr>
        <w:t>”</w:t>
      </w:r>
    </w:p>
    <w:p w:rsidR="009F228C" w:rsidRPr="00216A71" w:rsidRDefault="009F228C" w:rsidP="00781FBC">
      <w:pPr>
        <w:numPr>
          <w:ilvl w:val="0"/>
          <w:numId w:val="24"/>
        </w:numPr>
        <w:ind w:left="360"/>
        <w:rPr>
          <w:rFonts w:cstheme="minorHAnsi"/>
          <w:szCs w:val="20"/>
        </w:rPr>
      </w:pPr>
      <w:r w:rsidRPr="00216A71">
        <w:rPr>
          <w:rFonts w:cstheme="minorHAnsi"/>
          <w:szCs w:val="20"/>
        </w:rPr>
        <w:t>“The most straightforward way of dealing with current PFI contracts is for the government to buy up the debt (and possibly also the equity) once the construction stage is over. This would result in an increase in the headline level of government debt but…. it would become more affordable to service the visible government debt rather than the hidden PFI debt. Every one percentage point reduction in the interest rate paid on the estimated £40 billion of PFI debt would realise annual savings of £400 million.”</w:t>
      </w:r>
      <w:r w:rsidRPr="00216A71">
        <w:rPr>
          <w:rFonts w:cstheme="minorHAnsi"/>
          <w:szCs w:val="20"/>
          <w:vertAlign w:val="superscript"/>
        </w:rPr>
        <w:endnoteReference w:id="148"/>
      </w:r>
    </w:p>
    <w:p w:rsidR="009F228C" w:rsidRPr="00216A71" w:rsidRDefault="009F228C" w:rsidP="009F228C">
      <w:pPr>
        <w:pStyle w:val="Heading8"/>
        <w:rPr>
          <w:rFonts w:asciiTheme="minorHAnsi" w:hAnsiTheme="minorHAnsi" w:cstheme="minorHAnsi"/>
          <w:szCs w:val="20"/>
        </w:rPr>
      </w:pPr>
      <w:r w:rsidRPr="00216A71">
        <w:rPr>
          <w:rFonts w:asciiTheme="minorHAnsi" w:hAnsiTheme="minorHAnsi" w:cstheme="minorHAnsi"/>
          <w:szCs w:val="20"/>
        </w:rPr>
        <w:t xml:space="preserve">The gap in interest rates for UK school buildings: PFI and government </w:t>
      </w:r>
    </w:p>
    <w:p w:rsidR="009F228C" w:rsidRPr="00216A71" w:rsidRDefault="009F228C" w:rsidP="009F228C">
      <w:pPr>
        <w:rPr>
          <w:rFonts w:cstheme="minorHAnsi"/>
          <w:szCs w:val="20"/>
        </w:rPr>
      </w:pPr>
      <w:r w:rsidRPr="00216A71">
        <w:rPr>
          <w:rFonts w:cstheme="minorHAnsi"/>
          <w:noProof/>
          <w:szCs w:val="20"/>
          <w:lang w:eastAsia="en-GB"/>
        </w:rPr>
        <w:lastRenderedPageBreak/>
        <w:drawing>
          <wp:inline distT="0" distB="0" distL="0" distR="0" wp14:anchorId="3A873F60" wp14:editId="719717EB">
            <wp:extent cx="3734440" cy="2727420"/>
            <wp:effectExtent l="95250" t="95250" r="113665" b="1111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5"/>
                    <pic:cNvPicPr>
                      <a:picLocks noChangeAspect="1" noChangeArrowheads="1"/>
                    </pic:cNvPicPr>
                  </pic:nvPicPr>
                  <pic:blipFill>
                    <a:blip r:embed="rId141" cstate="print">
                      <a:extLst/>
                    </a:blip>
                    <a:srcRect/>
                    <a:stretch>
                      <a:fillRect/>
                    </a:stretch>
                  </pic:blipFill>
                  <pic:spPr bwMode="auto">
                    <a:xfrm>
                      <a:off x="0" y="0"/>
                      <a:ext cx="3749863" cy="2738684"/>
                    </a:xfrm>
                    <a:prstGeom prst="rect">
                      <a:avLst/>
                    </a:prstGeom>
                    <a:solidFill>
                      <a:schemeClr val="bg1"/>
                    </a:solidFill>
                    <a:ln w="38100">
                      <a:solidFill>
                        <a:schemeClr val="accent2">
                          <a:lumMod val="75000"/>
                        </a:schemeClr>
                      </a:solidFill>
                      <a:miter lim="800000"/>
                      <a:headEnd/>
                      <a:tailEn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C629A" w:rsidRDefault="00993CB2" w:rsidP="009F228C">
      <w:pPr>
        <w:rPr>
          <w:rFonts w:cstheme="minorHAnsi"/>
          <w:iCs/>
          <w:szCs w:val="20"/>
        </w:rPr>
      </w:pPr>
      <w:r w:rsidRPr="00216A71">
        <w:rPr>
          <w:rFonts w:cstheme="minorHAnsi"/>
          <w:iCs/>
          <w:szCs w:val="20"/>
        </w:rPr>
        <w:t>Source: UK Treasury Select Committee 2011</w:t>
      </w:r>
      <w:r w:rsidRPr="00216A71">
        <w:rPr>
          <w:rFonts w:cstheme="minorHAnsi"/>
          <w:szCs w:val="20"/>
          <w:vertAlign w:val="superscript"/>
        </w:rPr>
        <w:endnoteReference w:id="149"/>
      </w:r>
    </w:p>
    <w:p w:rsidR="009F228C" w:rsidRPr="00216A71" w:rsidRDefault="009F228C" w:rsidP="009F228C">
      <w:pPr>
        <w:pStyle w:val="Heading3"/>
        <w:rPr>
          <w:rFonts w:asciiTheme="minorHAnsi" w:hAnsiTheme="minorHAnsi" w:cstheme="minorHAnsi"/>
          <w:szCs w:val="20"/>
        </w:rPr>
      </w:pPr>
      <w:bookmarkStart w:id="186" w:name="_Toc355878513"/>
      <w:r w:rsidRPr="00216A71">
        <w:rPr>
          <w:rFonts w:asciiTheme="minorHAnsi" w:hAnsiTheme="minorHAnsi" w:cstheme="minorHAnsi"/>
          <w:szCs w:val="20"/>
        </w:rPr>
        <w:t>USA</w:t>
      </w:r>
      <w:bookmarkEnd w:id="186"/>
    </w:p>
    <w:p w:rsidR="009F228C" w:rsidRPr="00216A71" w:rsidRDefault="009F228C" w:rsidP="009F228C">
      <w:pPr>
        <w:rPr>
          <w:rFonts w:cstheme="minorHAnsi"/>
          <w:szCs w:val="20"/>
        </w:rPr>
      </w:pPr>
      <w:r w:rsidRPr="00216A71">
        <w:rPr>
          <w:rFonts w:cstheme="minorHAnsi"/>
          <w:szCs w:val="20"/>
        </w:rPr>
        <w:t>A new report on PPPs in water in the USA compares the total cost of financing the same amount of infrastructure through public borrowing and private finance. Private finance costs between 50</w:t>
      </w:r>
      <w:r w:rsidR="00A42FDE">
        <w:rPr>
          <w:rFonts w:cstheme="minorHAnsi"/>
          <w:szCs w:val="20"/>
        </w:rPr>
        <w:t xml:space="preserve"> per cent</w:t>
      </w:r>
      <w:r w:rsidRPr="00216A71">
        <w:rPr>
          <w:rFonts w:cstheme="minorHAnsi"/>
          <w:szCs w:val="20"/>
        </w:rPr>
        <w:t xml:space="preserve"> and 150</w:t>
      </w:r>
      <w:r w:rsidR="00A42FDE">
        <w:rPr>
          <w:rFonts w:cstheme="minorHAnsi"/>
          <w:szCs w:val="20"/>
        </w:rPr>
        <w:t xml:space="preserve"> per cent</w:t>
      </w:r>
      <w:r w:rsidRPr="00216A71">
        <w:rPr>
          <w:rFonts w:cstheme="minorHAnsi"/>
          <w:szCs w:val="20"/>
        </w:rPr>
        <w:t xml:space="preserve"> more. In Rialto, California, the annual cost of private finance in a new water concession PPP is $16</w:t>
      </w:r>
      <w:r w:rsidR="00851810">
        <w:rPr>
          <w:rFonts w:cstheme="minorHAnsi"/>
          <w:szCs w:val="20"/>
        </w:rPr>
        <w:t xml:space="preserve"> </w:t>
      </w:r>
      <w:r w:rsidRPr="00216A71">
        <w:rPr>
          <w:rFonts w:cstheme="minorHAnsi"/>
          <w:szCs w:val="20"/>
        </w:rPr>
        <w:t>m</w:t>
      </w:r>
      <w:r w:rsidR="00851810">
        <w:rPr>
          <w:rFonts w:cstheme="minorHAnsi"/>
          <w:szCs w:val="20"/>
        </w:rPr>
        <w:t>illion</w:t>
      </w:r>
      <w:r w:rsidRPr="00216A71">
        <w:rPr>
          <w:rFonts w:cstheme="minorHAnsi"/>
          <w:szCs w:val="20"/>
        </w:rPr>
        <w:t>, more than double the cost of financing the same debt and investment by the public authority.</w:t>
      </w:r>
    </w:p>
    <w:p w:rsidR="009F228C" w:rsidRPr="00216A71" w:rsidRDefault="009F228C" w:rsidP="009F228C">
      <w:pPr>
        <w:pStyle w:val="Heading8"/>
        <w:rPr>
          <w:rFonts w:asciiTheme="minorHAnsi" w:hAnsiTheme="minorHAnsi" w:cstheme="minorHAnsi"/>
          <w:szCs w:val="20"/>
        </w:rPr>
      </w:pPr>
      <w:r w:rsidRPr="00216A71">
        <w:rPr>
          <w:rFonts w:asciiTheme="minorHAnsi" w:hAnsiTheme="minorHAnsi" w:cstheme="minorHAnsi"/>
          <w:szCs w:val="20"/>
        </w:rPr>
        <w:t>Comparing cost of public and private financing, USA, 2013</w:t>
      </w:r>
    </w:p>
    <w:p w:rsidR="009F228C" w:rsidRPr="00216A71" w:rsidRDefault="009F228C" w:rsidP="009F228C">
      <w:pPr>
        <w:rPr>
          <w:rFonts w:cstheme="minorHAnsi"/>
          <w:szCs w:val="20"/>
        </w:rPr>
      </w:pPr>
      <w:r w:rsidRPr="00216A71">
        <w:rPr>
          <w:rFonts w:cstheme="minorHAnsi"/>
          <w:noProof/>
          <w:szCs w:val="20"/>
          <w:lang w:eastAsia="en-GB"/>
        </w:rPr>
        <w:drawing>
          <wp:inline distT="0" distB="0" distL="0" distR="0" wp14:anchorId="23CBCFD7" wp14:editId="5CF137C1">
            <wp:extent cx="1954446" cy="2976349"/>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55670" cy="2978213"/>
                    </a:xfrm>
                    <a:prstGeom prst="rect">
                      <a:avLst/>
                    </a:prstGeom>
                    <a:noFill/>
                    <a:ln>
                      <a:noFill/>
                    </a:ln>
                  </pic:spPr>
                </pic:pic>
              </a:graphicData>
            </a:graphic>
          </wp:inline>
        </w:drawing>
      </w:r>
      <w:r w:rsidRPr="00216A71">
        <w:rPr>
          <w:rFonts w:cstheme="minorHAnsi"/>
          <w:noProof/>
          <w:szCs w:val="20"/>
          <w:lang w:eastAsia="en-GB"/>
        </w:rPr>
        <w:drawing>
          <wp:inline distT="0" distB="0" distL="0" distR="0" wp14:anchorId="2CF4E059" wp14:editId="494F8C20">
            <wp:extent cx="2005384" cy="29744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05058" cy="2973944"/>
                    </a:xfrm>
                    <a:prstGeom prst="rect">
                      <a:avLst/>
                    </a:prstGeom>
                    <a:noFill/>
                    <a:ln>
                      <a:noFill/>
                    </a:ln>
                  </pic:spPr>
                </pic:pic>
              </a:graphicData>
            </a:graphic>
          </wp:inline>
        </w:drawing>
      </w:r>
    </w:p>
    <w:p w:rsidR="000C629A" w:rsidRDefault="009F228C" w:rsidP="009F228C">
      <w:pPr>
        <w:rPr>
          <w:rFonts w:cstheme="minorHAnsi"/>
          <w:szCs w:val="20"/>
        </w:rPr>
      </w:pPr>
      <w:r w:rsidRPr="00216A71">
        <w:rPr>
          <w:rFonts w:cstheme="minorHAnsi"/>
          <w:szCs w:val="20"/>
        </w:rPr>
        <w:t xml:space="preserve">Source: Borrowing Trouble 2013 </w:t>
      </w:r>
      <w:r w:rsidRPr="00216A71">
        <w:rPr>
          <w:rStyle w:val="EndnoteReference"/>
          <w:rFonts w:cstheme="minorHAnsi"/>
          <w:szCs w:val="20"/>
        </w:rPr>
        <w:endnoteReference w:id="150"/>
      </w:r>
      <w:r w:rsidRPr="00216A71">
        <w:rPr>
          <w:rFonts w:cstheme="minorHAnsi"/>
          <w:szCs w:val="20"/>
        </w:rPr>
        <w:t xml:space="preserve"> </w:t>
      </w:r>
    </w:p>
    <w:p w:rsidR="009F228C" w:rsidRPr="00216A71" w:rsidRDefault="009F228C" w:rsidP="009F228C">
      <w:pPr>
        <w:pStyle w:val="Heading6"/>
        <w:rPr>
          <w:rFonts w:cstheme="minorHAnsi"/>
          <w:szCs w:val="20"/>
        </w:rPr>
      </w:pPr>
      <w:r w:rsidRPr="00216A71">
        <w:rPr>
          <w:rFonts w:cstheme="minorHAnsi"/>
          <w:szCs w:val="20"/>
        </w:rPr>
        <w:t>Alaska</w:t>
      </w:r>
      <w:r w:rsidR="005E2720" w:rsidRPr="00216A71">
        <w:rPr>
          <w:rFonts w:cstheme="minorHAnsi"/>
          <w:szCs w:val="20"/>
        </w:rPr>
        <w:t>: public finance is better than PPP</w:t>
      </w:r>
    </w:p>
    <w:p w:rsidR="000C629A" w:rsidRDefault="009F228C" w:rsidP="009F228C">
      <w:pPr>
        <w:pBdr>
          <w:top w:val="single" w:sz="4" w:space="1" w:color="auto"/>
          <w:left w:val="single" w:sz="4" w:space="4" w:color="auto"/>
          <w:bottom w:val="single" w:sz="4" w:space="1" w:color="auto"/>
          <w:right w:val="single" w:sz="4" w:space="4" w:color="auto"/>
        </w:pBdr>
        <w:rPr>
          <w:rFonts w:cstheme="minorHAnsi"/>
          <w:szCs w:val="20"/>
        </w:rPr>
      </w:pPr>
      <w:r w:rsidRPr="00216A71">
        <w:rPr>
          <w:rFonts w:cstheme="minorHAnsi"/>
          <w:szCs w:val="20"/>
        </w:rPr>
        <w:t xml:space="preserve">The Republican governor </w:t>
      </w:r>
      <w:r w:rsidR="005E2720" w:rsidRPr="00216A71">
        <w:rPr>
          <w:rFonts w:cstheme="minorHAnsi"/>
          <w:szCs w:val="20"/>
        </w:rPr>
        <w:t xml:space="preserve">of Alaska </w:t>
      </w:r>
      <w:r w:rsidRPr="00216A71">
        <w:rPr>
          <w:rFonts w:cstheme="minorHAnsi"/>
          <w:szCs w:val="20"/>
        </w:rPr>
        <w:t>– successor to Sarah Palin</w:t>
      </w:r>
      <w:r w:rsidR="004045AD">
        <w:rPr>
          <w:rFonts w:cstheme="minorHAnsi"/>
          <w:szCs w:val="20"/>
        </w:rPr>
        <w:t xml:space="preserve"> – </w:t>
      </w:r>
      <w:r w:rsidRPr="00216A71">
        <w:rPr>
          <w:rFonts w:cstheme="minorHAnsi"/>
          <w:szCs w:val="20"/>
        </w:rPr>
        <w:t xml:space="preserve">is now proposing to abandon a PPP plan </w:t>
      </w:r>
      <w:r w:rsidR="005E2720" w:rsidRPr="00216A71">
        <w:rPr>
          <w:rFonts w:cstheme="minorHAnsi"/>
          <w:szCs w:val="20"/>
        </w:rPr>
        <w:t xml:space="preserve">for a bridge across Knik Arm, </w:t>
      </w:r>
      <w:r w:rsidRPr="00216A71">
        <w:rPr>
          <w:rFonts w:cstheme="minorHAnsi"/>
          <w:szCs w:val="20"/>
        </w:rPr>
        <w:t>in favour of commissioning and running it publicly because it’s better value</w:t>
      </w:r>
      <w:r w:rsidR="005E2720" w:rsidRPr="00216A71">
        <w:rPr>
          <w:rFonts w:cstheme="minorHAnsi"/>
          <w:szCs w:val="20"/>
        </w:rPr>
        <w:t>. An analysis by the state’s d</w:t>
      </w:r>
      <w:r w:rsidR="005E2720" w:rsidRPr="00216A71">
        <w:rPr>
          <w:rStyle w:val="updated"/>
          <w:rFonts w:cstheme="minorHAnsi"/>
          <w:szCs w:val="20"/>
        </w:rPr>
        <w:t>epartment of revenue analysis showed that the public-private model is unlikely to work and attract private investors without very high costs or government guarantees for potential liabilities of $2.5</w:t>
      </w:r>
      <w:r w:rsidR="00851810">
        <w:rPr>
          <w:rStyle w:val="updated"/>
          <w:rFonts w:cstheme="minorHAnsi"/>
          <w:szCs w:val="20"/>
        </w:rPr>
        <w:t xml:space="preserve"> </w:t>
      </w:r>
      <w:r w:rsidR="005E2720" w:rsidRPr="00216A71">
        <w:rPr>
          <w:rStyle w:val="updated"/>
          <w:rFonts w:cstheme="minorHAnsi"/>
          <w:szCs w:val="20"/>
        </w:rPr>
        <w:t xml:space="preserve">billion. </w:t>
      </w:r>
      <w:r w:rsidR="005E2720" w:rsidRPr="00216A71">
        <w:rPr>
          <w:rFonts w:cstheme="minorHAnsi"/>
          <w:szCs w:val="20"/>
        </w:rPr>
        <w:t>H</w:t>
      </w:r>
      <w:r w:rsidRPr="00216A71">
        <w:rPr>
          <w:rFonts w:cstheme="minorHAnsi"/>
          <w:szCs w:val="20"/>
        </w:rPr>
        <w:t>aving the state, rather than a private developer, fund the project could save hundreds of millions of dollars.”</w:t>
      </w:r>
      <w:r w:rsidRPr="00216A71">
        <w:rPr>
          <w:rFonts w:cstheme="minorHAnsi"/>
          <w:szCs w:val="20"/>
          <w:vertAlign w:val="superscript"/>
        </w:rPr>
        <w:endnoteReference w:id="151"/>
      </w:r>
    </w:p>
    <w:p w:rsidR="00993CB2" w:rsidRPr="00216A71" w:rsidRDefault="00993CB2" w:rsidP="001A748B">
      <w:pPr>
        <w:pStyle w:val="Heading3"/>
        <w:rPr>
          <w:rFonts w:asciiTheme="minorHAnsi" w:hAnsiTheme="minorHAnsi" w:cstheme="minorHAnsi"/>
          <w:szCs w:val="20"/>
        </w:rPr>
      </w:pPr>
      <w:r w:rsidRPr="00216A71">
        <w:rPr>
          <w:rFonts w:asciiTheme="minorHAnsi" w:hAnsiTheme="minorHAnsi" w:cstheme="minorHAnsi"/>
          <w:szCs w:val="20"/>
        </w:rPr>
        <w:lastRenderedPageBreak/>
        <w:t>Excess profits from PPPs</w:t>
      </w:r>
      <w:r w:rsidR="004045AD">
        <w:rPr>
          <w:rFonts w:asciiTheme="minorHAnsi" w:hAnsiTheme="minorHAnsi" w:cstheme="minorHAnsi"/>
          <w:szCs w:val="20"/>
        </w:rPr>
        <w:t xml:space="preserve"> – </w:t>
      </w:r>
      <w:r w:rsidRPr="00216A71">
        <w:rPr>
          <w:rFonts w:asciiTheme="minorHAnsi" w:hAnsiTheme="minorHAnsi" w:cstheme="minorHAnsi"/>
          <w:szCs w:val="20"/>
        </w:rPr>
        <w:t>taken into tax havens</w:t>
      </w:r>
    </w:p>
    <w:p w:rsidR="000C629A" w:rsidRDefault="00993CB2" w:rsidP="00993CB2">
      <w:pPr>
        <w:rPr>
          <w:rFonts w:cstheme="minorHAnsi"/>
          <w:szCs w:val="20"/>
        </w:rPr>
      </w:pPr>
      <w:r w:rsidRPr="00216A71">
        <w:rPr>
          <w:rFonts w:cstheme="minorHAnsi"/>
          <w:szCs w:val="20"/>
        </w:rPr>
        <w:t>The cost of private capital is even higher than the difference between the interest rate on loans, because the private companies also take profits through dividends on their shares in the project. These are substantially higher</w:t>
      </w:r>
      <w:r w:rsidR="001A748B" w:rsidRPr="00216A71">
        <w:rPr>
          <w:rFonts w:cstheme="minorHAnsi"/>
          <w:szCs w:val="20"/>
        </w:rPr>
        <w:t>, and so raise the average cost to the public of using private finance</w:t>
      </w:r>
      <w:r w:rsidRPr="00216A71">
        <w:rPr>
          <w:rFonts w:cstheme="minorHAnsi"/>
          <w:szCs w:val="20"/>
        </w:rPr>
        <w:t xml:space="preserve">. In the Jakarta water concessions, for example, the private </w:t>
      </w:r>
      <w:r w:rsidR="001A748B" w:rsidRPr="00216A71">
        <w:rPr>
          <w:rFonts w:cstheme="minorHAnsi"/>
          <w:szCs w:val="20"/>
        </w:rPr>
        <w:t>companies obtain</w:t>
      </w:r>
      <w:r w:rsidRPr="00216A71">
        <w:rPr>
          <w:rFonts w:cstheme="minorHAnsi"/>
          <w:szCs w:val="20"/>
        </w:rPr>
        <w:t xml:space="preserve"> a return on capital of 22</w:t>
      </w:r>
      <w:r w:rsidR="00A42FDE">
        <w:rPr>
          <w:rFonts w:cstheme="minorHAnsi"/>
          <w:szCs w:val="20"/>
        </w:rPr>
        <w:t xml:space="preserve"> per cent</w:t>
      </w:r>
      <w:r w:rsidR="001A748B" w:rsidRPr="00216A71">
        <w:rPr>
          <w:rFonts w:cstheme="minorHAnsi"/>
          <w:szCs w:val="20"/>
        </w:rPr>
        <w:t>, guaranteed by the public authorities</w:t>
      </w:r>
      <w:r w:rsidRPr="00216A71">
        <w:rPr>
          <w:rFonts w:cstheme="minorHAnsi"/>
          <w:szCs w:val="20"/>
        </w:rPr>
        <w:t>.</w:t>
      </w:r>
      <w:r w:rsidR="004045AD">
        <w:rPr>
          <w:rFonts w:cstheme="minorHAnsi"/>
          <w:szCs w:val="20"/>
        </w:rPr>
        <w:t xml:space="preserve"> </w:t>
      </w:r>
      <w:r w:rsidR="0073642F" w:rsidRPr="00216A71">
        <w:rPr>
          <w:rFonts w:cstheme="minorHAnsi"/>
          <w:szCs w:val="20"/>
        </w:rPr>
        <w:t>In the UK,</w:t>
      </w:r>
      <w:r w:rsidR="00755BB4" w:rsidRPr="00216A71">
        <w:rPr>
          <w:rFonts w:cstheme="minorHAnsi"/>
          <w:szCs w:val="20"/>
        </w:rPr>
        <w:t xml:space="preserve"> </w:t>
      </w:r>
      <w:r w:rsidR="001A748B" w:rsidRPr="00216A71">
        <w:rPr>
          <w:rFonts w:cstheme="minorHAnsi"/>
          <w:szCs w:val="20"/>
        </w:rPr>
        <w:t xml:space="preserve">a study has shown that </w:t>
      </w:r>
      <w:r w:rsidR="00755BB4" w:rsidRPr="00216A71">
        <w:rPr>
          <w:rFonts w:cstheme="minorHAnsi"/>
          <w:szCs w:val="20"/>
        </w:rPr>
        <w:t xml:space="preserve">the profits made by private companies in </w:t>
      </w:r>
      <w:r w:rsidR="001A748B" w:rsidRPr="00216A71">
        <w:rPr>
          <w:rFonts w:cstheme="minorHAnsi"/>
          <w:szCs w:val="20"/>
        </w:rPr>
        <w:t xml:space="preserve">health service </w:t>
      </w:r>
      <w:r w:rsidR="00755BB4" w:rsidRPr="00216A71">
        <w:rPr>
          <w:rFonts w:cstheme="minorHAnsi"/>
          <w:szCs w:val="20"/>
        </w:rPr>
        <w:t>PPP</w:t>
      </w:r>
      <w:r w:rsidR="001A748B" w:rsidRPr="00216A71">
        <w:rPr>
          <w:rFonts w:cstheme="minorHAnsi"/>
          <w:szCs w:val="20"/>
        </w:rPr>
        <w:t>s</w:t>
      </w:r>
      <w:r w:rsidR="00755BB4" w:rsidRPr="00216A71">
        <w:rPr>
          <w:rFonts w:cstheme="minorHAnsi"/>
          <w:szCs w:val="20"/>
        </w:rPr>
        <w:t xml:space="preserve"> are </w:t>
      </w:r>
      <w:r w:rsidR="001A748B" w:rsidRPr="00216A71">
        <w:rPr>
          <w:rFonts w:cstheme="minorHAnsi"/>
          <w:szCs w:val="20"/>
        </w:rPr>
        <w:t>roughly</w:t>
      </w:r>
      <w:r w:rsidR="00755BB4" w:rsidRPr="00216A71">
        <w:rPr>
          <w:rFonts w:cstheme="minorHAnsi"/>
          <w:szCs w:val="20"/>
        </w:rPr>
        <w:t xml:space="preserve"> double those of private investors in other activities of similar risk</w:t>
      </w:r>
      <w:r w:rsidR="00851810">
        <w:rPr>
          <w:rFonts w:cstheme="minorHAnsi"/>
          <w:szCs w:val="20"/>
        </w:rPr>
        <w:t>.</w:t>
      </w:r>
      <w:r w:rsidR="004045AD">
        <w:rPr>
          <w:rFonts w:cstheme="minorHAnsi"/>
          <w:szCs w:val="20"/>
        </w:rPr>
        <w:t xml:space="preserve"> </w:t>
      </w:r>
      <w:r w:rsidR="00755BB4" w:rsidRPr="00216A71">
        <w:rPr>
          <w:rFonts w:cstheme="minorHAnsi"/>
          <w:szCs w:val="20"/>
        </w:rPr>
        <w:t>“</w:t>
      </w:r>
      <w:r w:rsidR="00851810">
        <w:rPr>
          <w:rFonts w:cstheme="minorHAnsi"/>
          <w:szCs w:val="20"/>
        </w:rPr>
        <w:t>R</w:t>
      </w:r>
      <w:r w:rsidR="00755BB4" w:rsidRPr="00216A71">
        <w:rPr>
          <w:rFonts w:cstheme="minorHAnsi"/>
          <w:szCs w:val="20"/>
        </w:rPr>
        <w:t>eturns to investors on this group of PFI projects are shown to be much</w:t>
      </w:r>
      <w:r w:rsidR="001A748B" w:rsidRPr="00216A71">
        <w:rPr>
          <w:rFonts w:cstheme="minorHAnsi"/>
          <w:szCs w:val="20"/>
        </w:rPr>
        <w:t xml:space="preserve"> </w:t>
      </w:r>
      <w:r w:rsidR="00755BB4" w:rsidRPr="00216A71">
        <w:rPr>
          <w:rFonts w:cstheme="minorHAnsi"/>
          <w:szCs w:val="20"/>
        </w:rPr>
        <w:t>higher than would be sufficient to remunerate investors for the risk they bear</w:t>
      </w:r>
      <w:r w:rsidR="00851810">
        <w:rPr>
          <w:rFonts w:cstheme="minorHAnsi"/>
          <w:szCs w:val="20"/>
        </w:rPr>
        <w:t>.</w:t>
      </w:r>
      <w:r w:rsidR="00755BB4" w:rsidRPr="00216A71">
        <w:rPr>
          <w:rFonts w:cstheme="minorHAnsi"/>
          <w:szCs w:val="20"/>
        </w:rPr>
        <w:t>”</w:t>
      </w:r>
      <w:r w:rsidR="00755BB4" w:rsidRPr="00216A71">
        <w:rPr>
          <w:rStyle w:val="EndnoteReference"/>
          <w:rFonts w:cstheme="minorHAnsi"/>
          <w:szCs w:val="20"/>
        </w:rPr>
        <w:endnoteReference w:id="152"/>
      </w:r>
    </w:p>
    <w:p w:rsidR="00993CB2" w:rsidRPr="00216A71" w:rsidRDefault="001A748B" w:rsidP="00993CB2">
      <w:pPr>
        <w:rPr>
          <w:rFonts w:cstheme="minorHAnsi"/>
          <w:szCs w:val="20"/>
        </w:rPr>
      </w:pPr>
      <w:r w:rsidRPr="00216A71">
        <w:rPr>
          <w:rFonts w:cstheme="minorHAnsi"/>
          <w:szCs w:val="20"/>
        </w:rPr>
        <w:t>Governments sometimes claim that this should be offset by the tax revenues from the prof</w:t>
      </w:r>
      <w:r w:rsidR="00750051" w:rsidRPr="00216A71">
        <w:rPr>
          <w:rFonts w:cstheme="minorHAnsi"/>
          <w:szCs w:val="20"/>
        </w:rPr>
        <w:t>its made by companies, and buil</w:t>
      </w:r>
      <w:r w:rsidRPr="00216A71">
        <w:rPr>
          <w:rFonts w:cstheme="minorHAnsi"/>
          <w:szCs w:val="20"/>
        </w:rPr>
        <w:t>d this assumption into their assessments of the cost of PPPs – the UK does this, for example. But m</w:t>
      </w:r>
      <w:r w:rsidR="00993CB2" w:rsidRPr="00216A71">
        <w:rPr>
          <w:rFonts w:cstheme="minorHAnsi"/>
          <w:szCs w:val="20"/>
        </w:rPr>
        <w:t xml:space="preserve">any of the </w:t>
      </w:r>
      <w:r w:rsidRPr="00216A71">
        <w:rPr>
          <w:rFonts w:cstheme="minorHAnsi"/>
          <w:szCs w:val="20"/>
        </w:rPr>
        <w:t xml:space="preserve">private companies involved in PPP projects </w:t>
      </w:r>
      <w:r w:rsidR="00993CB2" w:rsidRPr="00216A71">
        <w:rPr>
          <w:rFonts w:cstheme="minorHAnsi"/>
          <w:szCs w:val="20"/>
        </w:rPr>
        <w:t>are based in tax havens</w:t>
      </w:r>
      <w:r w:rsidRPr="00216A71">
        <w:rPr>
          <w:rFonts w:cstheme="minorHAnsi"/>
          <w:szCs w:val="20"/>
        </w:rPr>
        <w:t>, and so this tax never materialises. A UK parliamentary committee commented</w:t>
      </w:r>
      <w:r w:rsidR="00851810">
        <w:rPr>
          <w:rFonts w:cstheme="minorHAnsi"/>
          <w:szCs w:val="20"/>
        </w:rPr>
        <w:t>,</w:t>
      </w:r>
      <w:r w:rsidR="004045AD">
        <w:rPr>
          <w:rFonts w:cstheme="minorHAnsi"/>
          <w:szCs w:val="20"/>
        </w:rPr>
        <w:t xml:space="preserve"> </w:t>
      </w:r>
      <w:r w:rsidR="00993CB2" w:rsidRPr="00216A71">
        <w:rPr>
          <w:rFonts w:cstheme="minorHAnsi"/>
          <w:szCs w:val="20"/>
        </w:rPr>
        <w:t>“Some PFI investors reduce their exposure to UK tax through off-shore arrangements. Yet the Treasury assume tax revenue in their cost-benefit analysis of PFI projects. The Treasury could not tell us if PFI investors had paid tax in the UK on profits and on equity gains, or whether corporation taxes had been collected from PFI companies…</w:t>
      </w:r>
      <w:r w:rsidR="00851810">
        <w:rPr>
          <w:rFonts w:cstheme="minorHAnsi"/>
          <w:szCs w:val="20"/>
        </w:rPr>
        <w:t xml:space="preserve">. </w:t>
      </w:r>
      <w:r w:rsidR="00993CB2" w:rsidRPr="00216A71">
        <w:rPr>
          <w:rFonts w:cstheme="minorHAnsi"/>
          <w:bCs/>
          <w:szCs w:val="20"/>
        </w:rPr>
        <w:t>The public sector has insufficient information on the returns made by PFI investors and no mechanism for sharing in gains when the investors sell their shares.”</w:t>
      </w:r>
      <w:r w:rsidR="00993CB2" w:rsidRPr="00216A71">
        <w:rPr>
          <w:rFonts w:cstheme="minorHAnsi"/>
          <w:bCs/>
          <w:szCs w:val="20"/>
          <w:vertAlign w:val="superscript"/>
        </w:rPr>
        <w:endnoteReference w:id="153"/>
      </w:r>
    </w:p>
    <w:p w:rsidR="000C629A" w:rsidRDefault="0087510F" w:rsidP="0087510F">
      <w:pPr>
        <w:pStyle w:val="Heading2"/>
        <w:rPr>
          <w:rFonts w:asciiTheme="minorHAnsi" w:hAnsiTheme="minorHAnsi" w:cstheme="minorHAnsi"/>
          <w:szCs w:val="20"/>
        </w:rPr>
      </w:pPr>
      <w:bookmarkStart w:id="187" w:name="_Toc201723992"/>
      <w:bookmarkStart w:id="188" w:name="_Toc212951548"/>
      <w:bookmarkStart w:id="189" w:name="_Toc212951547"/>
      <w:bookmarkStart w:id="190" w:name="_Toc392857543"/>
      <w:r w:rsidRPr="00216A71">
        <w:rPr>
          <w:rFonts w:asciiTheme="minorHAnsi" w:hAnsiTheme="minorHAnsi" w:cstheme="minorHAnsi"/>
          <w:szCs w:val="20"/>
        </w:rPr>
        <w:t>Construction costs:</w:t>
      </w:r>
      <w:r w:rsidR="008374DA" w:rsidRPr="00216A71">
        <w:rPr>
          <w:rFonts w:asciiTheme="minorHAnsi" w:hAnsiTheme="minorHAnsi" w:cstheme="minorHAnsi"/>
          <w:szCs w:val="20"/>
        </w:rPr>
        <w:t xml:space="preserve"> </w:t>
      </w:r>
      <w:r w:rsidRPr="00216A71">
        <w:rPr>
          <w:rFonts w:asciiTheme="minorHAnsi" w:hAnsiTheme="minorHAnsi" w:cstheme="minorHAnsi"/>
          <w:szCs w:val="20"/>
        </w:rPr>
        <w:t>on time and on budget?</w:t>
      </w:r>
      <w:bookmarkEnd w:id="190"/>
    </w:p>
    <w:p w:rsidR="000C629A" w:rsidRDefault="0087510F" w:rsidP="0087510F">
      <w:pPr>
        <w:rPr>
          <w:rFonts w:cstheme="minorHAnsi"/>
          <w:color w:val="000000"/>
          <w:szCs w:val="20"/>
        </w:rPr>
      </w:pPr>
      <w:r w:rsidRPr="00216A71">
        <w:rPr>
          <w:rFonts w:cstheme="minorHAnsi"/>
          <w:szCs w:val="20"/>
        </w:rPr>
        <w:t>It is frequently argued that the construction stage of PPP projects is invariably completed on time and within budget, and that this is a crucial advantage of PPPs over conventional public sector projects. The UK government claims that 76</w:t>
      </w:r>
      <w:r w:rsidR="00A42FDE">
        <w:rPr>
          <w:rFonts w:cstheme="minorHAnsi"/>
          <w:szCs w:val="20"/>
        </w:rPr>
        <w:t xml:space="preserve"> per cent</w:t>
      </w:r>
      <w:r w:rsidRPr="00216A71">
        <w:rPr>
          <w:rFonts w:cstheme="minorHAnsi"/>
          <w:szCs w:val="20"/>
        </w:rPr>
        <w:t xml:space="preserve"> of PFI projects are completed on time, compared with only about 30</w:t>
      </w:r>
      <w:r w:rsidR="00A42FDE">
        <w:rPr>
          <w:rFonts w:cstheme="minorHAnsi"/>
          <w:szCs w:val="20"/>
        </w:rPr>
        <w:t xml:space="preserve"> per cent</w:t>
      </w:r>
      <w:r w:rsidRPr="00216A71">
        <w:rPr>
          <w:rFonts w:cstheme="minorHAnsi"/>
          <w:szCs w:val="20"/>
        </w:rPr>
        <w:t xml:space="preserve"> of traditionally procured projects, A review</w:t>
      </w:r>
      <w:r w:rsidR="004045AD">
        <w:rPr>
          <w:rFonts w:cstheme="minorHAnsi"/>
          <w:szCs w:val="20"/>
        </w:rPr>
        <w:t xml:space="preserve"> </w:t>
      </w:r>
      <w:r w:rsidRPr="00216A71">
        <w:rPr>
          <w:rFonts w:cstheme="minorHAnsi"/>
          <w:szCs w:val="20"/>
        </w:rPr>
        <w:t xml:space="preserve">of EIB funded PPPs across Europe also found that </w:t>
      </w:r>
      <w:r w:rsidRPr="00216A71">
        <w:rPr>
          <w:rFonts w:cstheme="minorHAnsi"/>
          <w:color w:val="000000"/>
          <w:szCs w:val="20"/>
        </w:rPr>
        <w:t>the projects evaluated “were largely completed on-time, o</w:t>
      </w:r>
      <w:r w:rsidR="00B94CE0">
        <w:rPr>
          <w:rFonts w:cstheme="minorHAnsi"/>
          <w:color w:val="000000"/>
          <w:szCs w:val="20"/>
        </w:rPr>
        <w:t>n-budget and to specification.”</w:t>
      </w:r>
      <w:r w:rsidRPr="00216A71">
        <w:rPr>
          <w:rStyle w:val="EndnoteReference"/>
          <w:rFonts w:cstheme="minorHAnsi"/>
          <w:szCs w:val="20"/>
        </w:rPr>
        <w:endnoteReference w:id="154"/>
      </w:r>
    </w:p>
    <w:p w:rsidR="000C629A" w:rsidRDefault="0087510F" w:rsidP="0087510F">
      <w:pPr>
        <w:ind w:left="60"/>
        <w:rPr>
          <w:rFonts w:cstheme="minorHAnsi"/>
          <w:color w:val="000000"/>
          <w:szCs w:val="20"/>
        </w:rPr>
      </w:pPr>
      <w:r w:rsidRPr="00216A71">
        <w:rPr>
          <w:rFonts w:cstheme="minorHAnsi"/>
          <w:color w:val="000000"/>
          <w:szCs w:val="20"/>
        </w:rPr>
        <w:t xml:space="preserve">But the construction element of PPP projects is much more expensive. </w:t>
      </w:r>
      <w:r w:rsidRPr="00216A71">
        <w:rPr>
          <w:rFonts w:cstheme="minorHAnsi"/>
          <w:szCs w:val="20"/>
        </w:rPr>
        <w:t>An EIB report compared the cost of PPP road projects across Europe with conventionally procured road projects, and found that the PPPs were on average 24</w:t>
      </w:r>
      <w:r w:rsidR="00A42FDE">
        <w:rPr>
          <w:rFonts w:cstheme="minorHAnsi"/>
          <w:szCs w:val="20"/>
        </w:rPr>
        <w:t xml:space="preserve"> per cent</w:t>
      </w:r>
      <w:r w:rsidRPr="00216A71">
        <w:rPr>
          <w:rFonts w:cstheme="minorHAnsi"/>
          <w:szCs w:val="20"/>
        </w:rPr>
        <w:t xml:space="preserve"> more expensive than the public sector roads. </w:t>
      </w:r>
      <w:r w:rsidRPr="00216A71">
        <w:rPr>
          <w:rStyle w:val="EndnoteReference"/>
          <w:rFonts w:cstheme="minorHAnsi"/>
          <w:szCs w:val="20"/>
        </w:rPr>
        <w:endnoteReference w:id="155"/>
      </w:r>
      <w:r w:rsidRPr="00216A71">
        <w:rPr>
          <w:rFonts w:cstheme="minorHAnsi"/>
          <w:szCs w:val="20"/>
        </w:rPr>
        <w:t xml:space="preserve"> In 2007 the Polish government cancelled a motorway PPP for exactly this reason</w:t>
      </w:r>
      <w:r w:rsidR="00851810">
        <w:rPr>
          <w:rFonts w:cstheme="minorHAnsi"/>
          <w:szCs w:val="20"/>
        </w:rPr>
        <w:t>.</w:t>
      </w:r>
      <w:r w:rsidRPr="00216A71">
        <w:rPr>
          <w:rFonts w:cstheme="minorHAnsi"/>
          <w:szCs w:val="20"/>
        </w:rPr>
        <w:t xml:space="preserve"> </w:t>
      </w:r>
      <w:r w:rsidR="00851810">
        <w:rPr>
          <w:rFonts w:cstheme="minorHAnsi"/>
          <w:szCs w:val="20"/>
        </w:rPr>
        <w:t>T</w:t>
      </w:r>
      <w:r w:rsidRPr="00216A71">
        <w:rPr>
          <w:rFonts w:cstheme="minorHAnsi"/>
          <w:szCs w:val="20"/>
        </w:rPr>
        <w:t>hey realised that the</w:t>
      </w:r>
      <w:r w:rsidR="004045AD">
        <w:rPr>
          <w:rFonts w:cstheme="minorHAnsi"/>
          <w:szCs w:val="20"/>
        </w:rPr>
        <w:t xml:space="preserve"> </w:t>
      </w:r>
      <w:r w:rsidRPr="00216A71">
        <w:rPr>
          <w:rStyle w:val="verdana"/>
          <w:rFonts w:cstheme="minorHAnsi"/>
          <w:szCs w:val="20"/>
        </w:rPr>
        <w:t xml:space="preserve">A1 Motorway from </w:t>
      </w:r>
      <w:r w:rsidRPr="00216A71">
        <w:rPr>
          <w:rFonts w:cstheme="minorHAnsi"/>
          <w:szCs w:val="20"/>
        </w:rPr>
        <w:t>Grudziadz-Torun could be built for about €5.6</w:t>
      </w:r>
      <w:r w:rsidR="00851810">
        <w:rPr>
          <w:rFonts w:cstheme="minorHAnsi"/>
          <w:szCs w:val="20"/>
        </w:rPr>
        <w:t xml:space="preserve"> </w:t>
      </w:r>
      <w:r w:rsidRPr="00216A71">
        <w:rPr>
          <w:rFonts w:cstheme="minorHAnsi"/>
          <w:szCs w:val="20"/>
        </w:rPr>
        <w:t>m</w:t>
      </w:r>
      <w:r w:rsidR="00851810">
        <w:rPr>
          <w:rFonts w:cstheme="minorHAnsi"/>
          <w:szCs w:val="20"/>
        </w:rPr>
        <w:t>illion</w:t>
      </w:r>
      <w:r w:rsidRPr="00216A71">
        <w:rPr>
          <w:rFonts w:cstheme="minorHAnsi"/>
          <w:szCs w:val="20"/>
        </w:rPr>
        <w:t xml:space="preserve"> per kilometre using conventional procurement, compared with €7.4m</w:t>
      </w:r>
      <w:r w:rsidR="00851810">
        <w:rPr>
          <w:rFonts w:cstheme="minorHAnsi"/>
          <w:szCs w:val="20"/>
        </w:rPr>
        <w:t>illion</w:t>
      </w:r>
      <w:r w:rsidRPr="00216A71">
        <w:rPr>
          <w:rFonts w:cstheme="minorHAnsi"/>
          <w:szCs w:val="20"/>
        </w:rPr>
        <w:t xml:space="preserve"> per k</w:t>
      </w:r>
      <w:r w:rsidR="00851810">
        <w:rPr>
          <w:rFonts w:cstheme="minorHAnsi"/>
          <w:szCs w:val="20"/>
        </w:rPr>
        <w:t>ilometre</w:t>
      </w:r>
      <w:r w:rsidRPr="00216A71">
        <w:rPr>
          <w:rFonts w:cstheme="minorHAnsi"/>
          <w:szCs w:val="20"/>
        </w:rPr>
        <w:t xml:space="preserve"> using the PPP.</w:t>
      </w:r>
      <w:r w:rsidRPr="00216A71">
        <w:rPr>
          <w:rStyle w:val="EndnoteReference"/>
          <w:rFonts w:cstheme="minorHAnsi"/>
          <w:szCs w:val="20"/>
        </w:rPr>
        <w:endnoteReference w:id="156"/>
      </w:r>
      <w:r w:rsidRPr="00216A71">
        <w:rPr>
          <w:rFonts w:cstheme="minorHAnsi"/>
          <w:szCs w:val="20"/>
        </w:rPr>
        <w:t xml:space="preserve"> The EIB report also notes that this premium of 24</w:t>
      </w:r>
      <w:r w:rsidR="00A42FDE">
        <w:rPr>
          <w:rFonts w:cstheme="minorHAnsi"/>
          <w:szCs w:val="20"/>
        </w:rPr>
        <w:t xml:space="preserve"> per cent</w:t>
      </w:r>
      <w:r w:rsidRPr="00216A71">
        <w:rPr>
          <w:rFonts w:cstheme="minorHAnsi"/>
          <w:szCs w:val="20"/>
        </w:rPr>
        <w:t xml:space="preserve"> is about the same as estimates of cost overruns on public procurement projects, and so the extra cost of PPP projects reflects the payment required by the contractor to accept construction risk. </w:t>
      </w:r>
    </w:p>
    <w:p w:rsidR="000C629A" w:rsidRDefault="0087510F" w:rsidP="0087510F">
      <w:pPr>
        <w:ind w:left="60"/>
        <w:rPr>
          <w:rFonts w:cstheme="minorHAnsi"/>
          <w:szCs w:val="20"/>
        </w:rPr>
      </w:pPr>
      <w:r w:rsidRPr="00216A71">
        <w:rPr>
          <w:rFonts w:cstheme="minorHAnsi"/>
          <w:color w:val="000000"/>
          <w:szCs w:val="20"/>
        </w:rPr>
        <w:t>This is achieved by “the use of fixed-price, fixed-term turnkey construction contracts” which make the building contractors responsible for any delays</w:t>
      </w:r>
      <w:r w:rsidR="00E24D1E" w:rsidRPr="00216A71">
        <w:rPr>
          <w:rFonts w:cstheme="minorHAnsi"/>
          <w:color w:val="000000"/>
          <w:szCs w:val="20"/>
        </w:rPr>
        <w:t>.</w:t>
      </w:r>
      <w:r w:rsidR="004045AD">
        <w:rPr>
          <w:rFonts w:cstheme="minorHAnsi"/>
          <w:color w:val="000000"/>
          <w:szCs w:val="20"/>
        </w:rPr>
        <w:t xml:space="preserve"> </w:t>
      </w:r>
      <w:r w:rsidRPr="00216A71">
        <w:rPr>
          <w:rFonts w:cstheme="minorHAnsi"/>
          <w:szCs w:val="20"/>
        </w:rPr>
        <w:t xml:space="preserve">The certainty of completion is achieved as a result of the contractor accepting responsibility for a wider range of risks, and contractors have to be paid more for doing this. </w:t>
      </w:r>
    </w:p>
    <w:p w:rsidR="000C629A" w:rsidRDefault="0087510F" w:rsidP="0087510F">
      <w:pPr>
        <w:ind w:left="60"/>
        <w:rPr>
          <w:rFonts w:cstheme="minorHAnsi"/>
          <w:szCs w:val="20"/>
        </w:rPr>
      </w:pPr>
      <w:r w:rsidRPr="00216A71">
        <w:rPr>
          <w:rFonts w:cstheme="minorHAnsi"/>
          <w:color w:val="000000"/>
          <w:szCs w:val="20"/>
        </w:rPr>
        <w:t>Why are turnkey contracts used in PPP projects when they are rarely used in conventional public sector projects?</w:t>
      </w:r>
      <w:r w:rsidRPr="00216A71">
        <w:rPr>
          <w:rStyle w:val="EndnoteReference"/>
          <w:rFonts w:cstheme="minorHAnsi"/>
          <w:szCs w:val="20"/>
        </w:rPr>
        <w:endnoteReference w:id="157"/>
      </w:r>
      <w:r w:rsidR="004045AD">
        <w:rPr>
          <w:rFonts w:cstheme="minorHAnsi"/>
          <w:color w:val="000000"/>
          <w:szCs w:val="20"/>
        </w:rPr>
        <w:t xml:space="preserve"> </w:t>
      </w:r>
      <w:r w:rsidRPr="00216A71">
        <w:rPr>
          <w:rFonts w:cstheme="minorHAnsi"/>
          <w:szCs w:val="20"/>
        </w:rPr>
        <w:t>The key reason is not because governments have decided it is worth paying more for higher standards of punctuality for public service infrastructure, but for the benefit of the PPP financier. As the International Federation of Consulting Engineers (FIDIC) notes</w:t>
      </w:r>
      <w:r w:rsidR="00851810">
        <w:rPr>
          <w:rFonts w:cstheme="minorHAnsi"/>
          <w:szCs w:val="20"/>
        </w:rPr>
        <w:t>,</w:t>
      </w:r>
      <w:r w:rsidRPr="00216A71">
        <w:rPr>
          <w:rFonts w:cstheme="minorHAnsi"/>
          <w:szCs w:val="20"/>
        </w:rPr>
        <w:t xml:space="preserve"> “Among such [turnkey] projects can be found many projects financed by private funds, where the lenders require greater certainty about a project’s costs…. Often the construction project is only one part of a complicated commercial venture, and financial or other failure of this construction project will jeopardize the whole venture.”</w:t>
      </w:r>
      <w:r w:rsidRPr="00216A71">
        <w:rPr>
          <w:rStyle w:val="EndnoteReference"/>
          <w:rFonts w:cstheme="minorHAnsi"/>
          <w:szCs w:val="20"/>
        </w:rPr>
        <w:endnoteReference w:id="158"/>
      </w:r>
      <w:r w:rsidR="004045AD">
        <w:rPr>
          <w:rFonts w:cstheme="minorHAnsi"/>
          <w:szCs w:val="20"/>
        </w:rPr>
        <w:t xml:space="preserve"> </w:t>
      </w:r>
      <w:r w:rsidRPr="00216A71">
        <w:rPr>
          <w:rFonts w:cstheme="minorHAnsi"/>
          <w:szCs w:val="20"/>
        </w:rPr>
        <w:t>The private financier in a PPP project requires greater certainty about completion date, because the returns on investment only begin when the building is completed</w:t>
      </w:r>
      <w:r w:rsidR="004045AD">
        <w:rPr>
          <w:rFonts w:cstheme="minorHAnsi"/>
          <w:szCs w:val="20"/>
        </w:rPr>
        <w:t xml:space="preserve"> – </w:t>
      </w:r>
      <w:r w:rsidRPr="00216A71">
        <w:rPr>
          <w:rFonts w:cstheme="minorHAnsi"/>
          <w:szCs w:val="20"/>
        </w:rPr>
        <w:t>but it is the public which has to pay extra for this certainty.</w:t>
      </w:r>
    </w:p>
    <w:p w:rsidR="00E67155" w:rsidRPr="00216A71" w:rsidRDefault="0087510F" w:rsidP="0087510F">
      <w:pPr>
        <w:ind w:left="60"/>
        <w:rPr>
          <w:rFonts w:cstheme="minorHAnsi"/>
          <w:szCs w:val="20"/>
        </w:rPr>
      </w:pPr>
      <w:r w:rsidRPr="00216A71">
        <w:rPr>
          <w:rFonts w:cstheme="minorHAnsi"/>
          <w:szCs w:val="20"/>
        </w:rPr>
        <w:t xml:space="preserve">The lengthy process involved in negotiating PPP contracts </w:t>
      </w:r>
      <w:r w:rsidR="008374DA" w:rsidRPr="00216A71">
        <w:rPr>
          <w:rFonts w:cstheme="minorHAnsi"/>
          <w:szCs w:val="20"/>
        </w:rPr>
        <w:t xml:space="preserve">also </w:t>
      </w:r>
      <w:r w:rsidRPr="00216A71">
        <w:rPr>
          <w:rFonts w:cstheme="minorHAnsi"/>
          <w:szCs w:val="20"/>
        </w:rPr>
        <w:t>means that they are not quicker in delivering infrastructure</w:t>
      </w:r>
      <w:r w:rsidR="00851810">
        <w:rPr>
          <w:rFonts w:cstheme="minorHAnsi"/>
          <w:szCs w:val="20"/>
        </w:rPr>
        <w:t>.</w:t>
      </w:r>
      <w:r w:rsidRPr="00216A71">
        <w:rPr>
          <w:rFonts w:cstheme="minorHAnsi"/>
          <w:szCs w:val="20"/>
        </w:rPr>
        <w:t xml:space="preserve"> “</w:t>
      </w:r>
      <w:r w:rsidR="00851810">
        <w:rPr>
          <w:rFonts w:cstheme="minorHAnsi"/>
          <w:szCs w:val="20"/>
        </w:rPr>
        <w:t>T</w:t>
      </w:r>
      <w:r w:rsidRPr="00216A71">
        <w:rPr>
          <w:rFonts w:cstheme="minorHAnsi"/>
          <w:szCs w:val="20"/>
        </w:rPr>
        <w:t>here is no convincing evidence to suggest that PFI projects are delivered more quickly and at a lower out-turn cost than projects using conventional procurement methods. On the contrary, the lengthy procurement process makes it likely that a PFI building will take longer to deliver, if the length of the whole process is considered</w:t>
      </w:r>
      <w:r w:rsidR="00851810">
        <w:rPr>
          <w:rFonts w:cstheme="minorHAnsi"/>
          <w:szCs w:val="20"/>
        </w:rPr>
        <w:t>.</w:t>
      </w:r>
      <w:r w:rsidRPr="00216A71">
        <w:rPr>
          <w:rFonts w:cstheme="minorHAnsi"/>
          <w:szCs w:val="20"/>
        </w:rPr>
        <w:t>”</w:t>
      </w:r>
      <w:r w:rsidRPr="00216A71">
        <w:rPr>
          <w:rFonts w:cstheme="minorHAnsi"/>
          <w:szCs w:val="20"/>
          <w:vertAlign w:val="superscript"/>
        </w:rPr>
        <w:endnoteReference w:id="159"/>
      </w:r>
      <w:r w:rsidR="004045AD">
        <w:rPr>
          <w:rFonts w:cstheme="minorHAnsi"/>
          <w:szCs w:val="20"/>
        </w:rPr>
        <w:t xml:space="preserve"> </w:t>
      </w:r>
    </w:p>
    <w:p w:rsidR="0087510F" w:rsidRPr="00216A71" w:rsidRDefault="0087510F" w:rsidP="0087510F">
      <w:pPr>
        <w:ind w:left="60"/>
        <w:rPr>
          <w:rFonts w:cstheme="minorHAnsi"/>
          <w:szCs w:val="20"/>
        </w:rPr>
      </w:pPr>
      <w:r w:rsidRPr="00216A71">
        <w:rPr>
          <w:rFonts w:cstheme="minorHAnsi"/>
          <w:szCs w:val="20"/>
        </w:rPr>
        <w:lastRenderedPageBreak/>
        <w:t>Experience in the UK also suggests that PPPs may not generate better designs than normal procurement</w:t>
      </w:r>
      <w:r w:rsidR="00851810">
        <w:rPr>
          <w:rFonts w:cstheme="minorHAnsi"/>
          <w:szCs w:val="20"/>
        </w:rPr>
        <w:t>.</w:t>
      </w:r>
      <w:r w:rsidRPr="00216A71">
        <w:rPr>
          <w:rFonts w:cstheme="minorHAnsi"/>
          <w:szCs w:val="20"/>
        </w:rPr>
        <w:t xml:space="preserve"> “</w:t>
      </w:r>
      <w:r w:rsidR="00851810">
        <w:rPr>
          <w:rFonts w:cstheme="minorHAnsi"/>
          <w:szCs w:val="20"/>
        </w:rPr>
        <w:t>I</w:t>
      </w:r>
      <w:r w:rsidRPr="00216A71">
        <w:rPr>
          <w:rFonts w:cstheme="minorHAnsi"/>
          <w:szCs w:val="20"/>
        </w:rPr>
        <w:t>n the area of design innovation and building quality we have seen some evidence to suggest that PFI performs less well than traditionally procured buildings</w:t>
      </w:r>
      <w:r w:rsidR="00851810">
        <w:rPr>
          <w:rFonts w:cstheme="minorHAnsi"/>
          <w:szCs w:val="20"/>
        </w:rPr>
        <w:t>….</w:t>
      </w:r>
      <w:r w:rsidRPr="00216A71">
        <w:rPr>
          <w:rFonts w:cstheme="minorHAnsi"/>
          <w:szCs w:val="20"/>
        </w:rPr>
        <w:t xml:space="preserve"> The fact that consortia are formed to bid for projects also limits choice and competition. For example an architects' firm may have the best design or there may be one contractor that has produced the best proposal, but unless these designs and proposals are part of the chosen consortium's bid they will not be used.”</w:t>
      </w:r>
      <w:r w:rsidRPr="00216A71">
        <w:rPr>
          <w:rFonts w:cstheme="minorHAnsi"/>
          <w:szCs w:val="20"/>
          <w:vertAlign w:val="superscript"/>
        </w:rPr>
        <w:endnoteReference w:id="160"/>
      </w:r>
    </w:p>
    <w:p w:rsidR="0087510F" w:rsidRPr="00216A71" w:rsidRDefault="0087510F" w:rsidP="0087510F">
      <w:pPr>
        <w:pStyle w:val="Heading2"/>
        <w:rPr>
          <w:rFonts w:asciiTheme="minorHAnsi" w:hAnsiTheme="minorHAnsi" w:cstheme="minorHAnsi"/>
          <w:szCs w:val="20"/>
        </w:rPr>
      </w:pPr>
      <w:bookmarkStart w:id="191" w:name="_Toc392857544"/>
      <w:r w:rsidRPr="00216A71">
        <w:rPr>
          <w:rFonts w:asciiTheme="minorHAnsi" w:hAnsiTheme="minorHAnsi" w:cstheme="minorHAnsi"/>
          <w:szCs w:val="20"/>
        </w:rPr>
        <w:t>Efficiency</w:t>
      </w:r>
      <w:bookmarkEnd w:id="187"/>
      <w:bookmarkEnd w:id="188"/>
      <w:bookmarkEnd w:id="191"/>
    </w:p>
    <w:p w:rsidR="000C629A" w:rsidRDefault="0087510F" w:rsidP="0087510F">
      <w:pPr>
        <w:rPr>
          <w:rFonts w:cstheme="minorHAnsi"/>
          <w:szCs w:val="20"/>
        </w:rPr>
      </w:pPr>
      <w:r w:rsidRPr="00216A71">
        <w:rPr>
          <w:rFonts w:cstheme="minorHAnsi"/>
          <w:szCs w:val="20"/>
        </w:rPr>
        <w:t xml:space="preserve">As noted in the section on costs of finance, the private sector has to demonstrate greater efficiency – not just in theory, but sufficiently large and certain to offset the large and certain extra cost of private capital. </w:t>
      </w:r>
    </w:p>
    <w:p w:rsidR="000C629A" w:rsidRDefault="00372FA2" w:rsidP="0087510F">
      <w:pPr>
        <w:rPr>
          <w:rFonts w:cstheme="minorHAnsi"/>
          <w:szCs w:val="20"/>
        </w:rPr>
      </w:pPr>
      <w:r w:rsidRPr="00216A71">
        <w:rPr>
          <w:rFonts w:cstheme="minorHAnsi"/>
          <w:szCs w:val="20"/>
        </w:rPr>
        <w:t>Most governments, politic</w:t>
      </w:r>
      <w:r w:rsidR="00750051" w:rsidRPr="00216A71">
        <w:rPr>
          <w:rFonts w:cstheme="minorHAnsi"/>
          <w:szCs w:val="20"/>
        </w:rPr>
        <w:t>i</w:t>
      </w:r>
      <w:r w:rsidRPr="00216A71">
        <w:rPr>
          <w:rFonts w:cstheme="minorHAnsi"/>
          <w:szCs w:val="20"/>
        </w:rPr>
        <w:t>ans, con</w:t>
      </w:r>
      <w:r w:rsidR="00E67155" w:rsidRPr="00216A71">
        <w:rPr>
          <w:rFonts w:cstheme="minorHAnsi"/>
          <w:szCs w:val="20"/>
        </w:rPr>
        <w:t>sultants and commentators assume and assert that the private sector is always more efficient – but the empirical evidence of numerous studies shows that this assumption is incorrect</w:t>
      </w:r>
      <w:r w:rsidR="00851810">
        <w:rPr>
          <w:rFonts w:cstheme="minorHAnsi"/>
          <w:szCs w:val="20"/>
        </w:rPr>
        <w:t>.</w:t>
      </w:r>
      <w:r w:rsidR="00E67155" w:rsidRPr="00216A71">
        <w:rPr>
          <w:rFonts w:cstheme="minorHAnsi"/>
          <w:szCs w:val="20"/>
        </w:rPr>
        <w:t xml:space="preserve"> </w:t>
      </w:r>
      <w:r w:rsidR="00851810">
        <w:rPr>
          <w:rFonts w:cstheme="minorHAnsi"/>
          <w:szCs w:val="20"/>
        </w:rPr>
        <w:t>I</w:t>
      </w:r>
      <w:r w:rsidR="00E67155" w:rsidRPr="00216A71">
        <w:rPr>
          <w:rFonts w:cstheme="minorHAnsi"/>
          <w:szCs w:val="20"/>
        </w:rPr>
        <w:t>n reality, private operators are no more efficient, and often create inefficiencies.</w:t>
      </w:r>
      <w:r w:rsidR="004045AD">
        <w:rPr>
          <w:rFonts w:cstheme="minorHAnsi"/>
          <w:szCs w:val="20"/>
        </w:rPr>
        <w:t xml:space="preserve"> </w:t>
      </w:r>
      <w:r w:rsidR="00851810">
        <w:rPr>
          <w:rFonts w:cstheme="minorHAnsi"/>
          <w:szCs w:val="20"/>
        </w:rPr>
        <w:t>I</w:t>
      </w:r>
      <w:r w:rsidR="0087510F" w:rsidRPr="00216A71">
        <w:rPr>
          <w:rFonts w:cstheme="minorHAnsi"/>
          <w:szCs w:val="20"/>
        </w:rPr>
        <w:t xml:space="preserve">n evaluating </w:t>
      </w:r>
      <w:r w:rsidR="00E67155" w:rsidRPr="00216A71">
        <w:rPr>
          <w:rFonts w:cstheme="minorHAnsi"/>
          <w:szCs w:val="20"/>
        </w:rPr>
        <w:t xml:space="preserve">proposals for </w:t>
      </w:r>
      <w:r w:rsidR="0087510F" w:rsidRPr="00216A71">
        <w:rPr>
          <w:rFonts w:cstheme="minorHAnsi"/>
          <w:szCs w:val="20"/>
        </w:rPr>
        <w:t xml:space="preserve">PPPs there cannot be any general assumption of superior private sector efficiency – the assumption should be of neutrality. </w:t>
      </w:r>
    </w:p>
    <w:p w:rsidR="000C629A" w:rsidRDefault="0087510F" w:rsidP="0087510F">
      <w:pPr>
        <w:autoSpaceDE w:val="0"/>
        <w:autoSpaceDN w:val="0"/>
        <w:adjustRightInd w:val="0"/>
        <w:rPr>
          <w:rFonts w:cstheme="minorHAnsi"/>
          <w:szCs w:val="20"/>
        </w:rPr>
      </w:pPr>
      <w:r w:rsidRPr="00216A71">
        <w:rPr>
          <w:rFonts w:cstheme="minorHAnsi"/>
          <w:szCs w:val="20"/>
        </w:rPr>
        <w:t xml:space="preserve">The evidence comes from </w:t>
      </w:r>
      <w:r w:rsidR="00E67155" w:rsidRPr="00216A71">
        <w:rPr>
          <w:rFonts w:cstheme="minorHAnsi"/>
          <w:szCs w:val="20"/>
        </w:rPr>
        <w:t>many</w:t>
      </w:r>
      <w:r w:rsidRPr="00216A71">
        <w:rPr>
          <w:rFonts w:cstheme="minorHAnsi"/>
          <w:szCs w:val="20"/>
        </w:rPr>
        <w:t xml:space="preserve"> studies. </w:t>
      </w:r>
    </w:p>
    <w:p w:rsidR="000C629A" w:rsidRDefault="0087510F" w:rsidP="00781FBC">
      <w:pPr>
        <w:pStyle w:val="ListParagraph"/>
        <w:numPr>
          <w:ilvl w:val="0"/>
          <w:numId w:val="63"/>
        </w:numPr>
        <w:autoSpaceDE w:val="0"/>
        <w:autoSpaceDN w:val="0"/>
        <w:adjustRightInd w:val="0"/>
        <w:rPr>
          <w:rFonts w:cstheme="minorHAnsi"/>
          <w:szCs w:val="20"/>
        </w:rPr>
      </w:pPr>
      <w:r w:rsidRPr="00216A71">
        <w:rPr>
          <w:rFonts w:cstheme="minorHAnsi"/>
          <w:szCs w:val="20"/>
        </w:rPr>
        <w:t>A global review of empirical evidence on efficiency of public and private utilities in 2005 by the World Bank concluded</w:t>
      </w:r>
      <w:r w:rsidR="00851810">
        <w:rPr>
          <w:rFonts w:cstheme="minorHAnsi"/>
          <w:szCs w:val="20"/>
        </w:rPr>
        <w:t>,</w:t>
      </w:r>
      <w:r w:rsidRPr="00216A71">
        <w:rPr>
          <w:rFonts w:cstheme="minorHAnsi"/>
          <w:szCs w:val="20"/>
        </w:rPr>
        <w:t xml:space="preserve"> “For utilities, it seems that in general ownership often does not matter as much as sometimes argued. Most cross-country papers on utilities find no statistically significant difference in efficiency scores betwee</w:t>
      </w:r>
      <w:r w:rsidR="002E1819" w:rsidRPr="00216A71">
        <w:rPr>
          <w:rFonts w:cstheme="minorHAnsi"/>
          <w:szCs w:val="20"/>
        </w:rPr>
        <w:t>n public and private providers.”</w:t>
      </w:r>
      <w:r w:rsidRPr="00216A71">
        <w:rPr>
          <w:rStyle w:val="EndnoteReference"/>
          <w:rFonts w:cstheme="minorHAnsi"/>
          <w:szCs w:val="20"/>
        </w:rPr>
        <w:endnoteReference w:id="161"/>
      </w:r>
      <w:r w:rsidR="004045AD">
        <w:rPr>
          <w:rFonts w:cstheme="minorHAnsi"/>
          <w:szCs w:val="20"/>
        </w:rPr>
        <w:t xml:space="preserve"> </w:t>
      </w:r>
      <w:r w:rsidR="002E1819" w:rsidRPr="00216A71">
        <w:rPr>
          <w:rFonts w:cstheme="minorHAnsi"/>
          <w:szCs w:val="20"/>
        </w:rPr>
        <w:t xml:space="preserve">Other studies have confirmed these results. </w:t>
      </w:r>
    </w:p>
    <w:p w:rsidR="000C629A" w:rsidRDefault="002E1819" w:rsidP="00781FBC">
      <w:pPr>
        <w:pStyle w:val="ListParagraph"/>
        <w:numPr>
          <w:ilvl w:val="0"/>
          <w:numId w:val="63"/>
        </w:numPr>
        <w:autoSpaceDE w:val="0"/>
        <w:autoSpaceDN w:val="0"/>
        <w:adjustRightInd w:val="0"/>
        <w:rPr>
          <w:rFonts w:cstheme="minorHAnsi"/>
          <w:szCs w:val="20"/>
        </w:rPr>
      </w:pPr>
      <w:r w:rsidRPr="00216A71">
        <w:rPr>
          <w:rFonts w:cstheme="minorHAnsi"/>
          <w:szCs w:val="20"/>
        </w:rPr>
        <w:t>In healthcare, public health services are far more efficient than private ones at ensuring universal quality healthcare and better life</w:t>
      </w:r>
      <w:r w:rsidR="00851810">
        <w:rPr>
          <w:rFonts w:cstheme="minorHAnsi"/>
          <w:szCs w:val="20"/>
        </w:rPr>
        <w:t>.</w:t>
      </w:r>
      <w:r w:rsidRPr="00216A71">
        <w:rPr>
          <w:rFonts w:cstheme="minorHAnsi"/>
          <w:szCs w:val="20"/>
        </w:rPr>
        <w:t xml:space="preserve"> </w:t>
      </w:r>
      <w:r w:rsidR="00851810">
        <w:rPr>
          <w:rFonts w:cstheme="minorHAnsi"/>
          <w:szCs w:val="20"/>
        </w:rPr>
        <w:t>T</w:t>
      </w:r>
      <w:r w:rsidRPr="00216A71">
        <w:rPr>
          <w:rFonts w:cstheme="minorHAnsi"/>
          <w:szCs w:val="20"/>
        </w:rPr>
        <w:t>he overwhelmingly private system of the USA costs about twice as much as public sector systems in European countries, but the life expectancy in the USA is lower, and the infant mortality rates higher, than in Europe.</w:t>
      </w:r>
    </w:p>
    <w:p w:rsidR="000C629A" w:rsidRDefault="0087510F" w:rsidP="00781FBC">
      <w:pPr>
        <w:pStyle w:val="ListParagraph"/>
        <w:numPr>
          <w:ilvl w:val="0"/>
          <w:numId w:val="63"/>
        </w:numPr>
        <w:autoSpaceDE w:val="0"/>
        <w:autoSpaceDN w:val="0"/>
        <w:adjustRightInd w:val="0"/>
        <w:rPr>
          <w:rFonts w:cstheme="minorHAnsi"/>
          <w:szCs w:val="20"/>
        </w:rPr>
      </w:pPr>
      <w:r w:rsidRPr="00216A71">
        <w:rPr>
          <w:rFonts w:cstheme="minorHAnsi"/>
          <w:szCs w:val="20"/>
        </w:rPr>
        <w:t>A study of cities with different types of bus operators found that the most efficient cities were equally likely to be public or private (Pina and Torres 2006).</w:t>
      </w:r>
      <w:r w:rsidRPr="00216A71">
        <w:rPr>
          <w:rStyle w:val="EndnoteReference"/>
          <w:rFonts w:cstheme="minorHAnsi"/>
          <w:szCs w:val="20"/>
        </w:rPr>
        <w:endnoteReference w:id="162"/>
      </w:r>
      <w:r w:rsidR="004045AD">
        <w:rPr>
          <w:rFonts w:cstheme="minorHAnsi"/>
          <w:szCs w:val="20"/>
        </w:rPr>
        <w:t xml:space="preserve"> </w:t>
      </w:r>
    </w:p>
    <w:p w:rsidR="000C629A" w:rsidRDefault="0087510F" w:rsidP="00781FBC">
      <w:pPr>
        <w:pStyle w:val="ListParagraph"/>
        <w:numPr>
          <w:ilvl w:val="0"/>
          <w:numId w:val="63"/>
        </w:numPr>
        <w:autoSpaceDE w:val="0"/>
        <w:autoSpaceDN w:val="0"/>
        <w:adjustRightInd w:val="0"/>
        <w:rPr>
          <w:rFonts w:cstheme="minorHAnsi"/>
          <w:szCs w:val="20"/>
        </w:rPr>
      </w:pPr>
      <w:r w:rsidRPr="00216A71">
        <w:rPr>
          <w:rFonts w:cstheme="minorHAnsi"/>
          <w:szCs w:val="20"/>
        </w:rPr>
        <w:t>Even in telecoms, a sector where the private sector is assumed to be performing better</w:t>
      </w:r>
      <w:r w:rsidR="0073642F" w:rsidRPr="00216A71">
        <w:rPr>
          <w:rFonts w:cstheme="minorHAnsi"/>
          <w:szCs w:val="20"/>
        </w:rPr>
        <w:t xml:space="preserve"> than the public sector,</w:t>
      </w:r>
      <w:r w:rsidRPr="00216A71">
        <w:rPr>
          <w:rFonts w:cstheme="minorHAnsi"/>
          <w:szCs w:val="20"/>
        </w:rPr>
        <w:t xml:space="preserve"> a global study comparing private and public companies found </w:t>
      </w:r>
      <w:r w:rsidR="00E67155" w:rsidRPr="00216A71">
        <w:rPr>
          <w:rFonts w:cstheme="minorHAnsi"/>
          <w:szCs w:val="20"/>
        </w:rPr>
        <w:t>the opposite</w:t>
      </w:r>
      <w:r w:rsidR="00851810">
        <w:rPr>
          <w:rFonts w:cstheme="minorHAnsi"/>
          <w:szCs w:val="20"/>
        </w:rPr>
        <w:t>.</w:t>
      </w:r>
      <w:r w:rsidR="00E67155" w:rsidRPr="00216A71">
        <w:rPr>
          <w:rFonts w:cstheme="minorHAnsi"/>
          <w:szCs w:val="20"/>
        </w:rPr>
        <w:t xml:space="preserve"> </w:t>
      </w:r>
      <w:r w:rsidR="00851810">
        <w:rPr>
          <w:rFonts w:cstheme="minorHAnsi"/>
          <w:szCs w:val="20"/>
        </w:rPr>
        <w:t>W</w:t>
      </w:r>
      <w:r w:rsidR="00E67155" w:rsidRPr="00216A71">
        <w:rPr>
          <w:rFonts w:cstheme="minorHAnsi"/>
          <w:szCs w:val="20"/>
        </w:rPr>
        <w:t xml:space="preserve">hile </w:t>
      </w:r>
      <w:r w:rsidRPr="00216A71">
        <w:rPr>
          <w:rFonts w:cstheme="minorHAnsi"/>
          <w:szCs w:val="20"/>
        </w:rPr>
        <w:t>there was indeed “efficiency growth following privatizations</w:t>
      </w:r>
      <w:r w:rsidR="00851810">
        <w:rPr>
          <w:rFonts w:cstheme="minorHAnsi"/>
          <w:szCs w:val="20"/>
        </w:rPr>
        <w:t xml:space="preserve">… </w:t>
      </w:r>
      <w:r w:rsidRPr="00216A71">
        <w:rPr>
          <w:rFonts w:cstheme="minorHAnsi"/>
          <w:szCs w:val="20"/>
        </w:rPr>
        <w:t>it is significantly smaller than growth in public sectors.” (Knyazeva, Knyazeva and Stiglitz 2006)</w:t>
      </w:r>
      <w:r w:rsidRPr="00216A71">
        <w:rPr>
          <w:rStyle w:val="EndnoteReference"/>
          <w:rFonts w:cstheme="minorHAnsi"/>
          <w:szCs w:val="20"/>
        </w:rPr>
        <w:endnoteReference w:id="163"/>
      </w:r>
      <w:r w:rsidRPr="00216A71">
        <w:rPr>
          <w:rFonts w:cstheme="minorHAnsi"/>
          <w:szCs w:val="20"/>
        </w:rPr>
        <w:t xml:space="preserve"> </w:t>
      </w:r>
    </w:p>
    <w:p w:rsidR="008374DA" w:rsidRPr="00216A71" w:rsidRDefault="0087510F" w:rsidP="0087510F">
      <w:pPr>
        <w:rPr>
          <w:rFonts w:cstheme="minorHAnsi"/>
          <w:szCs w:val="20"/>
        </w:rPr>
      </w:pPr>
      <w:r w:rsidRPr="00216A71">
        <w:rPr>
          <w:rFonts w:cstheme="minorHAnsi"/>
          <w:szCs w:val="20"/>
        </w:rPr>
        <w:t xml:space="preserve">The same results emerge from studies of PPPs in the UK. </w:t>
      </w:r>
    </w:p>
    <w:p w:rsidR="008374DA" w:rsidRPr="00216A71" w:rsidRDefault="0087510F" w:rsidP="00781FBC">
      <w:pPr>
        <w:pStyle w:val="ListParagraph"/>
        <w:numPr>
          <w:ilvl w:val="0"/>
          <w:numId w:val="59"/>
        </w:numPr>
        <w:rPr>
          <w:rFonts w:cstheme="minorHAnsi"/>
          <w:szCs w:val="20"/>
        </w:rPr>
      </w:pPr>
      <w:r w:rsidRPr="00216A71">
        <w:rPr>
          <w:rFonts w:cstheme="minorHAnsi"/>
          <w:szCs w:val="20"/>
        </w:rPr>
        <w:t>A study of the use of PPPs in defence</w:t>
      </w:r>
      <w:r w:rsidR="004045AD">
        <w:rPr>
          <w:rFonts w:cstheme="minorHAnsi"/>
          <w:szCs w:val="20"/>
        </w:rPr>
        <w:t xml:space="preserve"> </w:t>
      </w:r>
      <w:r w:rsidRPr="00216A71">
        <w:rPr>
          <w:rFonts w:cstheme="minorHAnsi"/>
          <w:szCs w:val="20"/>
        </w:rPr>
        <w:t>in the UK concluded that PPPs do not necessarily lead to</w:t>
      </w:r>
      <w:r w:rsidR="004045AD">
        <w:rPr>
          <w:rFonts w:cstheme="minorHAnsi"/>
          <w:szCs w:val="20"/>
        </w:rPr>
        <w:t xml:space="preserve"> </w:t>
      </w:r>
      <w:r w:rsidRPr="00216A71">
        <w:rPr>
          <w:rFonts w:cstheme="minorHAnsi"/>
          <w:szCs w:val="20"/>
        </w:rPr>
        <w:t>efficiency gains and that there are significant costs and disadvantages</w:t>
      </w:r>
      <w:r w:rsidR="00851810">
        <w:rPr>
          <w:rFonts w:cstheme="minorHAnsi"/>
          <w:szCs w:val="20"/>
        </w:rPr>
        <w:t>.</w:t>
      </w:r>
      <w:r w:rsidRPr="00216A71">
        <w:rPr>
          <w:rFonts w:cstheme="minorHAnsi"/>
          <w:szCs w:val="20"/>
        </w:rPr>
        <w:t xml:space="preserve"> “The conclusion of the analysis is that the use of PPPs will not necessarily lead to improved economic efficiency in defence procurement and that considerable care will need to be taken both in terms of negotiating PPPs, monitoring their performance, and in their renewal. The UK defence sector illustrates that PPPs involve significant transaction costs which must be set against any benefits in terms of economic efficiency incentives</w:t>
      </w:r>
      <w:r w:rsidR="00851810">
        <w:rPr>
          <w:rFonts w:cstheme="minorHAnsi"/>
          <w:szCs w:val="20"/>
        </w:rPr>
        <w:t>.</w:t>
      </w:r>
      <w:r w:rsidRPr="00216A71">
        <w:rPr>
          <w:rFonts w:cstheme="minorHAnsi"/>
          <w:szCs w:val="20"/>
        </w:rPr>
        <w:t>”</w:t>
      </w:r>
      <w:r w:rsidRPr="00216A71">
        <w:rPr>
          <w:rStyle w:val="EndnoteReference"/>
          <w:rFonts w:cstheme="minorHAnsi"/>
          <w:szCs w:val="20"/>
        </w:rPr>
        <w:endnoteReference w:id="164"/>
      </w:r>
    </w:p>
    <w:p w:rsidR="008374DA" w:rsidRPr="00216A71" w:rsidRDefault="004045AD" w:rsidP="008374DA">
      <w:pPr>
        <w:pStyle w:val="ListParagraph"/>
        <w:rPr>
          <w:rFonts w:cstheme="minorHAnsi"/>
          <w:szCs w:val="20"/>
        </w:rPr>
      </w:pPr>
      <w:r>
        <w:rPr>
          <w:rFonts w:cstheme="minorHAnsi"/>
          <w:szCs w:val="20"/>
        </w:rPr>
        <w:t xml:space="preserve"> </w:t>
      </w:r>
    </w:p>
    <w:p w:rsidR="008374DA" w:rsidRPr="00216A71" w:rsidRDefault="0087510F" w:rsidP="00781FBC">
      <w:pPr>
        <w:pStyle w:val="ListParagraph"/>
        <w:numPr>
          <w:ilvl w:val="0"/>
          <w:numId w:val="59"/>
        </w:numPr>
        <w:rPr>
          <w:rFonts w:cstheme="minorHAnsi"/>
          <w:szCs w:val="20"/>
        </w:rPr>
      </w:pPr>
      <w:r w:rsidRPr="00216A71">
        <w:rPr>
          <w:rFonts w:cstheme="minorHAnsi"/>
          <w:szCs w:val="20"/>
        </w:rPr>
        <w:t>A similar result emerged from a study of PPPs in the health and municipal services sectors in the UK</w:t>
      </w:r>
      <w:r w:rsidR="004758B5">
        <w:rPr>
          <w:rFonts w:cstheme="minorHAnsi"/>
          <w:szCs w:val="20"/>
        </w:rPr>
        <w:t>. It found there was</w:t>
      </w:r>
      <w:r w:rsidRPr="00216A71">
        <w:rPr>
          <w:rFonts w:cstheme="minorHAnsi"/>
          <w:szCs w:val="20"/>
        </w:rPr>
        <w:t xml:space="preserve"> “</w:t>
      </w:r>
      <w:r w:rsidRPr="00216A71">
        <w:rPr>
          <w:rFonts w:eastAsia="SimSun" w:cstheme="minorHAnsi"/>
          <w:szCs w:val="20"/>
          <w:lang w:val="en-US"/>
        </w:rPr>
        <w:t>a vicious circle of monitoring and distrust between partner organizations, in place of the old faith in bureaucratic process</w:t>
      </w:r>
      <w:r w:rsidR="004758B5">
        <w:rPr>
          <w:rFonts w:eastAsia="SimSun" w:cstheme="minorHAnsi"/>
          <w:szCs w:val="20"/>
          <w:lang w:val="en-US"/>
        </w:rPr>
        <w:t>.</w:t>
      </w:r>
      <w:r w:rsidRPr="00216A71">
        <w:rPr>
          <w:rFonts w:eastAsia="SimSun" w:cstheme="minorHAnsi"/>
          <w:szCs w:val="20"/>
          <w:lang w:val="en-US"/>
        </w:rPr>
        <w:t xml:space="preserve">” The </w:t>
      </w:r>
      <w:r w:rsidR="0073642F" w:rsidRPr="00216A71">
        <w:rPr>
          <w:rFonts w:eastAsia="SimSun" w:cstheme="minorHAnsi"/>
          <w:szCs w:val="20"/>
          <w:lang w:val="en-US"/>
        </w:rPr>
        <w:t xml:space="preserve">study also concluded that PPPs </w:t>
      </w:r>
      <w:r w:rsidRPr="00216A71">
        <w:rPr>
          <w:rFonts w:eastAsia="SimSun" w:cstheme="minorHAnsi"/>
          <w:szCs w:val="20"/>
          <w:lang w:val="en-US"/>
        </w:rPr>
        <w:t>present a significant threat to the ‘public service ethos</w:t>
      </w:r>
      <w:r w:rsidR="004758B5">
        <w:rPr>
          <w:rFonts w:eastAsia="SimSun" w:cstheme="minorHAnsi"/>
          <w:szCs w:val="20"/>
          <w:lang w:val="en-US"/>
        </w:rPr>
        <w:t>.</w:t>
      </w:r>
      <w:r w:rsidRPr="00216A71">
        <w:rPr>
          <w:rFonts w:eastAsia="SimSun" w:cstheme="minorHAnsi"/>
          <w:szCs w:val="20"/>
          <w:lang w:val="en-US"/>
        </w:rPr>
        <w:t>’</w:t>
      </w:r>
      <w:r w:rsidRPr="00216A71">
        <w:rPr>
          <w:rStyle w:val="EndnoteReference"/>
          <w:rFonts w:eastAsia="SimSun" w:cstheme="minorHAnsi"/>
          <w:szCs w:val="20"/>
          <w:lang w:val="en-US"/>
        </w:rPr>
        <w:endnoteReference w:id="165"/>
      </w:r>
    </w:p>
    <w:p w:rsidR="008374DA" w:rsidRPr="00216A71" w:rsidRDefault="004045AD" w:rsidP="008374DA">
      <w:pPr>
        <w:pStyle w:val="ListParagraph"/>
        <w:rPr>
          <w:rFonts w:cstheme="minorHAnsi"/>
          <w:szCs w:val="20"/>
        </w:rPr>
      </w:pPr>
      <w:r>
        <w:rPr>
          <w:rFonts w:cstheme="minorHAnsi"/>
          <w:szCs w:val="20"/>
        </w:rPr>
        <w:t xml:space="preserve"> </w:t>
      </w:r>
    </w:p>
    <w:p w:rsidR="000C629A" w:rsidRDefault="0087510F" w:rsidP="00781FBC">
      <w:pPr>
        <w:pStyle w:val="ListParagraph"/>
        <w:numPr>
          <w:ilvl w:val="0"/>
          <w:numId w:val="59"/>
        </w:numPr>
        <w:rPr>
          <w:rFonts w:cstheme="minorHAnsi"/>
          <w:bCs/>
          <w:color w:val="000000"/>
          <w:szCs w:val="20"/>
        </w:rPr>
      </w:pPr>
      <w:r w:rsidRPr="00216A71">
        <w:rPr>
          <w:rFonts w:cstheme="minorHAnsi"/>
          <w:szCs w:val="20"/>
        </w:rPr>
        <w:t>Demoralisation and inefficiency were also observed in a study of a UK hospital with a PFI scheme, where non-clinical staff were subject to four different sets of employment conditions</w:t>
      </w:r>
      <w:r w:rsidR="004045AD">
        <w:rPr>
          <w:rFonts w:cstheme="minorHAnsi"/>
          <w:szCs w:val="20"/>
        </w:rPr>
        <w:t xml:space="preserve"> – </w:t>
      </w:r>
      <w:r w:rsidRPr="00216A71">
        <w:rPr>
          <w:rFonts w:cstheme="minorHAnsi"/>
          <w:szCs w:val="20"/>
        </w:rPr>
        <w:t>national, local trust, conditions created by a private contractor following competitive tendering, and new conditions of the private PFI contractor. This created problems and animosity, with some staff receiving shift premia for weekend work, and others receiving none. Changes in working practices also had a destabilising effect. For example, the churn of catering staff rose from 10-15</w:t>
      </w:r>
      <w:r w:rsidR="00A42FDE">
        <w:rPr>
          <w:rFonts w:cstheme="minorHAnsi"/>
          <w:szCs w:val="20"/>
        </w:rPr>
        <w:t xml:space="preserve"> per cent</w:t>
      </w:r>
      <w:r w:rsidRPr="00216A71">
        <w:rPr>
          <w:rFonts w:cstheme="minorHAnsi"/>
          <w:szCs w:val="20"/>
        </w:rPr>
        <w:t xml:space="preserve"> per </w:t>
      </w:r>
      <w:r w:rsidRPr="00216A71">
        <w:rPr>
          <w:rFonts w:cstheme="minorHAnsi"/>
          <w:szCs w:val="20"/>
        </w:rPr>
        <w:lastRenderedPageBreak/>
        <w:t>annum to over 100</w:t>
      </w:r>
      <w:r w:rsidR="00A42FDE">
        <w:rPr>
          <w:rFonts w:cstheme="minorHAnsi"/>
          <w:szCs w:val="20"/>
        </w:rPr>
        <w:t xml:space="preserve"> per cent</w:t>
      </w:r>
      <w:r w:rsidRPr="00216A71">
        <w:rPr>
          <w:rFonts w:cstheme="minorHAnsi"/>
          <w:szCs w:val="20"/>
        </w:rPr>
        <w:t xml:space="preserve"> following the PFI, largely due to a change from cooking in kitchens to distribution of pre-cooked meals. (</w:t>
      </w:r>
      <w:r w:rsidRPr="00216A71">
        <w:rPr>
          <w:rFonts w:cstheme="minorHAnsi"/>
          <w:bCs/>
          <w:color w:val="000000"/>
          <w:szCs w:val="20"/>
        </w:rPr>
        <w:t>Earnshaw and Ellis 2004).</w:t>
      </w:r>
    </w:p>
    <w:bookmarkEnd w:id="189"/>
    <w:p w:rsidR="000C629A" w:rsidRDefault="00EB3FD4" w:rsidP="00EB3FD4">
      <w:pPr>
        <w:autoSpaceDE w:val="0"/>
        <w:autoSpaceDN w:val="0"/>
        <w:adjustRightInd w:val="0"/>
        <w:rPr>
          <w:rFonts w:cstheme="minorHAnsi"/>
          <w:szCs w:val="20"/>
        </w:rPr>
      </w:pPr>
      <w:r w:rsidRPr="00216A71">
        <w:rPr>
          <w:rFonts w:cstheme="minorHAnsi"/>
          <w:szCs w:val="20"/>
        </w:rPr>
        <w:t>The experience of re-municipalisation demonstrates that the public sector can dramatically improve efficiency. Since water services in Paris were re-municipalised, the price of water has been reduced by 8</w:t>
      </w:r>
      <w:r w:rsidR="00A42FDE">
        <w:rPr>
          <w:rFonts w:cstheme="minorHAnsi"/>
          <w:szCs w:val="20"/>
        </w:rPr>
        <w:t xml:space="preserve"> per cent</w:t>
      </w:r>
      <w:r w:rsidRPr="00216A71">
        <w:rPr>
          <w:rFonts w:cstheme="minorHAnsi"/>
          <w:szCs w:val="20"/>
        </w:rPr>
        <w:t>, because the public authority, Eau de Paris, has been able to make great improvements in coordination and planning.</w:t>
      </w:r>
      <w:r w:rsidR="004045AD">
        <w:rPr>
          <w:rFonts w:cstheme="minorHAnsi"/>
          <w:szCs w:val="20"/>
        </w:rPr>
        <w:t xml:space="preserve"> </w:t>
      </w:r>
      <w:r w:rsidRPr="00216A71">
        <w:rPr>
          <w:rFonts w:cstheme="minorHAnsi"/>
          <w:szCs w:val="20"/>
        </w:rPr>
        <w:t>Transport for London (TfL) has been able to make similar large efficiency gains since re</w:t>
      </w:r>
      <w:r w:rsidR="0066057E">
        <w:rPr>
          <w:rFonts w:cstheme="minorHAnsi"/>
          <w:szCs w:val="20"/>
        </w:rPr>
        <w:t>-</w:t>
      </w:r>
      <w:r w:rsidRPr="00216A71">
        <w:rPr>
          <w:rFonts w:cstheme="minorHAnsi"/>
          <w:szCs w:val="20"/>
        </w:rPr>
        <w:t>munic</w:t>
      </w:r>
      <w:r w:rsidR="00750051" w:rsidRPr="00216A71">
        <w:rPr>
          <w:rFonts w:cstheme="minorHAnsi"/>
          <w:szCs w:val="20"/>
        </w:rPr>
        <w:t>i</w:t>
      </w:r>
      <w:r w:rsidRPr="00216A71">
        <w:rPr>
          <w:rFonts w:cstheme="minorHAnsi"/>
          <w:szCs w:val="20"/>
        </w:rPr>
        <w:t>palising its PPPs, saving about £2</w:t>
      </w:r>
      <w:r w:rsidR="004758B5">
        <w:rPr>
          <w:rFonts w:cstheme="minorHAnsi"/>
          <w:szCs w:val="20"/>
        </w:rPr>
        <w:t xml:space="preserve"> </w:t>
      </w:r>
      <w:r w:rsidRPr="00216A71">
        <w:rPr>
          <w:rFonts w:cstheme="minorHAnsi"/>
          <w:szCs w:val="20"/>
        </w:rPr>
        <w:t>billion in total (see case study).</w:t>
      </w:r>
    </w:p>
    <w:p w:rsidR="0087510F" w:rsidRPr="00216A71" w:rsidRDefault="0087510F" w:rsidP="0087510F">
      <w:pPr>
        <w:pStyle w:val="Heading3"/>
        <w:rPr>
          <w:rFonts w:asciiTheme="minorHAnsi" w:hAnsiTheme="minorHAnsi" w:cstheme="minorHAnsi"/>
          <w:szCs w:val="20"/>
        </w:rPr>
      </w:pPr>
      <w:bookmarkStart w:id="192" w:name="_Toc212951549"/>
      <w:r w:rsidRPr="00216A71">
        <w:rPr>
          <w:rFonts w:asciiTheme="minorHAnsi" w:hAnsiTheme="minorHAnsi" w:cstheme="minorHAnsi"/>
          <w:szCs w:val="20"/>
        </w:rPr>
        <w:t>Competition</w:t>
      </w:r>
      <w:r w:rsidR="00E67155" w:rsidRPr="00216A71">
        <w:rPr>
          <w:rFonts w:asciiTheme="minorHAnsi" w:hAnsiTheme="minorHAnsi" w:cstheme="minorHAnsi"/>
          <w:szCs w:val="20"/>
        </w:rPr>
        <w:t>: worse with PPPs</w:t>
      </w:r>
    </w:p>
    <w:p w:rsidR="00E67155" w:rsidRPr="00216A71" w:rsidRDefault="0087510F" w:rsidP="0087510F">
      <w:pPr>
        <w:rPr>
          <w:rFonts w:cstheme="minorHAnsi"/>
          <w:szCs w:val="20"/>
        </w:rPr>
      </w:pPr>
      <w:r w:rsidRPr="00216A71">
        <w:rPr>
          <w:rFonts w:cstheme="minorHAnsi"/>
          <w:szCs w:val="20"/>
        </w:rPr>
        <w:t>The complexity</w:t>
      </w:r>
      <w:r w:rsidR="00E67155" w:rsidRPr="00216A71">
        <w:rPr>
          <w:rFonts w:cstheme="minorHAnsi"/>
          <w:szCs w:val="20"/>
        </w:rPr>
        <w:t xml:space="preserve"> of PPPs </w:t>
      </w:r>
      <w:r w:rsidRPr="00216A71">
        <w:rPr>
          <w:rFonts w:cstheme="minorHAnsi"/>
          <w:szCs w:val="20"/>
        </w:rPr>
        <w:t xml:space="preserve">means that few companies can </w:t>
      </w:r>
      <w:r w:rsidR="00E67155" w:rsidRPr="00216A71">
        <w:rPr>
          <w:rFonts w:cstheme="minorHAnsi"/>
          <w:szCs w:val="20"/>
        </w:rPr>
        <w:t>submit tenders, because of the cost of preparing bids</w:t>
      </w:r>
      <w:r w:rsidRPr="00216A71">
        <w:rPr>
          <w:rFonts w:cstheme="minorHAnsi"/>
          <w:szCs w:val="20"/>
        </w:rPr>
        <w:t>. As a result, there is less competition</w:t>
      </w:r>
      <w:r w:rsidR="00E67155" w:rsidRPr="00216A71">
        <w:rPr>
          <w:rFonts w:cstheme="minorHAnsi"/>
          <w:szCs w:val="20"/>
        </w:rPr>
        <w:t xml:space="preserve">. </w:t>
      </w:r>
    </w:p>
    <w:p w:rsidR="0087510F" w:rsidRPr="00216A71" w:rsidRDefault="00E67155" w:rsidP="00781FBC">
      <w:pPr>
        <w:pStyle w:val="ListParagraph"/>
        <w:numPr>
          <w:ilvl w:val="0"/>
          <w:numId w:val="60"/>
        </w:numPr>
        <w:rPr>
          <w:rFonts w:cstheme="minorHAnsi"/>
          <w:b/>
          <w:szCs w:val="20"/>
        </w:rPr>
      </w:pPr>
      <w:r w:rsidRPr="00216A71">
        <w:rPr>
          <w:rFonts w:cstheme="minorHAnsi"/>
          <w:szCs w:val="20"/>
        </w:rPr>
        <w:t>I</w:t>
      </w:r>
      <w:r w:rsidR="0087510F" w:rsidRPr="00216A71">
        <w:rPr>
          <w:rFonts w:cstheme="minorHAnsi"/>
          <w:szCs w:val="20"/>
        </w:rPr>
        <w:t>n the UK, a re</w:t>
      </w:r>
      <w:r w:rsidRPr="00216A71">
        <w:rPr>
          <w:rFonts w:cstheme="minorHAnsi"/>
          <w:szCs w:val="20"/>
        </w:rPr>
        <w:t>cent parliamentary report obser</w:t>
      </w:r>
      <w:r w:rsidR="0087510F" w:rsidRPr="00216A71">
        <w:rPr>
          <w:rFonts w:cstheme="minorHAnsi"/>
          <w:szCs w:val="20"/>
        </w:rPr>
        <w:t>ved</w:t>
      </w:r>
      <w:r w:rsidR="004758B5">
        <w:rPr>
          <w:rFonts w:cstheme="minorHAnsi"/>
          <w:szCs w:val="20"/>
        </w:rPr>
        <w:t xml:space="preserve">, </w:t>
      </w:r>
      <w:r w:rsidR="0087510F" w:rsidRPr="00216A71">
        <w:rPr>
          <w:rFonts w:cstheme="minorHAnsi"/>
          <w:szCs w:val="20"/>
        </w:rPr>
        <w:t>“The nature of PFI means that competition is likely to be less intense compared to other forms of procurement. We believe the barriers to entry to be too high, resulting in an uncompetitive market. The long, complex and costly procurement process limits the appetite for consortia to bid for projects and also means that only companies who can afford to lose millions of pounds in failed bids can be involved.”</w:t>
      </w:r>
    </w:p>
    <w:p w:rsidR="000C629A" w:rsidRDefault="00E67155" w:rsidP="00781FBC">
      <w:pPr>
        <w:pStyle w:val="ListParagraph"/>
        <w:numPr>
          <w:ilvl w:val="0"/>
          <w:numId w:val="60"/>
        </w:numPr>
        <w:rPr>
          <w:rFonts w:cstheme="minorHAnsi"/>
          <w:b/>
          <w:szCs w:val="20"/>
        </w:rPr>
      </w:pPr>
      <w:r w:rsidRPr="00216A71">
        <w:rPr>
          <w:rFonts w:cstheme="minorHAnsi"/>
          <w:szCs w:val="20"/>
        </w:rPr>
        <w:t xml:space="preserve">This also means that the process is more vulnerable to collusion and cartels between the few companies able to bid. In the water sector, both in France and elsewhere, the leading companies often submitted either joint tenders, or agreed to divide cities between them. </w:t>
      </w:r>
    </w:p>
    <w:p w:rsidR="000C629A" w:rsidRDefault="00E67155" w:rsidP="00E67155">
      <w:pPr>
        <w:rPr>
          <w:rFonts w:cstheme="minorHAnsi"/>
          <w:szCs w:val="20"/>
        </w:rPr>
      </w:pPr>
      <w:r w:rsidRPr="00216A71">
        <w:rPr>
          <w:rFonts w:cstheme="minorHAnsi"/>
          <w:szCs w:val="20"/>
        </w:rPr>
        <w:t xml:space="preserve">After a PPP is awarded, there is further lack of competition. Instead of the sub-contracts being put out for competitive tender, as they would be if the public sector was </w:t>
      </w:r>
      <w:r w:rsidR="008E2EDD" w:rsidRPr="00216A71">
        <w:rPr>
          <w:rFonts w:cstheme="minorHAnsi"/>
          <w:szCs w:val="20"/>
        </w:rPr>
        <w:t xml:space="preserve">running the project, the private companies involved in the PPP are able to award contracts to their own subsidiaries without competition – so they can charge much higher fees. </w:t>
      </w:r>
    </w:p>
    <w:p w:rsidR="008E2EDD" w:rsidRPr="00216A71" w:rsidRDefault="008E2EDD" w:rsidP="00781FBC">
      <w:pPr>
        <w:pStyle w:val="ListParagraph"/>
        <w:numPr>
          <w:ilvl w:val="0"/>
          <w:numId w:val="61"/>
        </w:numPr>
        <w:rPr>
          <w:rFonts w:cstheme="minorHAnsi"/>
          <w:szCs w:val="20"/>
        </w:rPr>
      </w:pPr>
      <w:r w:rsidRPr="00216A71">
        <w:rPr>
          <w:rFonts w:cstheme="minorHAnsi"/>
          <w:szCs w:val="20"/>
        </w:rPr>
        <w:t>This practice is common in water PPPs in France.</w:t>
      </w:r>
      <w:r w:rsidR="004045AD">
        <w:rPr>
          <w:rFonts w:cstheme="minorHAnsi"/>
          <w:szCs w:val="20"/>
        </w:rPr>
        <w:t xml:space="preserve"> </w:t>
      </w:r>
      <w:r w:rsidRPr="00216A71">
        <w:rPr>
          <w:rFonts w:cstheme="minorHAnsi"/>
          <w:szCs w:val="20"/>
        </w:rPr>
        <w:t>The same practice was replicated internationally</w:t>
      </w:r>
      <w:r w:rsidR="004758B5">
        <w:rPr>
          <w:rFonts w:cstheme="minorHAnsi"/>
          <w:szCs w:val="20"/>
        </w:rPr>
        <w:t>.</w:t>
      </w:r>
      <w:r w:rsidRPr="00216A71">
        <w:rPr>
          <w:rFonts w:cstheme="minorHAnsi"/>
          <w:szCs w:val="20"/>
        </w:rPr>
        <w:t xml:space="preserve"> </w:t>
      </w:r>
      <w:r w:rsidR="004758B5">
        <w:rPr>
          <w:rFonts w:cstheme="minorHAnsi"/>
          <w:szCs w:val="20"/>
        </w:rPr>
        <w:t>F</w:t>
      </w:r>
      <w:r w:rsidRPr="00216A71">
        <w:rPr>
          <w:rFonts w:cstheme="minorHAnsi"/>
          <w:szCs w:val="20"/>
        </w:rPr>
        <w:t>or example in Szeged, Hungary, when Veolia first won the water concession, they awarded all works contracts to their own wholly owned subsidiary.</w:t>
      </w:r>
      <w:r w:rsidR="004045AD">
        <w:rPr>
          <w:rFonts w:cstheme="minorHAnsi"/>
          <w:szCs w:val="20"/>
        </w:rPr>
        <w:t xml:space="preserve"> </w:t>
      </w:r>
      <w:r w:rsidRPr="00216A71">
        <w:rPr>
          <w:rFonts w:cstheme="minorHAnsi"/>
          <w:szCs w:val="20"/>
        </w:rPr>
        <w:t>The bidding for the concession of the water contract in Santiago, Chile, was heavily influenced by the knowledge that the winner would be responsible for awarding a $300</w:t>
      </w:r>
      <w:r w:rsidR="004758B5">
        <w:rPr>
          <w:rFonts w:cstheme="minorHAnsi"/>
          <w:szCs w:val="20"/>
        </w:rPr>
        <w:t xml:space="preserve"> </w:t>
      </w:r>
      <w:r w:rsidRPr="00216A71">
        <w:rPr>
          <w:rFonts w:cstheme="minorHAnsi"/>
          <w:szCs w:val="20"/>
        </w:rPr>
        <w:t>m</w:t>
      </w:r>
      <w:r w:rsidR="004758B5">
        <w:rPr>
          <w:rFonts w:cstheme="minorHAnsi"/>
          <w:szCs w:val="20"/>
        </w:rPr>
        <w:t>illion build-operate-transfer</w:t>
      </w:r>
      <w:r w:rsidRPr="00216A71">
        <w:rPr>
          <w:rFonts w:cstheme="minorHAnsi"/>
          <w:szCs w:val="20"/>
        </w:rPr>
        <w:t xml:space="preserve"> contract to build a wastewater treatment plant (La Farfana – then the largest wastewater treatment plant in Latin America). </w:t>
      </w:r>
    </w:p>
    <w:p w:rsidR="008E2EDD" w:rsidRPr="00216A71" w:rsidRDefault="004045AD" w:rsidP="008E2EDD">
      <w:pPr>
        <w:pStyle w:val="ListParagraph"/>
        <w:rPr>
          <w:rFonts w:cstheme="minorHAnsi"/>
          <w:szCs w:val="20"/>
        </w:rPr>
      </w:pPr>
      <w:r>
        <w:rPr>
          <w:rFonts w:cstheme="minorHAnsi"/>
          <w:szCs w:val="20"/>
        </w:rPr>
        <w:t xml:space="preserve"> </w:t>
      </w:r>
    </w:p>
    <w:p w:rsidR="00215198" w:rsidRPr="00216A71" w:rsidRDefault="008E2EDD" w:rsidP="00215198">
      <w:pPr>
        <w:pStyle w:val="ListParagraph"/>
        <w:numPr>
          <w:ilvl w:val="0"/>
          <w:numId w:val="61"/>
        </w:numPr>
        <w:rPr>
          <w:rFonts w:cstheme="minorHAnsi"/>
          <w:szCs w:val="20"/>
        </w:rPr>
      </w:pPr>
      <w:r w:rsidRPr="00216A71">
        <w:rPr>
          <w:rFonts w:cstheme="minorHAnsi"/>
          <w:szCs w:val="20"/>
        </w:rPr>
        <w:t>In the UK, there have been similar practices. In the Connect Communications PFI/PPP project for TfL (now terminated) the major shareholders of Connect – Thales, Fluor and Motorola</w:t>
      </w:r>
      <w:r w:rsidR="004758B5">
        <w:rPr>
          <w:rFonts w:cstheme="minorHAnsi"/>
          <w:szCs w:val="20"/>
        </w:rPr>
        <w:t xml:space="preserve"> </w:t>
      </w:r>
      <w:r w:rsidR="00FF6D63" w:rsidRPr="00216A71">
        <w:rPr>
          <w:rFonts w:cstheme="minorHAnsi"/>
          <w:szCs w:val="20"/>
        </w:rPr>
        <w:t>–</w:t>
      </w:r>
      <w:r w:rsidR="00FF6D63">
        <w:rPr>
          <w:rFonts w:cstheme="minorHAnsi"/>
          <w:szCs w:val="20"/>
        </w:rPr>
        <w:t xml:space="preserve"> </w:t>
      </w:r>
      <w:r w:rsidR="00FF6D63" w:rsidRPr="00216A71">
        <w:rPr>
          <w:rFonts w:cstheme="minorHAnsi"/>
          <w:szCs w:val="20"/>
        </w:rPr>
        <w:t>awarded</w:t>
      </w:r>
      <w:r w:rsidRPr="00216A71">
        <w:rPr>
          <w:rFonts w:cstheme="minorHAnsi"/>
          <w:szCs w:val="20"/>
        </w:rPr>
        <w:t xml:space="preserve"> their own subsidiaries the new build contract, and the </w:t>
      </w:r>
      <w:r w:rsidR="004758B5">
        <w:rPr>
          <w:rFonts w:cstheme="minorHAnsi"/>
          <w:szCs w:val="20"/>
        </w:rPr>
        <w:t>operation and maintenance</w:t>
      </w:r>
      <w:r w:rsidRPr="00216A71">
        <w:rPr>
          <w:rFonts w:cstheme="minorHAnsi"/>
          <w:szCs w:val="20"/>
        </w:rPr>
        <w:t xml:space="preserve"> contract.</w:t>
      </w:r>
      <w:r w:rsidRPr="00216A71">
        <w:rPr>
          <w:rStyle w:val="EndnoteReference"/>
          <w:rFonts w:cstheme="minorHAnsi"/>
          <w:szCs w:val="20"/>
        </w:rPr>
        <w:endnoteReference w:id="166"/>
      </w:r>
    </w:p>
    <w:p w:rsidR="0087510F" w:rsidRPr="00216A71" w:rsidRDefault="00215198" w:rsidP="0087510F">
      <w:pPr>
        <w:pStyle w:val="Heading8"/>
        <w:rPr>
          <w:rFonts w:asciiTheme="minorHAnsi" w:hAnsiTheme="minorHAnsi" w:cstheme="minorHAnsi"/>
          <w:szCs w:val="20"/>
        </w:rPr>
      </w:pPr>
      <w:r w:rsidRPr="00216A71">
        <w:rPr>
          <w:rFonts w:asciiTheme="minorHAnsi" w:hAnsiTheme="minorHAnsi" w:cstheme="minorHAnsi"/>
          <w:szCs w:val="20"/>
        </w:rPr>
        <w:t>I</w:t>
      </w:r>
      <w:r w:rsidR="008E2EDD" w:rsidRPr="00216A71">
        <w:rPr>
          <w:rFonts w:asciiTheme="minorHAnsi" w:hAnsiTheme="minorHAnsi" w:cstheme="minorHAnsi"/>
          <w:szCs w:val="20"/>
        </w:rPr>
        <w:t>nternal sub-contracting: the Connect PPP consortium in London</w:t>
      </w:r>
    </w:p>
    <w:p w:rsidR="0087510F" w:rsidRPr="00216A71" w:rsidRDefault="0087510F" w:rsidP="002E1819">
      <w:pPr>
        <w:rPr>
          <w:rFonts w:cstheme="minorHAnsi"/>
          <w:szCs w:val="20"/>
        </w:rPr>
      </w:pPr>
      <w:r w:rsidRPr="00216A71">
        <w:rPr>
          <w:rFonts w:cstheme="minorHAnsi"/>
          <w:noProof/>
          <w:szCs w:val="20"/>
          <w:lang w:eastAsia="en-GB"/>
        </w:rPr>
        <w:drawing>
          <wp:inline distT="0" distB="0" distL="0" distR="0" wp14:anchorId="344966A8" wp14:editId="7EF4037C">
            <wp:extent cx="4772891" cy="2796816"/>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779078" cy="2800441"/>
                    </a:xfrm>
                    <a:prstGeom prst="rect">
                      <a:avLst/>
                    </a:prstGeom>
                    <a:noFill/>
                    <a:ln>
                      <a:noFill/>
                    </a:ln>
                  </pic:spPr>
                </pic:pic>
              </a:graphicData>
            </a:graphic>
          </wp:inline>
        </w:drawing>
      </w:r>
    </w:p>
    <w:p w:rsidR="0087510F" w:rsidRPr="00216A71" w:rsidRDefault="0087510F" w:rsidP="002E1819">
      <w:pPr>
        <w:rPr>
          <w:rFonts w:cstheme="minorHAnsi"/>
          <w:szCs w:val="20"/>
        </w:rPr>
      </w:pPr>
      <w:r w:rsidRPr="00216A71">
        <w:rPr>
          <w:rFonts w:cstheme="minorHAnsi"/>
          <w:szCs w:val="20"/>
        </w:rPr>
        <w:t>Source: Bob Mitchell</w:t>
      </w:r>
      <w:r w:rsidR="00EB3FD4" w:rsidRPr="00216A71">
        <w:rPr>
          <w:rFonts w:cstheme="minorHAnsi"/>
          <w:szCs w:val="20"/>
        </w:rPr>
        <w:t>:</w:t>
      </w:r>
      <w:r w:rsidRPr="00216A71">
        <w:rPr>
          <w:rFonts w:cstheme="minorHAnsi"/>
          <w:szCs w:val="20"/>
        </w:rPr>
        <w:t xml:space="preserve"> </w:t>
      </w:r>
      <w:r w:rsidRPr="00216A71">
        <w:rPr>
          <w:rFonts w:cstheme="minorHAnsi"/>
          <w:bCs/>
          <w:szCs w:val="20"/>
        </w:rPr>
        <w:t xml:space="preserve">Connecting The Underground </w:t>
      </w:r>
      <w:r w:rsidRPr="00216A71">
        <w:rPr>
          <w:rFonts w:cstheme="minorHAnsi"/>
          <w:szCs w:val="20"/>
        </w:rPr>
        <w:t xml:space="preserve">19th Oct 2010 </w:t>
      </w:r>
      <w:hyperlink r:id="rId145" w:history="1">
        <w:r w:rsidR="002E1819" w:rsidRPr="00216A71">
          <w:rPr>
            <w:rStyle w:val="Hyperlink"/>
            <w:rFonts w:cstheme="minorHAnsi"/>
            <w:szCs w:val="20"/>
          </w:rPr>
          <w:t>http://www.ciltuk.org.uk/download_files/gtg026presentation.pdf</w:t>
        </w:r>
      </w:hyperlink>
      <w:r w:rsidRPr="00216A71">
        <w:rPr>
          <w:rFonts w:cstheme="minorHAnsi"/>
          <w:szCs w:val="20"/>
        </w:rPr>
        <w:t xml:space="preserve"> </w:t>
      </w:r>
    </w:p>
    <w:p w:rsidR="0087510F" w:rsidRPr="00216A71" w:rsidRDefault="0087510F" w:rsidP="0087510F">
      <w:pPr>
        <w:pStyle w:val="Heading2"/>
        <w:rPr>
          <w:rFonts w:asciiTheme="minorHAnsi" w:hAnsiTheme="minorHAnsi" w:cstheme="minorHAnsi"/>
          <w:szCs w:val="20"/>
        </w:rPr>
      </w:pPr>
      <w:bookmarkStart w:id="193" w:name="_Toc392857545"/>
      <w:r w:rsidRPr="00216A71">
        <w:rPr>
          <w:rFonts w:asciiTheme="minorHAnsi" w:hAnsiTheme="minorHAnsi" w:cstheme="minorHAnsi"/>
          <w:szCs w:val="20"/>
        </w:rPr>
        <w:lastRenderedPageBreak/>
        <w:t>Transaction costs</w:t>
      </w:r>
      <w:bookmarkEnd w:id="192"/>
      <w:bookmarkEnd w:id="193"/>
    </w:p>
    <w:p w:rsidR="0087510F" w:rsidRPr="00216A71" w:rsidRDefault="0087510F" w:rsidP="0087510F">
      <w:pPr>
        <w:pStyle w:val="Heading3"/>
        <w:rPr>
          <w:rFonts w:asciiTheme="minorHAnsi" w:hAnsiTheme="minorHAnsi" w:cstheme="minorHAnsi"/>
          <w:szCs w:val="20"/>
        </w:rPr>
      </w:pPr>
      <w:r w:rsidRPr="00216A71">
        <w:rPr>
          <w:rFonts w:asciiTheme="minorHAnsi" w:hAnsiTheme="minorHAnsi" w:cstheme="minorHAnsi"/>
          <w:szCs w:val="20"/>
        </w:rPr>
        <w:t>Procurement</w:t>
      </w:r>
      <w:r w:rsidR="002E1819" w:rsidRPr="00216A71">
        <w:rPr>
          <w:rFonts w:asciiTheme="minorHAnsi" w:hAnsiTheme="minorHAnsi" w:cstheme="minorHAnsi"/>
          <w:szCs w:val="20"/>
        </w:rPr>
        <w:t xml:space="preserve"> and monitoring</w:t>
      </w:r>
    </w:p>
    <w:p w:rsidR="000C629A" w:rsidRDefault="00EB53CF" w:rsidP="00EB53CF">
      <w:pPr>
        <w:rPr>
          <w:rFonts w:cstheme="minorHAnsi"/>
          <w:szCs w:val="20"/>
        </w:rPr>
      </w:pPr>
      <w:r w:rsidRPr="00216A71">
        <w:rPr>
          <w:rFonts w:cstheme="minorHAnsi"/>
          <w:szCs w:val="20"/>
        </w:rPr>
        <w:t>PPPs do not create themselves or monitor themselves. There are costs involved in setting them up, negotiating and renegotiating the details, and the monitoring and liaison between the public authority and private company, including legal processes.</w:t>
      </w:r>
      <w:r w:rsidR="004045AD">
        <w:rPr>
          <w:rFonts w:cstheme="minorHAnsi"/>
          <w:szCs w:val="20"/>
        </w:rPr>
        <w:t xml:space="preserve"> </w:t>
      </w:r>
      <w:r w:rsidRPr="00216A71">
        <w:rPr>
          <w:rFonts w:cstheme="minorHAnsi"/>
          <w:szCs w:val="20"/>
        </w:rPr>
        <w:t>These ‘transaction costs’ are a key reason why it is often more efficient for public and private organisations to do things themselves, in</w:t>
      </w:r>
      <w:r w:rsidR="00750051" w:rsidRPr="00216A71">
        <w:rPr>
          <w:rFonts w:cstheme="minorHAnsi"/>
          <w:szCs w:val="20"/>
        </w:rPr>
        <w:t>-</w:t>
      </w:r>
      <w:r w:rsidRPr="00216A71">
        <w:rPr>
          <w:rFonts w:cstheme="minorHAnsi"/>
          <w:szCs w:val="20"/>
        </w:rPr>
        <w:t>house, rather than contract an outside specialist to do so. PPPs are much more complicated than ordinary contracts, and so the transaction costs are expected to be higher.</w:t>
      </w:r>
    </w:p>
    <w:p w:rsidR="000C629A" w:rsidRDefault="00EB53CF" w:rsidP="00781FBC">
      <w:pPr>
        <w:pStyle w:val="ListParagraph"/>
        <w:numPr>
          <w:ilvl w:val="0"/>
          <w:numId w:val="20"/>
        </w:numPr>
        <w:rPr>
          <w:rFonts w:cstheme="minorHAnsi"/>
          <w:szCs w:val="20"/>
        </w:rPr>
      </w:pPr>
      <w:r w:rsidRPr="00216A71">
        <w:rPr>
          <w:rFonts w:cstheme="minorHAnsi"/>
          <w:szCs w:val="20"/>
        </w:rPr>
        <w:t xml:space="preserve">An EIB study of roads in central and </w:t>
      </w:r>
      <w:r w:rsidR="00FF6D63" w:rsidRPr="00216A71">
        <w:rPr>
          <w:rFonts w:cstheme="minorHAnsi"/>
          <w:szCs w:val="20"/>
        </w:rPr>
        <w:t>Eastern</w:t>
      </w:r>
      <w:r w:rsidRPr="00216A71">
        <w:rPr>
          <w:rFonts w:cstheme="minorHAnsi"/>
          <w:szCs w:val="20"/>
        </w:rPr>
        <w:t xml:space="preserve"> Europe found that roads built under traditional public sector methods were much better value than roads procured under PPPs, with transaction costs especially important</w:t>
      </w:r>
      <w:r w:rsidR="004758B5">
        <w:rPr>
          <w:rFonts w:cstheme="minorHAnsi"/>
          <w:szCs w:val="20"/>
        </w:rPr>
        <w:t>.</w:t>
      </w:r>
      <w:r w:rsidRPr="00216A71">
        <w:rPr>
          <w:rFonts w:cstheme="minorHAnsi"/>
          <w:szCs w:val="20"/>
        </w:rPr>
        <w:t xml:space="preserve"> “</w:t>
      </w:r>
      <w:r w:rsidR="004758B5">
        <w:rPr>
          <w:rFonts w:cstheme="minorHAnsi"/>
          <w:szCs w:val="20"/>
        </w:rPr>
        <w:t>T</w:t>
      </w:r>
      <w:r w:rsidRPr="00216A71">
        <w:rPr>
          <w:rFonts w:cstheme="minorHAnsi"/>
          <w:szCs w:val="20"/>
        </w:rPr>
        <w:t xml:space="preserve">raditionally procured highway projects outperformed PPPs on three counts: traditionally procured projects were often implemented faster than PPPs; they were less costly when all costs, notably transaction costs, were accounted for; and they resulted in lower distortions of modal and route choice, largely because toll-free, traditionally procured highways did not, by definition, divert traffic to other (toll-free) roads.” </w:t>
      </w:r>
      <w:r w:rsidRPr="00216A71">
        <w:rPr>
          <w:rStyle w:val="EndnoteReference"/>
          <w:rFonts w:cstheme="minorHAnsi"/>
          <w:szCs w:val="20"/>
        </w:rPr>
        <w:endnoteReference w:id="167"/>
      </w:r>
    </w:p>
    <w:p w:rsidR="000C629A" w:rsidRDefault="00EB53CF" w:rsidP="00781FBC">
      <w:pPr>
        <w:pStyle w:val="ListParagraph"/>
        <w:numPr>
          <w:ilvl w:val="0"/>
          <w:numId w:val="20"/>
        </w:numPr>
        <w:rPr>
          <w:rFonts w:cstheme="minorHAnsi"/>
          <w:szCs w:val="20"/>
        </w:rPr>
      </w:pPr>
      <w:r w:rsidRPr="00216A71">
        <w:rPr>
          <w:rFonts w:cstheme="minorHAnsi"/>
          <w:szCs w:val="20"/>
        </w:rPr>
        <w:t>An OECD report on Egypt acknowledged that</w:t>
      </w:r>
      <w:r w:rsidR="004045AD">
        <w:rPr>
          <w:rFonts w:cstheme="minorHAnsi"/>
          <w:szCs w:val="20"/>
        </w:rPr>
        <w:t xml:space="preserve"> </w:t>
      </w:r>
      <w:r w:rsidR="0087510F" w:rsidRPr="00216A71">
        <w:rPr>
          <w:rFonts w:cstheme="minorHAnsi"/>
          <w:szCs w:val="20"/>
        </w:rPr>
        <w:t>procuring</w:t>
      </w:r>
      <w:r w:rsidR="004045AD">
        <w:rPr>
          <w:rFonts w:cstheme="minorHAnsi"/>
          <w:szCs w:val="20"/>
        </w:rPr>
        <w:t xml:space="preserve"> </w:t>
      </w:r>
      <w:r w:rsidR="0087510F" w:rsidRPr="00216A71">
        <w:rPr>
          <w:rFonts w:cstheme="minorHAnsi"/>
          <w:szCs w:val="20"/>
        </w:rPr>
        <w:t>PPP projects is more complex and costly than</w:t>
      </w:r>
      <w:r w:rsidR="004045AD">
        <w:rPr>
          <w:rFonts w:cstheme="minorHAnsi"/>
          <w:szCs w:val="20"/>
        </w:rPr>
        <w:t xml:space="preserve"> </w:t>
      </w:r>
      <w:r w:rsidR="0087510F" w:rsidRPr="00216A71">
        <w:rPr>
          <w:rFonts w:cstheme="minorHAnsi"/>
          <w:szCs w:val="20"/>
        </w:rPr>
        <w:t>ordinary procurement, and so attempts to develop PPPs imposed a significant extra cost o</w:t>
      </w:r>
      <w:r w:rsidR="004758B5">
        <w:rPr>
          <w:rFonts w:cstheme="minorHAnsi"/>
          <w:szCs w:val="20"/>
        </w:rPr>
        <w:t>n</w:t>
      </w:r>
      <w:r w:rsidR="0087510F" w:rsidRPr="00216A71">
        <w:rPr>
          <w:rFonts w:cstheme="minorHAnsi"/>
          <w:szCs w:val="20"/>
        </w:rPr>
        <w:t xml:space="preserve"> the limited budgets of government departments.</w:t>
      </w:r>
      <w:r w:rsidR="0087510F" w:rsidRPr="00216A71">
        <w:rPr>
          <w:rFonts w:cstheme="minorHAnsi"/>
          <w:szCs w:val="20"/>
          <w:vertAlign w:val="superscript"/>
        </w:rPr>
        <w:endnoteReference w:id="168"/>
      </w:r>
      <w:r w:rsidR="004045AD">
        <w:rPr>
          <w:rFonts w:cstheme="minorHAnsi"/>
          <w:szCs w:val="20"/>
        </w:rPr>
        <w:t xml:space="preserve"> </w:t>
      </w:r>
    </w:p>
    <w:p w:rsidR="000C629A" w:rsidRDefault="0087510F" w:rsidP="00EB53CF">
      <w:pPr>
        <w:rPr>
          <w:rFonts w:cstheme="minorHAnsi"/>
          <w:szCs w:val="20"/>
        </w:rPr>
      </w:pPr>
      <w:r w:rsidRPr="00216A71">
        <w:rPr>
          <w:rFonts w:cstheme="minorHAnsi"/>
          <w:szCs w:val="20"/>
        </w:rPr>
        <w:t>A study by EIB researchers of projects across Europe found that the procurement costs averaged over 10</w:t>
      </w:r>
      <w:r w:rsidR="00A42FDE">
        <w:rPr>
          <w:rFonts w:cstheme="minorHAnsi"/>
          <w:szCs w:val="20"/>
        </w:rPr>
        <w:t xml:space="preserve"> per cent</w:t>
      </w:r>
      <w:r w:rsidRPr="00216A71">
        <w:rPr>
          <w:rFonts w:cstheme="minorHAnsi"/>
          <w:szCs w:val="20"/>
        </w:rPr>
        <w:t xml:space="preserve"> of the total value of</w:t>
      </w:r>
      <w:r w:rsidR="004045AD">
        <w:rPr>
          <w:rFonts w:cstheme="minorHAnsi"/>
          <w:szCs w:val="20"/>
        </w:rPr>
        <w:t xml:space="preserve"> </w:t>
      </w:r>
      <w:r w:rsidRPr="00216A71">
        <w:rPr>
          <w:rFonts w:cstheme="minorHAnsi"/>
          <w:szCs w:val="20"/>
        </w:rPr>
        <w:t>each PPP contract</w:t>
      </w:r>
      <w:r w:rsidR="00FA7EF8" w:rsidRPr="00216A71">
        <w:rPr>
          <w:rFonts w:cstheme="minorHAnsi"/>
          <w:szCs w:val="20"/>
        </w:rPr>
        <w:t>.</w:t>
      </w:r>
      <w:r w:rsidRPr="00216A71">
        <w:rPr>
          <w:rFonts w:cstheme="minorHAnsi"/>
          <w:szCs w:val="20"/>
          <w:vertAlign w:val="superscript"/>
        </w:rPr>
        <w:endnoteReference w:id="169"/>
      </w:r>
      <w:r w:rsidR="004045AD">
        <w:rPr>
          <w:rFonts w:cstheme="minorHAnsi"/>
          <w:szCs w:val="20"/>
        </w:rPr>
        <w:t xml:space="preserve"> </w:t>
      </w:r>
      <w:r w:rsidR="00EB53CF" w:rsidRPr="00216A71">
        <w:rPr>
          <w:rFonts w:cstheme="minorHAnsi"/>
          <w:szCs w:val="20"/>
        </w:rPr>
        <w:t>Evidence from the USA suggests that monitoring the performance of the private sector partner in PPP type of arrangements entails extra costs of between 3 and 25 percent of the contract value. As a consequence, it is recommended in the USA that monitoring costs of 10 percent of the contract value be budgeted in such arrangements.</w:t>
      </w:r>
      <w:r w:rsidR="00EB53CF" w:rsidRPr="00216A71">
        <w:rPr>
          <w:rStyle w:val="EndnoteReference"/>
          <w:rFonts w:cstheme="minorHAnsi"/>
          <w:szCs w:val="20"/>
        </w:rPr>
        <w:endnoteReference w:id="170"/>
      </w:r>
      <w:r w:rsidR="00EB53CF" w:rsidRPr="00216A71">
        <w:rPr>
          <w:rFonts w:cstheme="minorHAnsi"/>
          <w:szCs w:val="20"/>
        </w:rPr>
        <w:t xml:space="preserve"> If the EIB and the USA data are combined, then the total transaction costs for PPP projects could average over 20</w:t>
      </w:r>
      <w:r w:rsidR="00A42FDE">
        <w:rPr>
          <w:rFonts w:cstheme="minorHAnsi"/>
          <w:szCs w:val="20"/>
        </w:rPr>
        <w:t xml:space="preserve"> per cent</w:t>
      </w:r>
      <w:r w:rsidR="00EB53CF" w:rsidRPr="00216A71">
        <w:rPr>
          <w:rFonts w:cstheme="minorHAnsi"/>
          <w:szCs w:val="20"/>
        </w:rPr>
        <w:t xml:space="preserve"> of the total project value. </w:t>
      </w:r>
    </w:p>
    <w:p w:rsidR="00EB53CF" w:rsidRPr="00216A71" w:rsidRDefault="00EB53CF" w:rsidP="00EB53CF">
      <w:pPr>
        <w:pStyle w:val="Heading3"/>
        <w:rPr>
          <w:rFonts w:asciiTheme="minorHAnsi" w:hAnsiTheme="minorHAnsi" w:cstheme="minorHAnsi"/>
          <w:szCs w:val="20"/>
        </w:rPr>
      </w:pPr>
      <w:bookmarkStart w:id="194" w:name="_Toc212951550"/>
      <w:r w:rsidRPr="00216A71">
        <w:rPr>
          <w:rFonts w:asciiTheme="minorHAnsi" w:hAnsiTheme="minorHAnsi" w:cstheme="minorHAnsi"/>
          <w:szCs w:val="20"/>
        </w:rPr>
        <w:t xml:space="preserve">Lawyers and </w:t>
      </w:r>
      <w:r w:rsidR="002E1819" w:rsidRPr="00216A71">
        <w:rPr>
          <w:rFonts w:asciiTheme="minorHAnsi" w:hAnsiTheme="minorHAnsi" w:cstheme="minorHAnsi"/>
          <w:szCs w:val="20"/>
        </w:rPr>
        <w:t>consultants</w:t>
      </w:r>
    </w:p>
    <w:p w:rsidR="00EB53CF" w:rsidRPr="00216A71" w:rsidRDefault="00EB53CF" w:rsidP="00EB53CF">
      <w:pPr>
        <w:rPr>
          <w:rFonts w:cstheme="minorHAnsi"/>
          <w:szCs w:val="20"/>
        </w:rPr>
      </w:pPr>
      <w:r w:rsidRPr="00216A71">
        <w:rPr>
          <w:rFonts w:cstheme="minorHAnsi"/>
          <w:szCs w:val="20"/>
        </w:rPr>
        <w:t>The complexity of PPPs means that there are very high legal and accountancy expenses involved for both government and companies, with tendering periods lasting an average of 34 months.</w:t>
      </w:r>
      <w:r w:rsidRPr="00216A71">
        <w:rPr>
          <w:rFonts w:cstheme="minorHAnsi"/>
          <w:szCs w:val="20"/>
          <w:vertAlign w:val="superscript"/>
        </w:rPr>
        <w:t xml:space="preserve"> </w:t>
      </w:r>
      <w:r w:rsidRPr="00216A71">
        <w:rPr>
          <w:rFonts w:cstheme="minorHAnsi"/>
          <w:szCs w:val="20"/>
          <w:vertAlign w:val="superscript"/>
        </w:rPr>
        <w:endnoteReference w:id="171"/>
      </w:r>
    </w:p>
    <w:p w:rsidR="00EB53CF" w:rsidRPr="00216A71" w:rsidRDefault="002E1819" w:rsidP="00781FBC">
      <w:pPr>
        <w:pStyle w:val="ListParagraph"/>
        <w:numPr>
          <w:ilvl w:val="0"/>
          <w:numId w:val="62"/>
        </w:numPr>
        <w:rPr>
          <w:rFonts w:cstheme="minorHAnsi"/>
          <w:i/>
          <w:szCs w:val="20"/>
        </w:rPr>
      </w:pPr>
      <w:r w:rsidRPr="00216A71">
        <w:rPr>
          <w:rFonts w:cstheme="minorHAnsi"/>
          <w:szCs w:val="20"/>
        </w:rPr>
        <w:t>Lawyers were paid over £400</w:t>
      </w:r>
      <w:r w:rsidR="004758B5">
        <w:rPr>
          <w:rFonts w:cstheme="minorHAnsi"/>
          <w:szCs w:val="20"/>
        </w:rPr>
        <w:t xml:space="preserve"> </w:t>
      </w:r>
      <w:r w:rsidRPr="00216A71">
        <w:rPr>
          <w:rFonts w:cstheme="minorHAnsi"/>
          <w:szCs w:val="20"/>
        </w:rPr>
        <w:t>mi</w:t>
      </w:r>
      <w:r w:rsidR="0019719E">
        <w:rPr>
          <w:rFonts w:cstheme="minorHAnsi"/>
          <w:szCs w:val="20"/>
        </w:rPr>
        <w:t>l</w:t>
      </w:r>
      <w:r w:rsidRPr="00216A71">
        <w:rPr>
          <w:rFonts w:cstheme="minorHAnsi"/>
          <w:szCs w:val="20"/>
        </w:rPr>
        <w:t xml:space="preserve">lion in fees for the London transport PFI/PPPs alone. </w:t>
      </w:r>
      <w:r w:rsidR="00EB53CF" w:rsidRPr="00216A71">
        <w:rPr>
          <w:rFonts w:cstheme="minorHAnsi"/>
          <w:szCs w:val="20"/>
        </w:rPr>
        <w:t>The Financial Times estimates that on all PFI deals in the UK: “Consultants and lawyers have earned at least £2.8</w:t>
      </w:r>
      <w:r w:rsidR="004758B5">
        <w:rPr>
          <w:rFonts w:cstheme="minorHAnsi"/>
          <w:szCs w:val="20"/>
        </w:rPr>
        <w:t xml:space="preserve"> </w:t>
      </w:r>
      <w:r w:rsidR="00EB53CF" w:rsidRPr="00216A71">
        <w:rPr>
          <w:rFonts w:cstheme="minorHAnsi"/>
          <w:szCs w:val="20"/>
        </w:rPr>
        <w:t>b</w:t>
      </w:r>
      <w:r w:rsidR="004758B5">
        <w:rPr>
          <w:rFonts w:cstheme="minorHAnsi"/>
          <w:szCs w:val="20"/>
        </w:rPr>
        <w:t>illio</w:t>
      </w:r>
      <w:r w:rsidR="00EB53CF" w:rsidRPr="00216A71">
        <w:rPr>
          <w:rFonts w:cstheme="minorHAnsi"/>
          <w:szCs w:val="20"/>
        </w:rPr>
        <w:t>n and probably well over £4</w:t>
      </w:r>
      <w:r w:rsidR="004758B5">
        <w:rPr>
          <w:rFonts w:cstheme="minorHAnsi"/>
          <w:szCs w:val="20"/>
        </w:rPr>
        <w:t xml:space="preserve"> </w:t>
      </w:r>
      <w:r w:rsidR="00EB53CF" w:rsidRPr="00216A71">
        <w:rPr>
          <w:rFonts w:cstheme="minorHAnsi"/>
          <w:szCs w:val="20"/>
        </w:rPr>
        <w:t>b</w:t>
      </w:r>
      <w:r w:rsidR="004758B5">
        <w:rPr>
          <w:rFonts w:cstheme="minorHAnsi"/>
          <w:szCs w:val="20"/>
        </w:rPr>
        <w:t>illio</w:t>
      </w:r>
      <w:r w:rsidR="00EB53CF" w:rsidRPr="00216A71">
        <w:rPr>
          <w:rFonts w:cstheme="minorHAnsi"/>
          <w:szCs w:val="20"/>
        </w:rPr>
        <w:t>n advising on the deals</w:t>
      </w:r>
      <w:r w:rsidR="004758B5">
        <w:rPr>
          <w:rFonts w:cstheme="minorHAnsi"/>
          <w:szCs w:val="20"/>
        </w:rPr>
        <w:t>.</w:t>
      </w:r>
      <w:r w:rsidR="00EB53CF" w:rsidRPr="00216A71">
        <w:rPr>
          <w:rFonts w:cstheme="minorHAnsi"/>
          <w:szCs w:val="20"/>
        </w:rPr>
        <w:t>”</w:t>
      </w:r>
      <w:r w:rsidR="00EB53CF" w:rsidRPr="00216A71">
        <w:rPr>
          <w:rFonts w:cstheme="minorHAnsi"/>
          <w:szCs w:val="20"/>
          <w:vertAlign w:val="superscript"/>
        </w:rPr>
        <w:endnoteReference w:id="172"/>
      </w:r>
    </w:p>
    <w:p w:rsidR="00EB53CF" w:rsidRPr="00216A71" w:rsidRDefault="00EB53CF" w:rsidP="00781FBC">
      <w:pPr>
        <w:pStyle w:val="ListParagraph"/>
        <w:numPr>
          <w:ilvl w:val="0"/>
          <w:numId w:val="62"/>
        </w:numPr>
        <w:rPr>
          <w:rFonts w:cstheme="minorHAnsi"/>
          <w:szCs w:val="20"/>
        </w:rPr>
      </w:pPr>
      <w:r w:rsidRPr="00216A71">
        <w:rPr>
          <w:rFonts w:cstheme="minorHAnsi"/>
          <w:szCs w:val="20"/>
        </w:rPr>
        <w:t>A UK businessman has stated that the growth of PPPs in developing countries provides profitable opportunities for such advisers</w:t>
      </w:r>
      <w:r w:rsidR="004758B5">
        <w:rPr>
          <w:rFonts w:cstheme="minorHAnsi"/>
          <w:szCs w:val="20"/>
        </w:rPr>
        <w:t>.</w:t>
      </w:r>
      <w:r w:rsidRPr="00216A71">
        <w:rPr>
          <w:rFonts w:cstheme="minorHAnsi"/>
          <w:szCs w:val="20"/>
        </w:rPr>
        <w:t xml:space="preserve"> “PFI isn’t just an opportunity for UK construction companies; it’s also a huge opportunity for lawyers, advisers and banks.” </w:t>
      </w:r>
      <w:r w:rsidRPr="00216A71">
        <w:rPr>
          <w:rFonts w:cstheme="minorHAnsi"/>
          <w:szCs w:val="20"/>
          <w:vertAlign w:val="superscript"/>
        </w:rPr>
        <w:endnoteReference w:id="173"/>
      </w:r>
      <w:r w:rsidRPr="00216A71">
        <w:rPr>
          <w:rFonts w:cstheme="minorHAnsi"/>
          <w:szCs w:val="20"/>
        </w:rPr>
        <w:t xml:space="preserve"> </w:t>
      </w:r>
    </w:p>
    <w:p w:rsidR="00EB53CF" w:rsidRPr="00216A71" w:rsidRDefault="002A17DD" w:rsidP="00781FBC">
      <w:pPr>
        <w:pStyle w:val="Default"/>
        <w:numPr>
          <w:ilvl w:val="0"/>
          <w:numId w:val="62"/>
        </w:numPr>
        <w:rPr>
          <w:rFonts w:asciiTheme="minorHAnsi" w:hAnsiTheme="minorHAnsi" w:cstheme="minorHAnsi"/>
          <w:sz w:val="20"/>
          <w:szCs w:val="20"/>
          <w:lang w:eastAsia="en-US"/>
        </w:rPr>
      </w:pPr>
      <w:r w:rsidRPr="00191F44">
        <w:rPr>
          <w:rFonts w:asciiTheme="minorHAnsi" w:hAnsiTheme="minorHAnsi" w:cstheme="minorHAnsi"/>
        </w:rPr>
        <w:t>C</w:t>
      </w:r>
      <w:r w:rsidR="002E1819" w:rsidRPr="00191F44">
        <w:rPr>
          <w:rFonts w:asciiTheme="minorHAnsi" w:hAnsiTheme="minorHAnsi" w:cstheme="minorHAnsi"/>
        </w:rPr>
        <w:t>ontract disputes increase these transaction costs</w:t>
      </w:r>
      <w:r w:rsidR="004758B5">
        <w:rPr>
          <w:rFonts w:asciiTheme="minorHAnsi" w:hAnsiTheme="minorHAnsi" w:cstheme="minorHAnsi"/>
        </w:rPr>
        <w:t>.</w:t>
      </w:r>
      <w:r w:rsidR="00EB53CF" w:rsidRPr="00191F44">
        <w:rPr>
          <w:rFonts w:asciiTheme="minorHAnsi" w:hAnsiTheme="minorHAnsi" w:cstheme="minorHAnsi"/>
        </w:rPr>
        <w:t xml:space="preserve"> “</w:t>
      </w:r>
      <w:r w:rsidR="004758B5">
        <w:rPr>
          <w:rFonts w:asciiTheme="minorHAnsi" w:hAnsiTheme="minorHAnsi" w:cstheme="minorHAnsi"/>
        </w:rPr>
        <w:t>T</w:t>
      </w:r>
      <w:r w:rsidR="00EB53CF" w:rsidRPr="00191F44">
        <w:rPr>
          <w:rFonts w:asciiTheme="minorHAnsi" w:hAnsiTheme="minorHAnsi" w:cstheme="minorHAnsi"/>
        </w:rPr>
        <w:t>he development of quasi-markets has already led to a contractual culture</w:t>
      </w:r>
      <w:r w:rsidR="004758B5">
        <w:rPr>
          <w:rFonts w:asciiTheme="minorHAnsi" w:hAnsiTheme="minorHAnsi" w:cstheme="minorHAnsi"/>
        </w:rPr>
        <w:t xml:space="preserve">… </w:t>
      </w:r>
      <w:r w:rsidR="00EB53CF" w:rsidRPr="00191F44">
        <w:rPr>
          <w:rFonts w:asciiTheme="minorHAnsi" w:hAnsiTheme="minorHAnsi" w:cstheme="minorHAnsi"/>
        </w:rPr>
        <w:t>the health sector is becoming increasingly more of a playground for lawyers and legal firms.”</w:t>
      </w:r>
      <w:r w:rsidR="00EB53CF" w:rsidRPr="00216A71">
        <w:rPr>
          <w:rFonts w:asciiTheme="minorHAnsi" w:hAnsiTheme="minorHAnsi" w:cstheme="minorHAnsi"/>
          <w:sz w:val="20"/>
          <w:szCs w:val="20"/>
        </w:rPr>
        <w:t xml:space="preserve"> </w:t>
      </w:r>
      <w:r w:rsidR="00EB53CF" w:rsidRPr="00216A71">
        <w:rPr>
          <w:rStyle w:val="EndnoteReference"/>
          <w:rFonts w:asciiTheme="minorHAnsi" w:hAnsiTheme="minorHAnsi" w:cstheme="minorHAnsi"/>
          <w:sz w:val="20"/>
          <w:szCs w:val="20"/>
        </w:rPr>
        <w:endnoteReference w:id="174"/>
      </w:r>
    </w:p>
    <w:p w:rsidR="0087510F" w:rsidRPr="00216A71" w:rsidRDefault="0087510F" w:rsidP="0087510F">
      <w:pPr>
        <w:pStyle w:val="Heading2"/>
        <w:rPr>
          <w:rFonts w:asciiTheme="minorHAnsi" w:hAnsiTheme="minorHAnsi" w:cstheme="minorHAnsi"/>
          <w:szCs w:val="20"/>
        </w:rPr>
      </w:pPr>
      <w:bookmarkStart w:id="195" w:name="_Toc392857546"/>
      <w:r w:rsidRPr="00216A71">
        <w:rPr>
          <w:rFonts w:asciiTheme="minorHAnsi" w:hAnsiTheme="minorHAnsi" w:cstheme="minorHAnsi"/>
          <w:szCs w:val="20"/>
        </w:rPr>
        <w:t>Uncertainty</w:t>
      </w:r>
      <w:bookmarkEnd w:id="194"/>
      <w:bookmarkEnd w:id="195"/>
    </w:p>
    <w:p w:rsidR="000C629A" w:rsidRDefault="0087510F" w:rsidP="0087510F">
      <w:pPr>
        <w:rPr>
          <w:rFonts w:cstheme="minorHAnsi"/>
          <w:szCs w:val="20"/>
        </w:rPr>
      </w:pPr>
      <w:r w:rsidRPr="00216A71">
        <w:rPr>
          <w:rFonts w:cstheme="minorHAnsi"/>
          <w:szCs w:val="20"/>
        </w:rPr>
        <w:t>PPP contract</w:t>
      </w:r>
      <w:r w:rsidR="00500AE8" w:rsidRPr="00216A71">
        <w:rPr>
          <w:rFonts w:cstheme="minorHAnsi"/>
          <w:szCs w:val="20"/>
        </w:rPr>
        <w:t>s</w:t>
      </w:r>
      <w:r w:rsidRPr="00216A71">
        <w:rPr>
          <w:rFonts w:cstheme="minorHAnsi"/>
          <w:szCs w:val="20"/>
        </w:rPr>
        <w:t>, like other contracts, are imperfect (or ‘incomplete’). They cannot cover all the unknown circumstances and possible problems with delivery of service – especially over 25 to 30 years, a common lifetime for a PPP contract.</w:t>
      </w:r>
      <w:r w:rsidR="004045AD">
        <w:rPr>
          <w:rFonts w:cstheme="minorHAnsi"/>
          <w:szCs w:val="20"/>
        </w:rPr>
        <w:t xml:space="preserve"> </w:t>
      </w:r>
      <w:r w:rsidR="00EB3FD4" w:rsidRPr="00216A71">
        <w:rPr>
          <w:rFonts w:cstheme="minorHAnsi"/>
          <w:szCs w:val="20"/>
        </w:rPr>
        <w:t>These changes lead to renegotiations, which are opportunities for the companies to increase their charges.</w:t>
      </w:r>
      <w:r w:rsidR="004045AD">
        <w:rPr>
          <w:rFonts w:cstheme="minorHAnsi"/>
          <w:szCs w:val="20"/>
        </w:rPr>
        <w:t xml:space="preserve"> </w:t>
      </w:r>
      <w:r w:rsidRPr="00216A71">
        <w:rPr>
          <w:rFonts w:cstheme="minorHAnsi"/>
          <w:szCs w:val="20"/>
        </w:rPr>
        <w:t>The private partner may exploit a monopoly service to the detriment of the people it should be serving.</w:t>
      </w:r>
      <w:r w:rsidR="004045AD">
        <w:rPr>
          <w:rFonts w:cstheme="minorHAnsi"/>
          <w:szCs w:val="20"/>
        </w:rPr>
        <w:t xml:space="preserve"> </w:t>
      </w:r>
      <w:r w:rsidR="007E4721" w:rsidRPr="00216A71">
        <w:rPr>
          <w:rFonts w:cstheme="minorHAnsi"/>
          <w:szCs w:val="20"/>
        </w:rPr>
        <w:t xml:space="preserve">The contract itself is uncertain – it may turn out to have been illegal or corrupt in some way, with possible expensive consequences for the authority and the public at a later stage. </w:t>
      </w:r>
      <w:r w:rsidRPr="00216A71">
        <w:rPr>
          <w:rFonts w:cstheme="minorHAnsi"/>
          <w:szCs w:val="20"/>
        </w:rPr>
        <w:t>The contractor might fail to perform satisfactorily, or abandon the contract because it is not profitable enough, or go bankrupt. Governments ultimately take responsibility for maintaining the service and repaying bankers whatever happens to the private partner</w:t>
      </w:r>
      <w:r w:rsidR="004758B5">
        <w:rPr>
          <w:rFonts w:cstheme="minorHAnsi"/>
          <w:szCs w:val="20"/>
        </w:rPr>
        <w:t>.</w:t>
      </w:r>
      <w:r w:rsidRPr="00216A71">
        <w:rPr>
          <w:rFonts w:cstheme="minorHAnsi"/>
          <w:szCs w:val="20"/>
        </w:rPr>
        <w:t xml:space="preserve"> </w:t>
      </w:r>
      <w:r w:rsidR="004758B5">
        <w:rPr>
          <w:rFonts w:cstheme="minorHAnsi"/>
          <w:szCs w:val="20"/>
        </w:rPr>
        <w:t>T</w:t>
      </w:r>
      <w:r w:rsidRPr="00216A71">
        <w:rPr>
          <w:rFonts w:cstheme="minorHAnsi"/>
          <w:szCs w:val="20"/>
        </w:rPr>
        <w:t xml:space="preserve">hese ‘contingent liabilities’ may never happen, but they are expensive when they do. </w:t>
      </w:r>
    </w:p>
    <w:p w:rsidR="000C629A" w:rsidRDefault="0087510F" w:rsidP="0087510F">
      <w:pPr>
        <w:rPr>
          <w:rFonts w:cstheme="minorHAnsi"/>
          <w:szCs w:val="20"/>
        </w:rPr>
      </w:pPr>
      <w:r w:rsidRPr="00216A71">
        <w:rPr>
          <w:rFonts w:cstheme="minorHAnsi"/>
          <w:szCs w:val="20"/>
        </w:rPr>
        <w:t>Renegotiations are nearly always to the benefit of the private contractor, at the expense of the public – allowing higher prices or lower investments.</w:t>
      </w:r>
      <w:r w:rsidRPr="00216A71">
        <w:rPr>
          <w:rStyle w:val="EndnoteReference"/>
          <w:rFonts w:cstheme="minorHAnsi"/>
          <w:szCs w:val="20"/>
        </w:rPr>
        <w:endnoteReference w:id="175"/>
      </w:r>
      <w:r w:rsidR="004045AD">
        <w:rPr>
          <w:rFonts w:cstheme="minorHAnsi"/>
          <w:szCs w:val="20"/>
        </w:rPr>
        <w:t xml:space="preserve"> </w:t>
      </w:r>
    </w:p>
    <w:p w:rsidR="0087510F" w:rsidRPr="00216A71" w:rsidRDefault="00EB3FD4" w:rsidP="00781FBC">
      <w:pPr>
        <w:pStyle w:val="ListParagraph"/>
        <w:numPr>
          <w:ilvl w:val="0"/>
          <w:numId w:val="64"/>
        </w:numPr>
        <w:rPr>
          <w:rFonts w:cstheme="minorHAnsi"/>
          <w:szCs w:val="20"/>
        </w:rPr>
      </w:pPr>
      <w:r w:rsidRPr="00216A71">
        <w:rPr>
          <w:rFonts w:cstheme="minorHAnsi"/>
          <w:szCs w:val="20"/>
        </w:rPr>
        <w:lastRenderedPageBreak/>
        <w:t>In the UK, renegotiations occurred in 33</w:t>
      </w:r>
      <w:r w:rsidR="00A42FDE">
        <w:rPr>
          <w:rFonts w:cstheme="minorHAnsi"/>
          <w:szCs w:val="20"/>
        </w:rPr>
        <w:t xml:space="preserve"> per cent</w:t>
      </w:r>
      <w:r w:rsidRPr="00216A71">
        <w:rPr>
          <w:rFonts w:cstheme="minorHAnsi"/>
          <w:szCs w:val="20"/>
        </w:rPr>
        <w:t xml:space="preserve"> of PFI projects signed between 2004 and 2006, and each change was equivalent to 17</w:t>
      </w:r>
      <w:r w:rsidR="00A42FDE">
        <w:rPr>
          <w:rFonts w:cstheme="minorHAnsi"/>
          <w:szCs w:val="20"/>
        </w:rPr>
        <w:t xml:space="preserve"> per cent</w:t>
      </w:r>
      <w:r w:rsidRPr="00216A71">
        <w:rPr>
          <w:rFonts w:cstheme="minorHAnsi"/>
          <w:szCs w:val="20"/>
        </w:rPr>
        <w:t xml:space="preserve"> of the project value – on average, £4 million per year. </w:t>
      </w:r>
      <w:r w:rsidR="0087510F" w:rsidRPr="00216A71">
        <w:rPr>
          <w:rFonts w:cstheme="minorHAnsi"/>
          <w:szCs w:val="20"/>
        </w:rPr>
        <w:t>In one year in the UK, 2006, changes were made to PFI contracts costing a total of about £180</w:t>
      </w:r>
      <w:r w:rsidR="004758B5">
        <w:rPr>
          <w:rFonts w:cstheme="minorHAnsi"/>
          <w:szCs w:val="20"/>
        </w:rPr>
        <w:t xml:space="preserve"> </w:t>
      </w:r>
      <w:r w:rsidR="0087510F" w:rsidRPr="00216A71">
        <w:rPr>
          <w:rFonts w:cstheme="minorHAnsi"/>
          <w:szCs w:val="20"/>
        </w:rPr>
        <w:t>million – and the companies charged an extra £6 million to make these changes.</w:t>
      </w:r>
      <w:r w:rsidR="0087510F" w:rsidRPr="00216A71">
        <w:rPr>
          <w:rStyle w:val="EndnoteReference"/>
          <w:rFonts w:cstheme="minorHAnsi"/>
          <w:szCs w:val="20"/>
        </w:rPr>
        <w:endnoteReference w:id="176"/>
      </w:r>
      <w:r w:rsidR="004045AD">
        <w:rPr>
          <w:rFonts w:cstheme="minorHAnsi"/>
          <w:szCs w:val="20"/>
        </w:rPr>
        <w:t xml:space="preserve"> </w:t>
      </w:r>
    </w:p>
    <w:p w:rsidR="0087510F" w:rsidRPr="00216A71" w:rsidRDefault="00EB3FD4" w:rsidP="00781FBC">
      <w:pPr>
        <w:pStyle w:val="ListParagraph"/>
        <w:numPr>
          <w:ilvl w:val="0"/>
          <w:numId w:val="64"/>
        </w:numPr>
        <w:rPr>
          <w:rFonts w:cstheme="minorHAnsi"/>
          <w:szCs w:val="20"/>
        </w:rPr>
      </w:pPr>
      <w:r w:rsidRPr="00216A71">
        <w:rPr>
          <w:rFonts w:cstheme="minorHAnsi"/>
          <w:szCs w:val="20"/>
        </w:rPr>
        <w:t>In France</w:t>
      </w:r>
      <w:r w:rsidR="007E4721" w:rsidRPr="00216A71">
        <w:rPr>
          <w:rFonts w:cstheme="minorHAnsi"/>
          <w:szCs w:val="20"/>
        </w:rPr>
        <w:t>, t</w:t>
      </w:r>
      <w:r w:rsidR="0087510F" w:rsidRPr="00216A71">
        <w:rPr>
          <w:rFonts w:cstheme="minorHAnsi"/>
          <w:szCs w:val="20"/>
        </w:rPr>
        <w:t xml:space="preserve">he cost of a PPP hospital near Paris, l’Hopital Sud-francilien, has increased by €115 million above the original estimate, resulting in cuts in services. </w:t>
      </w:r>
      <w:r w:rsidR="0087510F" w:rsidRPr="00216A71">
        <w:rPr>
          <w:rFonts w:cstheme="minorHAnsi"/>
          <w:szCs w:val="20"/>
          <w:vertAlign w:val="superscript"/>
        </w:rPr>
        <w:endnoteReference w:id="177"/>
      </w:r>
    </w:p>
    <w:p w:rsidR="0087510F" w:rsidRPr="00216A71" w:rsidRDefault="007E4721" w:rsidP="00781FBC">
      <w:pPr>
        <w:pStyle w:val="ListParagraph"/>
        <w:numPr>
          <w:ilvl w:val="0"/>
          <w:numId w:val="64"/>
        </w:numPr>
        <w:rPr>
          <w:rStyle w:val="verdana"/>
          <w:rFonts w:cstheme="minorHAnsi"/>
          <w:szCs w:val="20"/>
        </w:rPr>
      </w:pPr>
      <w:r w:rsidRPr="00216A71">
        <w:rPr>
          <w:rFonts w:cstheme="minorHAnsi"/>
          <w:szCs w:val="20"/>
        </w:rPr>
        <w:t>In Chile and Colombia, three-quarters or more of roads PPPs were renegotiated, increasing</w:t>
      </w:r>
      <w:r w:rsidR="004045AD">
        <w:rPr>
          <w:rFonts w:cstheme="minorHAnsi"/>
          <w:szCs w:val="20"/>
        </w:rPr>
        <w:t xml:space="preserve"> </w:t>
      </w:r>
      <w:r w:rsidRPr="00216A71">
        <w:rPr>
          <w:rFonts w:cstheme="minorHAnsi"/>
          <w:szCs w:val="20"/>
        </w:rPr>
        <w:t>costs by between 20</w:t>
      </w:r>
      <w:r w:rsidR="00A42FDE">
        <w:rPr>
          <w:rFonts w:cstheme="minorHAnsi"/>
          <w:szCs w:val="20"/>
        </w:rPr>
        <w:t xml:space="preserve"> per cent</w:t>
      </w:r>
      <w:r w:rsidRPr="00216A71">
        <w:rPr>
          <w:rFonts w:cstheme="minorHAnsi"/>
          <w:szCs w:val="20"/>
        </w:rPr>
        <w:t xml:space="preserve"> and 140</w:t>
      </w:r>
      <w:r w:rsidR="00A42FDE">
        <w:rPr>
          <w:rFonts w:cstheme="minorHAnsi"/>
          <w:szCs w:val="20"/>
        </w:rPr>
        <w:t xml:space="preserve"> per cent</w:t>
      </w:r>
      <w:r w:rsidR="004758B5">
        <w:rPr>
          <w:rFonts w:cstheme="minorHAnsi"/>
          <w:szCs w:val="20"/>
        </w:rPr>
        <w:t>.</w:t>
      </w:r>
      <w:r w:rsidRPr="00216A71">
        <w:rPr>
          <w:rFonts w:cstheme="minorHAnsi"/>
          <w:szCs w:val="20"/>
        </w:rPr>
        <w:t xml:space="preserve"> (</w:t>
      </w:r>
      <w:r w:rsidR="004758B5">
        <w:rPr>
          <w:rFonts w:cstheme="minorHAnsi"/>
          <w:szCs w:val="20"/>
        </w:rPr>
        <w:t>S</w:t>
      </w:r>
      <w:r w:rsidRPr="00216A71">
        <w:rPr>
          <w:rFonts w:cstheme="minorHAnsi"/>
          <w:szCs w:val="20"/>
        </w:rPr>
        <w:t>ee case study</w:t>
      </w:r>
      <w:r w:rsidR="004758B5">
        <w:rPr>
          <w:rFonts w:cstheme="minorHAnsi"/>
          <w:szCs w:val="20"/>
        </w:rPr>
        <w:t xml:space="preserve"> in Section 7.3</w:t>
      </w:r>
      <w:r w:rsidRPr="00216A71">
        <w:rPr>
          <w:rFonts w:cstheme="minorHAnsi"/>
          <w:szCs w:val="20"/>
        </w:rPr>
        <w:t>)</w:t>
      </w:r>
    </w:p>
    <w:p w:rsidR="007E4721" w:rsidRPr="00216A71" w:rsidRDefault="007E4721" w:rsidP="007E4721">
      <w:pPr>
        <w:pStyle w:val="Heading2"/>
        <w:rPr>
          <w:rFonts w:asciiTheme="minorHAnsi" w:hAnsiTheme="minorHAnsi" w:cstheme="minorHAnsi"/>
          <w:szCs w:val="20"/>
        </w:rPr>
      </w:pPr>
      <w:bookmarkStart w:id="196" w:name="_Toc392857547"/>
      <w:r w:rsidRPr="00216A71">
        <w:rPr>
          <w:rFonts w:asciiTheme="minorHAnsi" w:hAnsiTheme="minorHAnsi" w:cstheme="minorHAnsi"/>
          <w:szCs w:val="20"/>
        </w:rPr>
        <w:t>Value for money: a summary of the evidence</w:t>
      </w:r>
      <w:bookmarkEnd w:id="196"/>
    </w:p>
    <w:p w:rsidR="007E4721" w:rsidRPr="00216A71" w:rsidRDefault="007E4721" w:rsidP="007E4721">
      <w:pPr>
        <w:rPr>
          <w:rFonts w:cstheme="minorHAnsi"/>
          <w:szCs w:val="20"/>
        </w:rPr>
      </w:pPr>
      <w:r w:rsidRPr="00216A71">
        <w:rPr>
          <w:rFonts w:cstheme="minorHAnsi"/>
          <w:szCs w:val="20"/>
        </w:rPr>
        <w:t>The evidence from international experience and studies of PPPs can be summarised as follows:</w:t>
      </w:r>
    </w:p>
    <w:p w:rsidR="007E4721" w:rsidRPr="00216A71" w:rsidRDefault="004758B5" w:rsidP="00781FBC">
      <w:pPr>
        <w:pStyle w:val="ListParagraph"/>
        <w:numPr>
          <w:ilvl w:val="0"/>
          <w:numId w:val="55"/>
        </w:numPr>
        <w:ind w:left="360"/>
        <w:rPr>
          <w:rFonts w:cstheme="minorHAnsi"/>
          <w:szCs w:val="20"/>
        </w:rPr>
      </w:pPr>
      <w:r>
        <w:rPr>
          <w:rFonts w:cstheme="minorHAnsi"/>
          <w:szCs w:val="20"/>
        </w:rPr>
        <w:t>T</w:t>
      </w:r>
      <w:r w:rsidR="007E4721" w:rsidRPr="00216A71">
        <w:rPr>
          <w:rFonts w:cstheme="minorHAnsi"/>
          <w:szCs w:val="20"/>
        </w:rPr>
        <w:t xml:space="preserve">he cost of capital is always cheaper without a PPP, for high income and developing countries alike. </w:t>
      </w:r>
    </w:p>
    <w:p w:rsidR="007E4721" w:rsidRPr="00216A71" w:rsidRDefault="007E4721" w:rsidP="00781FBC">
      <w:pPr>
        <w:pStyle w:val="ListParagraph"/>
        <w:numPr>
          <w:ilvl w:val="0"/>
          <w:numId w:val="55"/>
        </w:numPr>
        <w:ind w:left="360"/>
        <w:rPr>
          <w:rFonts w:cstheme="minorHAnsi"/>
          <w:szCs w:val="20"/>
        </w:rPr>
      </w:pPr>
      <w:r w:rsidRPr="00216A71">
        <w:rPr>
          <w:rFonts w:cstheme="minorHAnsi"/>
          <w:szCs w:val="20"/>
        </w:rPr>
        <w:t>The cost of construction is</w:t>
      </w:r>
      <w:r w:rsidR="004045AD">
        <w:rPr>
          <w:rFonts w:cstheme="minorHAnsi"/>
          <w:szCs w:val="20"/>
        </w:rPr>
        <w:t xml:space="preserve"> </w:t>
      </w:r>
      <w:r w:rsidRPr="00216A71">
        <w:rPr>
          <w:rFonts w:cstheme="minorHAnsi"/>
          <w:szCs w:val="20"/>
        </w:rPr>
        <w:t>higher under a PPP, because the financiers require a turnkey contract, which is about 25</w:t>
      </w:r>
      <w:r w:rsidR="00A42FDE">
        <w:rPr>
          <w:rFonts w:cstheme="minorHAnsi"/>
          <w:szCs w:val="20"/>
        </w:rPr>
        <w:t xml:space="preserve"> per cent</w:t>
      </w:r>
      <w:r w:rsidRPr="00216A71">
        <w:rPr>
          <w:rFonts w:cstheme="minorHAnsi"/>
          <w:szCs w:val="20"/>
        </w:rPr>
        <w:t xml:space="preserve"> more expensive</w:t>
      </w:r>
      <w:r w:rsidR="004758B5">
        <w:rPr>
          <w:rFonts w:cstheme="minorHAnsi"/>
          <w:szCs w:val="20"/>
        </w:rPr>
        <w:t>.</w:t>
      </w:r>
    </w:p>
    <w:p w:rsidR="007E4721" w:rsidRPr="00216A71" w:rsidRDefault="004758B5" w:rsidP="00781FBC">
      <w:pPr>
        <w:pStyle w:val="ListParagraph"/>
        <w:numPr>
          <w:ilvl w:val="0"/>
          <w:numId w:val="55"/>
        </w:numPr>
        <w:ind w:left="360"/>
        <w:rPr>
          <w:rFonts w:cstheme="minorHAnsi"/>
          <w:szCs w:val="20"/>
        </w:rPr>
      </w:pPr>
      <w:r>
        <w:rPr>
          <w:rFonts w:cstheme="minorHAnsi"/>
          <w:szCs w:val="20"/>
        </w:rPr>
        <w:t>T</w:t>
      </w:r>
      <w:r w:rsidR="007E4721" w:rsidRPr="00216A71">
        <w:rPr>
          <w:rFonts w:cstheme="minorHAnsi"/>
          <w:szCs w:val="20"/>
        </w:rPr>
        <w:t>he private sector is not more efficient in operation, and the public sector has the advantage of greater flexibility</w:t>
      </w:r>
      <w:r>
        <w:rPr>
          <w:rFonts w:cstheme="minorHAnsi"/>
          <w:szCs w:val="20"/>
        </w:rPr>
        <w:t>.</w:t>
      </w:r>
    </w:p>
    <w:p w:rsidR="007E4721" w:rsidRPr="00216A71" w:rsidRDefault="007E4721" w:rsidP="00781FBC">
      <w:pPr>
        <w:pStyle w:val="ListParagraph"/>
        <w:numPr>
          <w:ilvl w:val="0"/>
          <w:numId w:val="55"/>
        </w:numPr>
        <w:ind w:left="360"/>
        <w:rPr>
          <w:rFonts w:cstheme="minorHAnsi"/>
          <w:szCs w:val="20"/>
        </w:rPr>
      </w:pPr>
      <w:r w:rsidRPr="00216A71">
        <w:rPr>
          <w:rFonts w:cstheme="minorHAnsi"/>
          <w:szCs w:val="20"/>
        </w:rPr>
        <w:t>The transactions costs of tendering and monitoring PPPs add 10-20</w:t>
      </w:r>
      <w:r w:rsidR="00A42FDE">
        <w:rPr>
          <w:rFonts w:cstheme="minorHAnsi"/>
          <w:szCs w:val="20"/>
        </w:rPr>
        <w:t xml:space="preserve"> per cent</w:t>
      </w:r>
      <w:r w:rsidRPr="00216A71">
        <w:rPr>
          <w:rFonts w:cstheme="minorHAnsi"/>
          <w:szCs w:val="20"/>
        </w:rPr>
        <w:t xml:space="preserve"> to their costs</w:t>
      </w:r>
      <w:r w:rsidR="004758B5">
        <w:rPr>
          <w:rFonts w:cstheme="minorHAnsi"/>
          <w:szCs w:val="20"/>
        </w:rPr>
        <w:t>.</w:t>
      </w:r>
    </w:p>
    <w:p w:rsidR="007E4721" w:rsidRPr="00216A71" w:rsidRDefault="004758B5" w:rsidP="00781FBC">
      <w:pPr>
        <w:pStyle w:val="ListParagraph"/>
        <w:numPr>
          <w:ilvl w:val="0"/>
          <w:numId w:val="55"/>
        </w:numPr>
        <w:ind w:left="360"/>
        <w:rPr>
          <w:rFonts w:cstheme="minorHAnsi"/>
          <w:szCs w:val="20"/>
        </w:rPr>
      </w:pPr>
      <w:r>
        <w:rPr>
          <w:rFonts w:cstheme="minorHAnsi"/>
          <w:szCs w:val="20"/>
        </w:rPr>
        <w:t>T</w:t>
      </w:r>
      <w:r w:rsidR="007E4721" w:rsidRPr="00216A71">
        <w:rPr>
          <w:rFonts w:cstheme="minorHAnsi"/>
          <w:szCs w:val="20"/>
        </w:rPr>
        <w:t xml:space="preserve">he public sector faces real risks from PPPs including incomplete contracts, the likelihood of renegotiations, </w:t>
      </w:r>
      <w:r>
        <w:rPr>
          <w:rFonts w:cstheme="minorHAnsi"/>
          <w:szCs w:val="20"/>
        </w:rPr>
        <w:t xml:space="preserve">and </w:t>
      </w:r>
      <w:r w:rsidR="007E4721" w:rsidRPr="00216A71">
        <w:rPr>
          <w:rFonts w:cstheme="minorHAnsi"/>
          <w:szCs w:val="20"/>
        </w:rPr>
        <w:t>the potential public liabilities in case of bankruptcy or default by the private company</w:t>
      </w:r>
      <w:r>
        <w:rPr>
          <w:rFonts w:cstheme="minorHAnsi"/>
          <w:szCs w:val="20"/>
        </w:rPr>
        <w:t>.</w:t>
      </w:r>
    </w:p>
    <w:p w:rsidR="000C629A" w:rsidRDefault="004758B5" w:rsidP="00160AAB">
      <w:pPr>
        <w:pStyle w:val="ListParagraph"/>
        <w:numPr>
          <w:ilvl w:val="0"/>
          <w:numId w:val="55"/>
        </w:numPr>
        <w:ind w:left="360"/>
        <w:rPr>
          <w:rFonts w:cstheme="minorHAnsi"/>
          <w:szCs w:val="20"/>
        </w:rPr>
      </w:pPr>
      <w:r>
        <w:rPr>
          <w:rFonts w:cstheme="minorHAnsi"/>
          <w:szCs w:val="20"/>
        </w:rPr>
        <w:t>T</w:t>
      </w:r>
      <w:r w:rsidR="007E4721" w:rsidRPr="00216A71">
        <w:rPr>
          <w:rFonts w:cstheme="minorHAnsi"/>
          <w:szCs w:val="20"/>
        </w:rPr>
        <w:t xml:space="preserve">here are negative impacts on public services, the environment and workers, from cost-cutting or from distorted selection of projects to suit the need for profitability in PPPs. </w:t>
      </w:r>
    </w:p>
    <w:p w:rsidR="000C77D5" w:rsidRPr="00216A71" w:rsidRDefault="00896460" w:rsidP="00CE1FBB">
      <w:pPr>
        <w:pStyle w:val="Heading1"/>
      </w:pPr>
      <w:bookmarkStart w:id="197" w:name="_Toc392857548"/>
      <w:r w:rsidRPr="00216A71">
        <w:t>Conclusion: t</w:t>
      </w:r>
      <w:r w:rsidR="000C77D5" w:rsidRPr="00216A71">
        <w:t>he public alternative</w:t>
      </w:r>
      <w:bookmarkEnd w:id="197"/>
    </w:p>
    <w:p w:rsidR="000C629A" w:rsidRDefault="000C77D5" w:rsidP="000C77D5">
      <w:pPr>
        <w:rPr>
          <w:rFonts w:cstheme="minorHAnsi"/>
          <w:szCs w:val="20"/>
        </w:rPr>
      </w:pPr>
      <w:r w:rsidRPr="00216A71">
        <w:rPr>
          <w:rFonts w:cstheme="minorHAnsi"/>
          <w:szCs w:val="20"/>
        </w:rPr>
        <w:t>Governments and local governments can continue to develop infrastructure by using public finance for</w:t>
      </w:r>
      <w:r w:rsidR="004045AD">
        <w:rPr>
          <w:rFonts w:cstheme="minorHAnsi"/>
          <w:szCs w:val="20"/>
        </w:rPr>
        <w:t xml:space="preserve"> </w:t>
      </w:r>
      <w:r w:rsidRPr="00216A71">
        <w:rPr>
          <w:rFonts w:cstheme="minorHAnsi"/>
          <w:szCs w:val="20"/>
        </w:rPr>
        <w:t xml:space="preserve">investment, and public sector organisations to deliver the service. This gives the public sector a number of advantages, including flexibility, control, and efficiency. </w:t>
      </w:r>
    </w:p>
    <w:p w:rsidR="000C77D5" w:rsidRPr="00216A71" w:rsidRDefault="000C77D5" w:rsidP="000C77D5">
      <w:pPr>
        <w:rPr>
          <w:rFonts w:cstheme="minorHAnsi"/>
          <w:szCs w:val="20"/>
        </w:rPr>
      </w:pPr>
      <w:r w:rsidRPr="00216A71">
        <w:rPr>
          <w:rFonts w:cstheme="minorHAnsi"/>
          <w:szCs w:val="20"/>
        </w:rPr>
        <w:t>The public sector can raise long-term, cheap finance at lower interest rates and over far longer time periods than could any private company, by using tax revenues, or user charges, as security to raise loans or issue bonds to be repaid out of future income. It can decide on the balance between user charges and taxes to finance a service, and vary this balance over time according to changing circumstances. It can also choose to finance investment directly out of current revenues or taxes.</w:t>
      </w:r>
      <w:r w:rsidR="004045AD">
        <w:rPr>
          <w:rFonts w:cstheme="minorHAnsi"/>
          <w:szCs w:val="20"/>
        </w:rPr>
        <w:t xml:space="preserve"> </w:t>
      </w:r>
      <w:r w:rsidRPr="00216A71">
        <w:rPr>
          <w:rFonts w:cstheme="minorHAnsi"/>
          <w:szCs w:val="20"/>
        </w:rPr>
        <w:t>The benefit of low borrowing costs can be gained by local as well as central and federal governments</w:t>
      </w:r>
      <w:r w:rsidR="00D848C2">
        <w:rPr>
          <w:rFonts w:cstheme="minorHAnsi"/>
          <w:szCs w:val="20"/>
        </w:rPr>
        <w:t>.</w:t>
      </w:r>
      <w:r w:rsidRPr="00216A71">
        <w:rPr>
          <w:rFonts w:cstheme="minorHAnsi"/>
          <w:szCs w:val="20"/>
        </w:rPr>
        <w:t xml:space="preserve"> </w:t>
      </w:r>
      <w:r w:rsidR="00D848C2">
        <w:rPr>
          <w:rFonts w:cstheme="minorHAnsi"/>
          <w:szCs w:val="20"/>
        </w:rPr>
        <w:t>M</w:t>
      </w:r>
      <w:r w:rsidRPr="00216A71">
        <w:rPr>
          <w:rFonts w:cstheme="minorHAnsi"/>
          <w:szCs w:val="20"/>
        </w:rPr>
        <w:t>any countries have developed special mechanisms for financing municipal investment at low rates.</w:t>
      </w:r>
      <w:r w:rsidR="00500AE8" w:rsidRPr="00216A71">
        <w:rPr>
          <w:rFonts w:cstheme="minorHAnsi"/>
          <w:szCs w:val="20"/>
        </w:rPr>
        <w:t xml:space="preserve"> </w:t>
      </w:r>
    </w:p>
    <w:p w:rsidR="000C629A" w:rsidRDefault="000C77D5" w:rsidP="000C77D5">
      <w:pPr>
        <w:rPr>
          <w:rFonts w:cstheme="minorHAnsi"/>
          <w:szCs w:val="20"/>
        </w:rPr>
      </w:pPr>
      <w:r w:rsidRPr="00216A71">
        <w:rPr>
          <w:rFonts w:cstheme="minorHAnsi"/>
          <w:szCs w:val="20"/>
        </w:rPr>
        <w:t>The public sector also gains greater flexibility, control, and comparative efficiency – because of reduced transaction costs and contract uncertainty, as well as economies of scale</w:t>
      </w:r>
      <w:r w:rsidR="004045AD">
        <w:rPr>
          <w:rFonts w:cstheme="minorHAnsi"/>
          <w:szCs w:val="20"/>
        </w:rPr>
        <w:t xml:space="preserve"> – </w:t>
      </w:r>
      <w:r w:rsidRPr="00216A71">
        <w:rPr>
          <w:rFonts w:cstheme="minorHAnsi"/>
          <w:szCs w:val="20"/>
        </w:rPr>
        <w:t xml:space="preserve">and also the efficiency gains of more democratic accountability. </w:t>
      </w:r>
    </w:p>
    <w:p w:rsidR="000C629A" w:rsidRDefault="000C77D5" w:rsidP="000C77D5">
      <w:pPr>
        <w:rPr>
          <w:rFonts w:cstheme="minorHAnsi"/>
          <w:szCs w:val="20"/>
        </w:rPr>
      </w:pPr>
      <w:r w:rsidRPr="00216A71">
        <w:rPr>
          <w:rFonts w:cstheme="minorHAnsi"/>
          <w:szCs w:val="20"/>
        </w:rPr>
        <w:t>By using direct employees to operate and maintain systems and provide services, while procuring other goods and services from contractors, governments and local governments have long-term capacity to plan and deliver infrastructure services, and retain much greater flexibility to respond to changes in needs or technology, with relatively low transaction costs.</w:t>
      </w:r>
      <w:r w:rsidR="004045AD">
        <w:rPr>
          <w:rFonts w:cstheme="minorHAnsi"/>
          <w:szCs w:val="20"/>
        </w:rPr>
        <w:t xml:space="preserve"> </w:t>
      </w:r>
    </w:p>
    <w:p w:rsidR="000C77D5" w:rsidRPr="00216A71" w:rsidRDefault="000C77D5" w:rsidP="000C77D5">
      <w:pPr>
        <w:rPr>
          <w:rFonts w:cstheme="minorHAnsi"/>
          <w:szCs w:val="20"/>
        </w:rPr>
      </w:pPr>
      <w:r w:rsidRPr="00216A71">
        <w:rPr>
          <w:rFonts w:cstheme="minorHAnsi"/>
          <w:szCs w:val="20"/>
        </w:rPr>
        <w:t>And the creation and maintenance of a public sector workforce creates a pool of decent, formal jobs, as an alternative to the precarious employment which is increasingly characteristic of the private sector, especially in the contracting industry.</w:t>
      </w:r>
    </w:p>
    <w:p w:rsidR="000C77D5" w:rsidRPr="00216A71" w:rsidRDefault="000C77D5" w:rsidP="000C77D5">
      <w:pPr>
        <w:rPr>
          <w:rFonts w:cstheme="minorHAnsi"/>
          <w:szCs w:val="20"/>
        </w:rPr>
        <w:sectPr w:rsidR="000C77D5" w:rsidRPr="00216A71" w:rsidSect="0078087D">
          <w:headerReference w:type="default" r:id="rId146"/>
          <w:footerReference w:type="default" r:id="rId147"/>
          <w:headerReference w:type="first" r:id="rId148"/>
          <w:footerReference w:type="first" r:id="rId149"/>
          <w:footnotePr>
            <w:numFmt w:val="chicago"/>
          </w:footnotePr>
          <w:endnotePr>
            <w:numFmt w:val="decimal"/>
          </w:endnotePr>
          <w:pgSz w:w="11906" w:h="16838" w:code="9"/>
          <w:pgMar w:top="1134" w:right="1134" w:bottom="1134" w:left="1134" w:header="567" w:footer="567" w:gutter="0"/>
          <w:cols w:space="708"/>
          <w:titlePg/>
          <w:docGrid w:linePitch="360"/>
        </w:sectPr>
      </w:pPr>
    </w:p>
    <w:p w:rsidR="006350DB" w:rsidRPr="00216A71" w:rsidRDefault="006350DB" w:rsidP="00CE1FBB">
      <w:pPr>
        <w:pStyle w:val="Heading1"/>
      </w:pPr>
      <w:bookmarkStart w:id="198" w:name="_Toc392857549"/>
      <w:r w:rsidRPr="00216A71">
        <w:lastRenderedPageBreak/>
        <w:t>Select bibliography</w:t>
      </w:r>
      <w:bookmarkEnd w:id="198"/>
    </w:p>
    <w:p w:rsidR="004B21AC" w:rsidRPr="00216A71" w:rsidRDefault="004B21AC" w:rsidP="007945AF">
      <w:pPr>
        <w:rPr>
          <w:rFonts w:cstheme="minorHAnsi"/>
          <w:sz w:val="16"/>
          <w:szCs w:val="16"/>
        </w:rPr>
      </w:pPr>
      <w:r w:rsidRPr="00216A71">
        <w:rPr>
          <w:rFonts w:cstheme="minorHAnsi"/>
          <w:sz w:val="16"/>
          <w:szCs w:val="16"/>
        </w:rPr>
        <w:t>ADB 2012 Public-Private Partnership Operational Plan 2012-2020</w:t>
      </w:r>
    </w:p>
    <w:p w:rsidR="000C629A" w:rsidRDefault="00A723E5" w:rsidP="007945AF">
      <w:pPr>
        <w:rPr>
          <w:rFonts w:cstheme="minorHAnsi"/>
          <w:sz w:val="16"/>
          <w:szCs w:val="16"/>
        </w:rPr>
      </w:pPr>
      <w:hyperlink r:id="rId150" w:history="1">
        <w:r w:rsidR="004B21AC" w:rsidRPr="00216A71">
          <w:rPr>
            <w:rStyle w:val="Hyperlink"/>
            <w:rFonts w:cstheme="minorHAnsi"/>
            <w:sz w:val="16"/>
            <w:szCs w:val="16"/>
          </w:rPr>
          <w:t>http://www.adb.org/documents/public-private-partnership-operational-plan-2012-2020</w:t>
        </w:r>
      </w:hyperlink>
    </w:p>
    <w:p w:rsidR="000C629A" w:rsidRDefault="002D4726" w:rsidP="007945AF">
      <w:pPr>
        <w:rPr>
          <w:rFonts w:cstheme="minorHAnsi"/>
          <w:sz w:val="16"/>
          <w:szCs w:val="16"/>
        </w:rPr>
      </w:pPr>
      <w:r w:rsidRPr="00216A71">
        <w:rPr>
          <w:rFonts w:cstheme="minorHAnsi"/>
          <w:sz w:val="16"/>
          <w:szCs w:val="16"/>
        </w:rPr>
        <w:t xml:space="preserve">Barretta A. and Ruggiero P. 2008 </w:t>
      </w:r>
      <w:r w:rsidRPr="00216A71">
        <w:rPr>
          <w:rFonts w:cstheme="minorHAnsi"/>
          <w:iCs/>
          <w:sz w:val="16"/>
          <w:szCs w:val="16"/>
        </w:rPr>
        <w:t xml:space="preserve">Ex-ante </w:t>
      </w:r>
      <w:r w:rsidRPr="00216A71">
        <w:rPr>
          <w:rFonts w:cstheme="minorHAnsi"/>
          <w:sz w:val="16"/>
          <w:szCs w:val="16"/>
        </w:rPr>
        <w:t xml:space="preserve">evaluation of PFIs within the Italian health-care sector: What is the basis for this PPP? Health Policy  (2008) </w:t>
      </w:r>
      <w:hyperlink r:id="rId151" w:history="1">
        <w:r w:rsidRPr="00216A71">
          <w:rPr>
            <w:rStyle w:val="Hyperlink"/>
            <w:rFonts w:cstheme="minorHAnsi"/>
            <w:sz w:val="16"/>
            <w:szCs w:val="16"/>
          </w:rPr>
          <w:t>www.sciencedirect.com</w:t>
        </w:r>
      </w:hyperlink>
      <w:r w:rsidR="004045AD">
        <w:rPr>
          <w:rFonts w:cstheme="minorHAnsi"/>
          <w:sz w:val="16"/>
          <w:szCs w:val="16"/>
        </w:rPr>
        <w:t xml:space="preserve"> </w:t>
      </w:r>
      <w:hyperlink r:id="rId152" w:history="1">
        <w:r w:rsidRPr="00216A71">
          <w:rPr>
            <w:rStyle w:val="Hyperlink"/>
            <w:rFonts w:cstheme="minorHAnsi"/>
            <w:sz w:val="16"/>
            <w:szCs w:val="16"/>
          </w:rPr>
          <w:t>doi:10.1016/j.healthpol.2008.02.005</w:t>
        </w:r>
      </w:hyperlink>
    </w:p>
    <w:p w:rsidR="000C629A" w:rsidRPr="00C35F37" w:rsidRDefault="00CC43AC" w:rsidP="007945AF">
      <w:pPr>
        <w:rPr>
          <w:rFonts w:cstheme="minorHAnsi"/>
          <w:sz w:val="16"/>
          <w:szCs w:val="16"/>
        </w:rPr>
      </w:pPr>
      <w:r w:rsidRPr="00216A71">
        <w:rPr>
          <w:rFonts w:cstheme="minorHAnsi"/>
          <w:sz w:val="16"/>
          <w:szCs w:val="16"/>
        </w:rPr>
        <w:t>Bitran, E., S. Nieto-Parra and J. Robledo (2013), "Opening the Black Box of Contract Renegotiations: An Analysis of Road Concessions in Chile, Colombia and Peru</w:t>
      </w:r>
      <w:r w:rsidR="00D848C2">
        <w:rPr>
          <w:rFonts w:cstheme="minorHAnsi"/>
          <w:sz w:val="16"/>
          <w:szCs w:val="16"/>
        </w:rPr>
        <w:t>,</w:t>
      </w:r>
      <w:r w:rsidRPr="00216A71">
        <w:rPr>
          <w:rFonts w:cstheme="minorHAnsi"/>
          <w:sz w:val="16"/>
          <w:szCs w:val="16"/>
        </w:rPr>
        <w:t xml:space="preserve">" </w:t>
      </w:r>
      <w:r w:rsidRPr="00216A71">
        <w:rPr>
          <w:rFonts w:cstheme="minorHAnsi"/>
          <w:i/>
          <w:iCs/>
          <w:sz w:val="16"/>
          <w:szCs w:val="16"/>
        </w:rPr>
        <w:t>OECD Development Centre Working Papers</w:t>
      </w:r>
      <w:r w:rsidRPr="00216A71">
        <w:rPr>
          <w:rFonts w:cstheme="minorHAnsi"/>
          <w:sz w:val="16"/>
          <w:szCs w:val="16"/>
        </w:rPr>
        <w:t>, No. 317, OECD Publishing.</w:t>
      </w:r>
      <w:r w:rsidR="004045AD">
        <w:rPr>
          <w:rFonts w:cstheme="minorHAnsi"/>
          <w:sz w:val="16"/>
          <w:szCs w:val="16"/>
        </w:rPr>
        <w:t xml:space="preserve"> </w:t>
      </w:r>
      <w:r w:rsidRPr="00C35F37">
        <w:rPr>
          <w:rFonts w:cstheme="minorHAnsi"/>
          <w:sz w:val="16"/>
          <w:szCs w:val="16"/>
        </w:rPr>
        <w:t xml:space="preserve">doi: </w:t>
      </w:r>
      <w:hyperlink r:id="rId153" w:tgtFrame="_blank" w:tooltip="10.1787/5k46n3wwxxq3-en" w:history="1">
        <w:r w:rsidRPr="00C35F37">
          <w:rPr>
            <w:rStyle w:val="Hyperlink"/>
            <w:rFonts w:cstheme="minorHAnsi"/>
            <w:sz w:val="16"/>
            <w:szCs w:val="16"/>
          </w:rPr>
          <w:t>10.1787/5k46n3wwxxq3-en</w:t>
        </w:r>
      </w:hyperlink>
      <w:r w:rsidR="004045AD" w:rsidRPr="00C35F37">
        <w:rPr>
          <w:rFonts w:cstheme="minorHAnsi"/>
          <w:sz w:val="16"/>
          <w:szCs w:val="16"/>
        </w:rPr>
        <w:t xml:space="preserve"> </w:t>
      </w:r>
      <w:hyperlink r:id="rId154" w:history="1">
        <w:r w:rsidRPr="00C35F37">
          <w:rPr>
            <w:rStyle w:val="Hyperlink"/>
            <w:rFonts w:cstheme="minorHAnsi"/>
            <w:sz w:val="16"/>
            <w:szCs w:val="16"/>
          </w:rPr>
          <w:t>http://www.oecd.org/chile/OECD_DEV_WP317.pdf</w:t>
        </w:r>
      </w:hyperlink>
    </w:p>
    <w:p w:rsidR="000C629A" w:rsidRDefault="002D4726" w:rsidP="007945AF">
      <w:pPr>
        <w:rPr>
          <w:rFonts w:cstheme="minorHAnsi"/>
          <w:sz w:val="16"/>
          <w:szCs w:val="16"/>
        </w:rPr>
      </w:pPr>
      <w:r w:rsidRPr="00216A71">
        <w:rPr>
          <w:rFonts w:cstheme="minorHAnsi"/>
          <w:sz w:val="16"/>
          <w:szCs w:val="16"/>
        </w:rPr>
        <w:t>Blanc-Brude F., Goldsmith H. and Välilä T. 2006 Ex Ante Construction Costs In The European Road Sector: A Comparison Of Public-Private Partnerships And Traditional Public Procurement. EIB</w:t>
      </w:r>
      <w:r w:rsidR="004045AD">
        <w:rPr>
          <w:rFonts w:cstheme="minorHAnsi"/>
          <w:sz w:val="16"/>
          <w:szCs w:val="16"/>
        </w:rPr>
        <w:t xml:space="preserve"> </w:t>
      </w:r>
      <w:r w:rsidRPr="00216A71">
        <w:rPr>
          <w:rFonts w:cstheme="minorHAnsi"/>
          <w:sz w:val="16"/>
          <w:szCs w:val="16"/>
        </w:rPr>
        <w:t xml:space="preserve">Economic and Financial Report 2006/01 </w:t>
      </w:r>
      <w:hyperlink r:id="rId155" w:history="1">
        <w:r w:rsidRPr="00216A71">
          <w:rPr>
            <w:rStyle w:val="Hyperlink"/>
            <w:rFonts w:cstheme="minorHAnsi"/>
            <w:bCs/>
            <w:sz w:val="16"/>
            <w:szCs w:val="16"/>
          </w:rPr>
          <w:t>http://www.eib.org/attachments/efs/efr06n01.pdf</w:t>
        </w:r>
      </w:hyperlink>
      <w:r w:rsidRPr="00216A71">
        <w:rPr>
          <w:rFonts w:cstheme="minorHAnsi"/>
          <w:sz w:val="16"/>
          <w:szCs w:val="16"/>
        </w:rPr>
        <w:t xml:space="preserve"> </w:t>
      </w:r>
    </w:p>
    <w:p w:rsidR="000C629A" w:rsidRDefault="001C6B5A" w:rsidP="007945AF">
      <w:pPr>
        <w:rPr>
          <w:rStyle w:val="Hyperlink"/>
          <w:rFonts w:cstheme="minorHAnsi"/>
          <w:sz w:val="16"/>
          <w:szCs w:val="16"/>
        </w:rPr>
      </w:pPr>
      <w:r w:rsidRPr="00216A71">
        <w:rPr>
          <w:rFonts w:cstheme="minorHAnsi"/>
          <w:sz w:val="16"/>
          <w:szCs w:val="16"/>
        </w:rPr>
        <w:t>Bond</w:t>
      </w:r>
      <w:r w:rsidR="007945AF">
        <w:rPr>
          <w:rFonts w:cstheme="minorHAnsi"/>
          <w:sz w:val="16"/>
          <w:szCs w:val="16"/>
        </w:rPr>
        <w:t>, P.</w:t>
      </w:r>
      <w:r w:rsidR="004045AD">
        <w:rPr>
          <w:rFonts w:cstheme="minorHAnsi"/>
          <w:sz w:val="16"/>
          <w:szCs w:val="16"/>
        </w:rPr>
        <w:t xml:space="preserve"> </w:t>
      </w:r>
      <w:r w:rsidRPr="00216A71">
        <w:rPr>
          <w:rFonts w:cstheme="minorHAnsi"/>
          <w:sz w:val="16"/>
          <w:szCs w:val="16"/>
        </w:rPr>
        <w:t xml:space="preserve">2013 </w:t>
      </w:r>
      <w:hyperlink r:id="rId156" w:history="1">
        <w:r w:rsidRPr="00216A71">
          <w:rPr>
            <w:rStyle w:val="Hyperlink"/>
            <w:rFonts w:cstheme="minorHAnsi"/>
            <w:sz w:val="16"/>
            <w:szCs w:val="16"/>
          </w:rPr>
          <w:t>Critical issues for channelling climate finance via private sector actors</w:t>
        </w:r>
      </w:hyperlink>
      <w:r w:rsidR="004045AD">
        <w:rPr>
          <w:rStyle w:val="Hyperlink"/>
          <w:rFonts w:cstheme="minorHAnsi"/>
          <w:sz w:val="16"/>
          <w:szCs w:val="16"/>
        </w:rPr>
        <w:t xml:space="preserve"> </w:t>
      </w:r>
    </w:p>
    <w:p w:rsidR="000C629A" w:rsidRDefault="001C6B5A" w:rsidP="007945AF">
      <w:pPr>
        <w:rPr>
          <w:rFonts w:cstheme="minorHAnsi"/>
          <w:sz w:val="16"/>
          <w:szCs w:val="16"/>
        </w:rPr>
      </w:pPr>
      <w:r w:rsidRPr="00216A71">
        <w:rPr>
          <w:rFonts w:cstheme="minorHAnsi"/>
          <w:sz w:val="16"/>
          <w:szCs w:val="16"/>
        </w:rPr>
        <w:t xml:space="preserve">CAFOD 2013 </w:t>
      </w:r>
      <w:hyperlink r:id="rId157" w:history="1">
        <w:r w:rsidRPr="00216A71">
          <w:rPr>
            <w:rStyle w:val="Hyperlink"/>
            <w:rFonts w:cstheme="minorHAnsi"/>
            <w:sz w:val="16"/>
            <w:szCs w:val="16"/>
          </w:rPr>
          <w:t>Public-Private Partnerships (PPPs) in International Development: Are we asking the right questions?</w:t>
        </w:r>
      </w:hyperlink>
    </w:p>
    <w:p w:rsidR="000C629A" w:rsidRDefault="001C6B5A" w:rsidP="007945AF">
      <w:pPr>
        <w:rPr>
          <w:rStyle w:val="Hyperlink"/>
          <w:rFonts w:cstheme="minorHAnsi"/>
          <w:sz w:val="16"/>
          <w:szCs w:val="16"/>
        </w:rPr>
      </w:pPr>
      <w:r w:rsidRPr="00216A71">
        <w:rPr>
          <w:rFonts w:cstheme="minorHAnsi"/>
          <w:sz w:val="16"/>
          <w:szCs w:val="16"/>
        </w:rPr>
        <w:t xml:space="preserve">CEE Bankwatch 2008 </w:t>
      </w:r>
      <w:hyperlink r:id="rId158" w:history="1">
        <w:r w:rsidRPr="00216A71">
          <w:rPr>
            <w:rStyle w:val="Hyperlink"/>
            <w:rFonts w:cstheme="minorHAnsi"/>
            <w:sz w:val="16"/>
            <w:szCs w:val="16"/>
          </w:rPr>
          <w:t>Never mind the balance sheet</w:t>
        </w:r>
      </w:hyperlink>
    </w:p>
    <w:p w:rsidR="000C629A" w:rsidRDefault="000443F5" w:rsidP="007945AF">
      <w:pPr>
        <w:rPr>
          <w:rFonts w:cstheme="minorHAnsi"/>
          <w:sz w:val="16"/>
          <w:szCs w:val="16"/>
        </w:rPr>
      </w:pPr>
      <w:r w:rsidRPr="00216A71">
        <w:rPr>
          <w:rFonts w:cstheme="minorHAnsi"/>
          <w:sz w:val="16"/>
          <w:szCs w:val="16"/>
        </w:rPr>
        <w:t>CEPA 2007 Analysis of the causes of the Queen Elizabeth NHS hospital trust deficit</w:t>
      </w:r>
      <w:r w:rsidR="004045AD">
        <w:rPr>
          <w:rFonts w:cstheme="minorHAnsi"/>
          <w:sz w:val="16"/>
          <w:szCs w:val="16"/>
        </w:rPr>
        <w:t xml:space="preserve"> </w:t>
      </w:r>
      <w:hyperlink r:id="rId159" w:history="1">
        <w:r w:rsidR="00CC43AC" w:rsidRPr="00216A71">
          <w:rPr>
            <w:rStyle w:val="Hyperlink"/>
            <w:rFonts w:cstheme="minorHAnsi"/>
            <w:sz w:val="16"/>
            <w:szCs w:val="16"/>
          </w:rPr>
          <w:t>http://www.cepa.co.uk/publication-nhstrustdeficitqueenelizabeth?flBack=PB&amp;selYear=2007</w:t>
        </w:r>
      </w:hyperlink>
      <w:r w:rsidR="004045AD">
        <w:rPr>
          <w:rFonts w:cstheme="minorHAnsi"/>
          <w:sz w:val="16"/>
          <w:szCs w:val="16"/>
        </w:rPr>
        <w:t xml:space="preserve"> </w:t>
      </w:r>
    </w:p>
    <w:p w:rsidR="000C629A" w:rsidRDefault="000443F5" w:rsidP="007945AF">
      <w:pPr>
        <w:rPr>
          <w:rFonts w:cstheme="minorHAnsi"/>
          <w:sz w:val="16"/>
          <w:szCs w:val="16"/>
        </w:rPr>
      </w:pPr>
      <w:r w:rsidRPr="00216A71">
        <w:rPr>
          <w:rFonts w:cstheme="minorHAnsi"/>
          <w:sz w:val="16"/>
          <w:szCs w:val="16"/>
        </w:rPr>
        <w:t>Chong, Eshien; Freddy Huet, Stephane Saussier,</w:t>
      </w:r>
      <w:r w:rsidR="004045AD">
        <w:rPr>
          <w:rFonts w:cstheme="minorHAnsi"/>
          <w:sz w:val="16"/>
          <w:szCs w:val="16"/>
        </w:rPr>
        <w:t xml:space="preserve"> </w:t>
      </w:r>
      <w:r w:rsidRPr="00216A71">
        <w:rPr>
          <w:rFonts w:cstheme="minorHAnsi"/>
          <w:sz w:val="16"/>
          <w:szCs w:val="16"/>
        </w:rPr>
        <w:t>Faye Steiner</w:t>
      </w:r>
      <w:r w:rsidR="004045AD">
        <w:rPr>
          <w:rFonts w:cstheme="minorHAnsi"/>
          <w:sz w:val="16"/>
          <w:szCs w:val="16"/>
        </w:rPr>
        <w:t xml:space="preserve"> </w:t>
      </w:r>
      <w:r w:rsidRPr="00216A71">
        <w:rPr>
          <w:rFonts w:cstheme="minorHAnsi"/>
          <w:sz w:val="16"/>
          <w:szCs w:val="16"/>
        </w:rPr>
        <w:t xml:space="preserve">2006 Review of Industrial Organization (2006) 29:149–169 Public-Private Partnerships and Prices: Evidence from Water Distribution in France </w:t>
      </w:r>
      <w:hyperlink r:id="rId160" w:history="1">
        <w:r w:rsidRPr="00216A71">
          <w:rPr>
            <w:rStyle w:val="Hyperlink"/>
            <w:rFonts w:cstheme="minorHAnsi"/>
            <w:sz w:val="16"/>
            <w:szCs w:val="16"/>
          </w:rPr>
          <w:t>http://www.webssa.net/files/chongetal2006_s9.pdf</w:t>
        </w:r>
      </w:hyperlink>
    </w:p>
    <w:p w:rsidR="000C629A" w:rsidRDefault="001C6B5A" w:rsidP="007945AF">
      <w:pPr>
        <w:rPr>
          <w:rFonts w:cstheme="minorHAnsi"/>
          <w:sz w:val="16"/>
          <w:szCs w:val="16"/>
        </w:rPr>
      </w:pPr>
      <w:r w:rsidRPr="00216A71">
        <w:rPr>
          <w:rFonts w:cstheme="minorHAnsi"/>
          <w:sz w:val="16"/>
          <w:szCs w:val="16"/>
        </w:rPr>
        <w:t>Counterbalance</w:t>
      </w:r>
      <w:r w:rsidR="004045AD">
        <w:rPr>
          <w:rFonts w:cstheme="minorHAnsi"/>
          <w:sz w:val="16"/>
          <w:szCs w:val="16"/>
        </w:rPr>
        <w:t xml:space="preserve"> </w:t>
      </w:r>
      <w:r w:rsidRPr="00216A71">
        <w:rPr>
          <w:rFonts w:cstheme="minorHAnsi"/>
          <w:sz w:val="16"/>
          <w:szCs w:val="16"/>
        </w:rPr>
        <w:t xml:space="preserve">2012 </w:t>
      </w:r>
      <w:hyperlink r:id="rId161" w:history="1">
        <w:r w:rsidRPr="00216A71">
          <w:rPr>
            <w:rStyle w:val="Hyperlink"/>
            <w:rFonts w:cstheme="minorHAnsi"/>
            <w:sz w:val="16"/>
            <w:szCs w:val="16"/>
          </w:rPr>
          <w:t>The Great Middle East Beanfeast</w:t>
        </w:r>
      </w:hyperlink>
    </w:p>
    <w:p w:rsidR="000C629A" w:rsidRDefault="001C6B5A" w:rsidP="007945AF">
      <w:pPr>
        <w:rPr>
          <w:rFonts w:cstheme="minorHAnsi"/>
          <w:sz w:val="16"/>
          <w:szCs w:val="16"/>
        </w:rPr>
      </w:pPr>
      <w:r w:rsidRPr="00216A71">
        <w:rPr>
          <w:rFonts w:cstheme="minorHAnsi"/>
          <w:sz w:val="16"/>
          <w:szCs w:val="16"/>
        </w:rPr>
        <w:t xml:space="preserve">Cornerhouse 2012 </w:t>
      </w:r>
      <w:hyperlink r:id="rId162" w:history="1">
        <w:r w:rsidRPr="00216A71">
          <w:rPr>
            <w:rStyle w:val="Hyperlink"/>
            <w:rFonts w:cstheme="minorHAnsi"/>
            <w:sz w:val="16"/>
            <w:szCs w:val="16"/>
          </w:rPr>
          <w:t>Bricks and Mortar</w:t>
        </w:r>
      </w:hyperlink>
    </w:p>
    <w:p w:rsidR="000C629A" w:rsidRDefault="001C6B5A" w:rsidP="007945AF">
      <w:pPr>
        <w:rPr>
          <w:rFonts w:cstheme="minorHAnsi"/>
          <w:sz w:val="16"/>
          <w:szCs w:val="16"/>
        </w:rPr>
      </w:pPr>
      <w:r w:rsidRPr="00216A71">
        <w:rPr>
          <w:rFonts w:cstheme="minorHAnsi"/>
          <w:bCs/>
          <w:sz w:val="16"/>
          <w:szCs w:val="16"/>
        </w:rPr>
        <w:t xml:space="preserve">CUPE 2012 Asking the right questions: A guide for municipalities considering P3s </w:t>
      </w:r>
      <w:hyperlink r:id="rId163" w:history="1">
        <w:r w:rsidRPr="00216A71">
          <w:rPr>
            <w:rStyle w:val="Hyperlink"/>
            <w:rFonts w:cstheme="minorHAnsi"/>
            <w:sz w:val="16"/>
            <w:szCs w:val="16"/>
          </w:rPr>
          <w:t>http://cupe.ca/p3guide</w:t>
        </w:r>
      </w:hyperlink>
    </w:p>
    <w:p w:rsidR="000C629A" w:rsidRDefault="000443F5" w:rsidP="007945AF">
      <w:pPr>
        <w:rPr>
          <w:rFonts w:cstheme="minorHAnsi"/>
          <w:sz w:val="16"/>
          <w:szCs w:val="16"/>
        </w:rPr>
      </w:pPr>
      <w:r w:rsidRPr="00216A71">
        <w:rPr>
          <w:rFonts w:cstheme="minorHAnsi"/>
          <w:sz w:val="16"/>
          <w:szCs w:val="16"/>
        </w:rPr>
        <w:t xml:space="preserve">Dudkin G. and Välilä T. 2005 Transaction Costs In Public-Private Partnerships: A First Look At The Evidence. EIB Economic and Financial Report 2005/03 </w:t>
      </w:r>
      <w:hyperlink r:id="rId164" w:history="1">
        <w:r w:rsidR="00CC43AC" w:rsidRPr="00216A71">
          <w:rPr>
            <w:rStyle w:val="Hyperlink"/>
            <w:rFonts w:cstheme="minorHAnsi"/>
            <w:sz w:val="16"/>
            <w:szCs w:val="16"/>
          </w:rPr>
          <w:t>http://www.eib.org/Attachments/efs/efr05n03.pdf</w:t>
        </w:r>
      </w:hyperlink>
      <w:r w:rsidR="00CC43AC" w:rsidRPr="00216A71">
        <w:rPr>
          <w:rFonts w:cstheme="minorHAnsi"/>
          <w:sz w:val="16"/>
          <w:szCs w:val="16"/>
        </w:rPr>
        <w:t xml:space="preserve"> </w:t>
      </w:r>
    </w:p>
    <w:p w:rsidR="000C629A" w:rsidRDefault="001C6B5A" w:rsidP="007945AF">
      <w:pPr>
        <w:rPr>
          <w:rFonts w:cstheme="minorHAnsi"/>
          <w:sz w:val="16"/>
          <w:szCs w:val="16"/>
        </w:rPr>
      </w:pPr>
      <w:r w:rsidRPr="00216A71">
        <w:rPr>
          <w:rFonts w:cstheme="minorHAnsi"/>
          <w:sz w:val="16"/>
          <w:szCs w:val="16"/>
        </w:rPr>
        <w:t>European Services Strategy Unit</w:t>
      </w:r>
      <w:r w:rsidR="004045AD">
        <w:rPr>
          <w:rFonts w:cstheme="minorHAnsi"/>
          <w:sz w:val="16"/>
          <w:szCs w:val="16"/>
        </w:rPr>
        <w:t xml:space="preserve"> </w:t>
      </w:r>
      <w:r w:rsidRPr="00216A71">
        <w:rPr>
          <w:rFonts w:cstheme="minorHAnsi"/>
          <w:sz w:val="16"/>
          <w:szCs w:val="16"/>
        </w:rPr>
        <w:t xml:space="preserve">2012 </w:t>
      </w:r>
      <w:hyperlink r:id="rId165" w:history="1">
        <w:r w:rsidRPr="00216A71">
          <w:rPr>
            <w:rStyle w:val="Hyperlink"/>
            <w:rFonts w:cstheme="minorHAnsi"/>
            <w:sz w:val="16"/>
            <w:szCs w:val="16"/>
            <w:lang w:val="en"/>
          </w:rPr>
          <w:t>ESSU Research Report No 6: PPP Wealth Machine: UK and Global trends in trading project ownership</w:t>
        </w:r>
      </w:hyperlink>
    </w:p>
    <w:p w:rsidR="000C629A" w:rsidRDefault="004B21AC" w:rsidP="007945AF">
      <w:pPr>
        <w:rPr>
          <w:rFonts w:cstheme="minorHAnsi"/>
          <w:sz w:val="16"/>
          <w:szCs w:val="16"/>
        </w:rPr>
      </w:pPr>
      <w:r w:rsidRPr="00216A71">
        <w:rPr>
          <w:rFonts w:cstheme="minorHAnsi"/>
          <w:sz w:val="16"/>
          <w:szCs w:val="16"/>
        </w:rPr>
        <w:t xml:space="preserve">EIB 2012 PPPs and their Financing in Europe: Recent Trends and EIB Involvement </w:t>
      </w:r>
      <w:hyperlink r:id="rId166" w:history="1">
        <w:r w:rsidRPr="00216A71">
          <w:rPr>
            <w:rStyle w:val="Hyperlink"/>
            <w:rFonts w:cstheme="minorHAnsi"/>
            <w:sz w:val="16"/>
            <w:szCs w:val="16"/>
          </w:rPr>
          <w:t>http://www.eib.org/attachments/efs/econ_note_2012_ppp_and_financing_in_europe_en.pdf</w:t>
        </w:r>
      </w:hyperlink>
    </w:p>
    <w:p w:rsidR="000C629A" w:rsidRDefault="000443F5" w:rsidP="007945AF">
      <w:pPr>
        <w:rPr>
          <w:rFonts w:cstheme="minorHAnsi"/>
          <w:sz w:val="16"/>
          <w:szCs w:val="16"/>
        </w:rPr>
      </w:pPr>
      <w:r w:rsidRPr="00216A71">
        <w:rPr>
          <w:rFonts w:cstheme="minorHAnsi"/>
          <w:sz w:val="16"/>
          <w:szCs w:val="16"/>
        </w:rPr>
        <w:t xml:space="preserve">EIB 2013 </w:t>
      </w:r>
      <w:r w:rsidRPr="00216A71">
        <w:rPr>
          <w:rFonts w:cstheme="minorHAnsi"/>
          <w:bCs/>
          <w:sz w:val="16"/>
          <w:szCs w:val="16"/>
        </w:rPr>
        <w:t>PPPs Financed by the European Investment Bank since 1990</w:t>
      </w:r>
      <w:r w:rsidR="004045AD">
        <w:rPr>
          <w:rFonts w:cstheme="minorHAnsi"/>
          <w:bCs/>
          <w:sz w:val="16"/>
          <w:szCs w:val="16"/>
        </w:rPr>
        <w:t xml:space="preserve"> </w:t>
      </w:r>
      <w:hyperlink r:id="rId167" w:history="1">
        <w:r w:rsidRPr="00216A71">
          <w:rPr>
            <w:rStyle w:val="Hyperlink"/>
            <w:rFonts w:cstheme="minorHAnsi"/>
            <w:sz w:val="16"/>
            <w:szCs w:val="16"/>
          </w:rPr>
          <w:t>http://www.eib.org/epec/resources/PPP_financed_by_EIB_1990_-_2012.pdf</w:t>
        </w:r>
      </w:hyperlink>
      <w:r w:rsidRPr="00216A71">
        <w:rPr>
          <w:rFonts w:cstheme="minorHAnsi"/>
          <w:sz w:val="16"/>
          <w:szCs w:val="16"/>
        </w:rPr>
        <w:t xml:space="preserve"> </w:t>
      </w:r>
    </w:p>
    <w:p w:rsidR="000443F5" w:rsidRPr="00216A71" w:rsidRDefault="000443F5" w:rsidP="007945AF">
      <w:pPr>
        <w:rPr>
          <w:rFonts w:cstheme="minorHAnsi"/>
          <w:sz w:val="16"/>
          <w:szCs w:val="16"/>
        </w:rPr>
      </w:pPr>
      <w:r w:rsidRPr="00216A71">
        <w:rPr>
          <w:rFonts w:cstheme="minorHAnsi"/>
          <w:sz w:val="16"/>
          <w:szCs w:val="16"/>
        </w:rPr>
        <w:t xml:space="preserve">EPEC 2013a </w:t>
      </w:r>
      <w:r w:rsidRPr="00216A71">
        <w:rPr>
          <w:rFonts w:cstheme="minorHAnsi"/>
          <w:bCs/>
          <w:sz w:val="16"/>
          <w:szCs w:val="16"/>
          <w:lang w:val="en"/>
        </w:rPr>
        <w:t>Debt and deficit treatment of PPPs according to Eurostat</w:t>
      </w:r>
      <w:r w:rsidR="004045AD">
        <w:rPr>
          <w:rFonts w:cstheme="minorHAnsi"/>
          <w:bCs/>
          <w:sz w:val="16"/>
          <w:szCs w:val="16"/>
          <w:lang w:val="en"/>
        </w:rPr>
        <w:t xml:space="preserve"> </w:t>
      </w:r>
      <w:hyperlink r:id="rId168" w:history="1">
        <w:r w:rsidR="00CC43AC" w:rsidRPr="00216A71">
          <w:rPr>
            <w:rStyle w:val="Hyperlink"/>
            <w:rFonts w:cstheme="minorHAnsi"/>
            <w:sz w:val="16"/>
            <w:szCs w:val="16"/>
          </w:rPr>
          <w:t>http://www.eib.org/epec/g2g/i-project-identification/12/125/index.htm</w:t>
        </w:r>
      </w:hyperlink>
      <w:r w:rsidR="004045AD">
        <w:rPr>
          <w:rFonts w:cstheme="minorHAnsi"/>
          <w:sz w:val="16"/>
          <w:szCs w:val="16"/>
        </w:rPr>
        <w:t xml:space="preserve"> </w:t>
      </w:r>
    </w:p>
    <w:p w:rsidR="000C629A" w:rsidRDefault="000443F5" w:rsidP="007945AF">
      <w:pPr>
        <w:rPr>
          <w:rFonts w:cstheme="minorHAnsi"/>
          <w:sz w:val="16"/>
          <w:szCs w:val="16"/>
        </w:rPr>
      </w:pPr>
      <w:r w:rsidRPr="00216A71">
        <w:rPr>
          <w:rFonts w:cstheme="minorHAnsi"/>
          <w:sz w:val="16"/>
          <w:szCs w:val="16"/>
        </w:rPr>
        <w:t xml:space="preserve">EPEC 2013b The PPP Market European Trends and Developments </w:t>
      </w:r>
      <w:hyperlink r:id="rId169" w:history="1">
        <w:r w:rsidR="00CC43AC" w:rsidRPr="00216A71">
          <w:rPr>
            <w:rStyle w:val="Hyperlink"/>
            <w:rFonts w:cstheme="minorHAnsi"/>
            <w:sz w:val="16"/>
            <w:szCs w:val="16"/>
          </w:rPr>
          <w:t>http://www.eib.org/epec/</w:t>
        </w:r>
      </w:hyperlink>
      <w:r w:rsidR="00CC43AC" w:rsidRPr="00216A71">
        <w:rPr>
          <w:rFonts w:cstheme="minorHAnsi"/>
          <w:sz w:val="16"/>
          <w:szCs w:val="16"/>
        </w:rPr>
        <w:t xml:space="preserve"> </w:t>
      </w:r>
    </w:p>
    <w:p w:rsidR="000C629A" w:rsidRDefault="00CC43AC" w:rsidP="007945AF">
      <w:pPr>
        <w:rPr>
          <w:rFonts w:cstheme="minorHAnsi"/>
          <w:sz w:val="16"/>
          <w:szCs w:val="16"/>
        </w:rPr>
      </w:pPr>
      <w:r w:rsidRPr="00216A71">
        <w:rPr>
          <w:rFonts w:cstheme="minorHAnsi"/>
          <w:sz w:val="16"/>
          <w:szCs w:val="16"/>
        </w:rPr>
        <w:t>European Commission 2012 The Economic Adjustment Programme for Portugal Sixth Review – Autumn 2012</w:t>
      </w:r>
      <w:r w:rsidR="004045AD">
        <w:rPr>
          <w:rFonts w:cstheme="minorHAnsi"/>
          <w:sz w:val="16"/>
          <w:szCs w:val="16"/>
        </w:rPr>
        <w:t xml:space="preserve"> </w:t>
      </w:r>
      <w:hyperlink r:id="rId170" w:history="1">
        <w:r w:rsidRPr="00216A71">
          <w:rPr>
            <w:rStyle w:val="Hyperlink"/>
            <w:rFonts w:cstheme="minorHAnsi"/>
            <w:sz w:val="16"/>
            <w:szCs w:val="16"/>
          </w:rPr>
          <w:t>http://ec.europa.eu/economy_finance/publications/occasional_paper/2012/pdf/ocp124_en.pdf</w:t>
        </w:r>
      </w:hyperlink>
      <w:r w:rsidRPr="00216A71">
        <w:rPr>
          <w:rFonts w:cstheme="minorHAnsi"/>
          <w:sz w:val="16"/>
          <w:szCs w:val="16"/>
        </w:rPr>
        <w:t xml:space="preserve"> </w:t>
      </w:r>
    </w:p>
    <w:p w:rsidR="000C629A" w:rsidRDefault="000443F5" w:rsidP="007945AF">
      <w:pPr>
        <w:rPr>
          <w:rFonts w:cstheme="minorHAnsi"/>
          <w:sz w:val="16"/>
          <w:szCs w:val="16"/>
        </w:rPr>
      </w:pPr>
      <w:r w:rsidRPr="00216A71">
        <w:rPr>
          <w:rFonts w:cstheme="minorHAnsi"/>
          <w:sz w:val="16"/>
          <w:szCs w:val="16"/>
        </w:rPr>
        <w:t xml:space="preserve">Flyvbjerg, B., Holm, M. K. S., &amp; Buhl, S. L. (2002). Cost underestimation in public works projects: Error or lie? </w:t>
      </w:r>
      <w:r w:rsidRPr="00216A71">
        <w:rPr>
          <w:rFonts w:cstheme="minorHAnsi"/>
          <w:iCs/>
          <w:sz w:val="16"/>
          <w:szCs w:val="16"/>
        </w:rPr>
        <w:t>Journal of the American Planning Association</w:t>
      </w:r>
      <w:r w:rsidRPr="00216A71">
        <w:rPr>
          <w:rFonts w:cstheme="minorHAnsi"/>
          <w:sz w:val="16"/>
          <w:szCs w:val="16"/>
        </w:rPr>
        <w:t xml:space="preserve">, </w:t>
      </w:r>
      <w:r w:rsidRPr="00216A71">
        <w:rPr>
          <w:rFonts w:cstheme="minorHAnsi"/>
          <w:iCs/>
          <w:sz w:val="16"/>
          <w:szCs w:val="16"/>
        </w:rPr>
        <w:t>68</w:t>
      </w:r>
      <w:r w:rsidRPr="00216A71">
        <w:rPr>
          <w:rFonts w:cstheme="minorHAnsi"/>
          <w:sz w:val="16"/>
          <w:szCs w:val="16"/>
        </w:rPr>
        <w:t>(3), 279–295</w:t>
      </w:r>
    </w:p>
    <w:p w:rsidR="000C629A" w:rsidRDefault="000443F5" w:rsidP="007945AF">
      <w:pPr>
        <w:rPr>
          <w:rFonts w:cstheme="minorHAnsi"/>
          <w:sz w:val="16"/>
          <w:szCs w:val="16"/>
        </w:rPr>
      </w:pPr>
      <w:r w:rsidRPr="00216A71">
        <w:rPr>
          <w:rFonts w:cstheme="minorHAnsi"/>
          <w:sz w:val="16"/>
          <w:szCs w:val="16"/>
        </w:rPr>
        <w:t>Froud, J. 2003</w:t>
      </w:r>
      <w:r w:rsidR="004045AD">
        <w:rPr>
          <w:rFonts w:cstheme="minorHAnsi"/>
          <w:sz w:val="16"/>
          <w:szCs w:val="16"/>
        </w:rPr>
        <w:t xml:space="preserve"> </w:t>
      </w:r>
      <w:r w:rsidRPr="00216A71">
        <w:rPr>
          <w:rFonts w:cstheme="minorHAnsi"/>
          <w:sz w:val="16"/>
          <w:szCs w:val="16"/>
        </w:rPr>
        <w:t>The Private Finance Initiative: risk, uncertainty and the state. Accounting, Organizations and Society 28 (2003) 567–589</w:t>
      </w:r>
    </w:p>
    <w:p w:rsidR="000C629A" w:rsidRDefault="001C6B5A" w:rsidP="007945AF">
      <w:pPr>
        <w:rPr>
          <w:rFonts w:cstheme="minorHAnsi"/>
          <w:sz w:val="16"/>
          <w:szCs w:val="16"/>
        </w:rPr>
      </w:pPr>
      <w:r w:rsidRPr="00216A71">
        <w:rPr>
          <w:rFonts w:cstheme="minorHAnsi"/>
          <w:sz w:val="16"/>
          <w:szCs w:val="16"/>
        </w:rPr>
        <w:t xml:space="preserve">Heinrich Böll Foundation 2013 </w:t>
      </w:r>
      <w:hyperlink r:id="rId171" w:history="1">
        <w:r w:rsidRPr="00216A71">
          <w:rPr>
            <w:rStyle w:val="Hyperlink"/>
            <w:rFonts w:cstheme="minorHAnsi"/>
            <w:sz w:val="16"/>
            <w:szCs w:val="16"/>
          </w:rPr>
          <w:t>Responsible Investment in Infrastructure: Recommendations for the G20</w:t>
        </w:r>
      </w:hyperlink>
    </w:p>
    <w:p w:rsidR="000C629A" w:rsidRDefault="00CC43AC" w:rsidP="007945AF">
      <w:pPr>
        <w:rPr>
          <w:rFonts w:cstheme="minorHAnsi"/>
          <w:sz w:val="16"/>
          <w:szCs w:val="16"/>
        </w:rPr>
      </w:pPr>
      <w:r w:rsidRPr="00216A71">
        <w:rPr>
          <w:rFonts w:cstheme="minorHAnsi"/>
          <w:sz w:val="16"/>
          <w:szCs w:val="16"/>
        </w:rPr>
        <w:t>Hellowell, Mark and Vecchi, Veronica 2012</w:t>
      </w:r>
      <w:r w:rsidR="004045AD">
        <w:rPr>
          <w:rFonts w:cstheme="minorHAnsi"/>
          <w:sz w:val="16"/>
          <w:szCs w:val="16"/>
        </w:rPr>
        <w:t xml:space="preserve"> </w:t>
      </w:r>
      <w:r w:rsidRPr="00216A71">
        <w:rPr>
          <w:rFonts w:cstheme="minorHAnsi"/>
          <w:sz w:val="16"/>
          <w:szCs w:val="16"/>
        </w:rPr>
        <w:t xml:space="preserve">An Evaluation of the Projected Returns to Investors on 10 PFI Projects Commissioned by the National Health Service </w:t>
      </w:r>
      <w:r w:rsidRPr="00216A71">
        <w:rPr>
          <w:rFonts w:cstheme="minorHAnsi"/>
          <w:i/>
          <w:iCs/>
          <w:sz w:val="16"/>
          <w:szCs w:val="16"/>
        </w:rPr>
        <w:t>Financial Accountability &amp; Management</w:t>
      </w:r>
      <w:r w:rsidRPr="00216A71">
        <w:rPr>
          <w:rFonts w:cstheme="minorHAnsi"/>
          <w:sz w:val="16"/>
          <w:szCs w:val="16"/>
        </w:rPr>
        <w:t>, 28(1), February 2012, 0267-4424</w:t>
      </w:r>
    </w:p>
    <w:p w:rsidR="00CC43AC" w:rsidRPr="00216A71" w:rsidRDefault="00CC43AC" w:rsidP="007945AF">
      <w:pPr>
        <w:rPr>
          <w:rFonts w:cstheme="minorHAnsi"/>
          <w:sz w:val="16"/>
          <w:szCs w:val="16"/>
        </w:rPr>
      </w:pPr>
      <w:r w:rsidRPr="00216A71">
        <w:rPr>
          <w:rFonts w:cstheme="minorHAnsi"/>
          <w:sz w:val="16"/>
          <w:szCs w:val="16"/>
        </w:rPr>
        <w:t xml:space="preserve">IMF 2004 Fund Public-Private Partnerships March 12, 2004 </w:t>
      </w:r>
      <w:hyperlink r:id="rId172" w:history="1">
        <w:r w:rsidRPr="00216A71">
          <w:rPr>
            <w:rStyle w:val="Hyperlink"/>
            <w:rFonts w:cstheme="minorHAnsi"/>
            <w:sz w:val="16"/>
            <w:szCs w:val="16"/>
          </w:rPr>
          <w:t>http://www.imf.org/external/np/fad/2004/pifp/eng/031204.htm</w:t>
        </w:r>
      </w:hyperlink>
    </w:p>
    <w:p w:rsidR="000C629A" w:rsidRDefault="000443F5" w:rsidP="007945AF">
      <w:pPr>
        <w:rPr>
          <w:rFonts w:cstheme="minorHAnsi"/>
          <w:sz w:val="16"/>
          <w:szCs w:val="16"/>
        </w:rPr>
      </w:pPr>
      <w:r w:rsidRPr="00216A71">
        <w:rPr>
          <w:rFonts w:cstheme="minorHAnsi"/>
          <w:sz w:val="16"/>
          <w:szCs w:val="16"/>
        </w:rPr>
        <w:t xml:space="preserve">IMF 2011a Cyprus: 2011 Article IV Consultation—Staff Report; Supplement; Public Information Notice on the Executive Board Discussion; and Statement by the Executive Director for Cyprus </w:t>
      </w:r>
      <w:hyperlink r:id="rId173" w:history="1">
        <w:r w:rsidR="00CC43AC" w:rsidRPr="00216A71">
          <w:rPr>
            <w:rStyle w:val="Hyperlink"/>
            <w:rFonts w:cstheme="minorHAnsi"/>
            <w:sz w:val="16"/>
            <w:szCs w:val="16"/>
          </w:rPr>
          <w:t>www.imf.org/external/pubs/ft/scr/2011/cr11331.pdf</w:t>
        </w:r>
      </w:hyperlink>
      <w:r w:rsidR="004045AD">
        <w:rPr>
          <w:rFonts w:cstheme="minorHAnsi"/>
          <w:sz w:val="16"/>
          <w:szCs w:val="16"/>
        </w:rPr>
        <w:t xml:space="preserve"> </w:t>
      </w:r>
    </w:p>
    <w:p w:rsidR="000C629A" w:rsidRDefault="000443F5" w:rsidP="007945AF">
      <w:pPr>
        <w:rPr>
          <w:rFonts w:cstheme="minorHAnsi"/>
          <w:sz w:val="16"/>
          <w:szCs w:val="16"/>
        </w:rPr>
      </w:pPr>
      <w:r w:rsidRPr="00216A71">
        <w:rPr>
          <w:rFonts w:cstheme="minorHAnsi"/>
          <w:sz w:val="16"/>
          <w:szCs w:val="16"/>
        </w:rPr>
        <w:t xml:space="preserve">IMF 2011b </w:t>
      </w:r>
      <w:r w:rsidRPr="00216A71">
        <w:rPr>
          <w:rFonts w:cstheme="minorHAnsi"/>
          <w:bCs/>
          <w:sz w:val="16"/>
          <w:szCs w:val="16"/>
        </w:rPr>
        <w:t xml:space="preserve">Portugal: </w:t>
      </w:r>
      <w:r w:rsidRPr="00216A71">
        <w:rPr>
          <w:rFonts w:cstheme="minorHAnsi"/>
          <w:sz w:val="16"/>
          <w:szCs w:val="16"/>
        </w:rPr>
        <w:t xml:space="preserve">Letter of Intent May 17, 2011 </w:t>
      </w:r>
      <w:hyperlink r:id="rId174" w:history="1">
        <w:r w:rsidRPr="00216A71">
          <w:rPr>
            <w:rStyle w:val="Hyperlink"/>
            <w:rFonts w:cstheme="minorHAnsi"/>
            <w:sz w:val="16"/>
            <w:szCs w:val="16"/>
          </w:rPr>
          <w:t>http://www.imf.org/external/np/loi/2011/prt/051711.pdf</w:t>
        </w:r>
      </w:hyperlink>
    </w:p>
    <w:p w:rsidR="000C629A" w:rsidRDefault="001C6B5A" w:rsidP="007945AF">
      <w:pPr>
        <w:rPr>
          <w:rFonts w:cstheme="minorHAnsi"/>
          <w:sz w:val="16"/>
          <w:szCs w:val="16"/>
        </w:rPr>
      </w:pPr>
      <w:r w:rsidRPr="00216A71">
        <w:rPr>
          <w:rFonts w:cstheme="minorHAnsi"/>
          <w:bCs/>
          <w:sz w:val="16"/>
          <w:szCs w:val="16"/>
        </w:rPr>
        <w:t>In The Public Interest</w:t>
      </w:r>
      <w:r w:rsidRPr="00216A71">
        <w:rPr>
          <w:rFonts w:cstheme="minorHAnsi"/>
          <w:sz w:val="16"/>
          <w:szCs w:val="16"/>
        </w:rPr>
        <w:t xml:space="preserve"> </w:t>
      </w:r>
      <w:r w:rsidRPr="00216A71">
        <w:rPr>
          <w:rFonts w:cstheme="minorHAnsi"/>
          <w:bCs/>
          <w:sz w:val="16"/>
          <w:szCs w:val="16"/>
        </w:rPr>
        <w:t>2011</w:t>
      </w:r>
      <w:r w:rsidRPr="00216A71">
        <w:rPr>
          <w:rFonts w:cstheme="minorHAnsi"/>
          <w:sz w:val="16"/>
          <w:szCs w:val="16"/>
        </w:rPr>
        <w:t xml:space="preserve"> </w:t>
      </w:r>
      <w:hyperlink r:id="rId175" w:history="1">
        <w:r w:rsidRPr="00216A71">
          <w:rPr>
            <w:rStyle w:val="Hyperlink"/>
            <w:rFonts w:eastAsiaTheme="minorEastAsia" w:cstheme="minorHAnsi"/>
            <w:sz w:val="16"/>
            <w:szCs w:val="16"/>
          </w:rPr>
          <w:t>A Guide to Evaluating Public Asset Privatization</w:t>
        </w:r>
      </w:hyperlink>
    </w:p>
    <w:p w:rsidR="000C629A" w:rsidRDefault="001C6B5A" w:rsidP="007945AF">
      <w:pPr>
        <w:rPr>
          <w:rFonts w:cstheme="minorHAnsi"/>
          <w:sz w:val="16"/>
          <w:szCs w:val="16"/>
        </w:rPr>
      </w:pPr>
      <w:r w:rsidRPr="00216A71">
        <w:rPr>
          <w:rFonts w:cstheme="minorHAnsi"/>
          <w:sz w:val="16"/>
          <w:szCs w:val="16"/>
        </w:rPr>
        <w:t xml:space="preserve">Jubilee Debt 2013 </w:t>
      </w:r>
      <w:hyperlink r:id="rId176" w:history="1">
        <w:r w:rsidRPr="00216A71">
          <w:rPr>
            <w:rStyle w:val="Hyperlink"/>
            <w:rFonts w:cstheme="minorHAnsi"/>
            <w:sz w:val="16"/>
            <w:szCs w:val="16"/>
          </w:rPr>
          <w:t>Life and debt: Global studies of debt and resistance</w:t>
        </w:r>
      </w:hyperlink>
    </w:p>
    <w:p w:rsidR="000C629A" w:rsidRDefault="004B21AC" w:rsidP="007945AF">
      <w:pPr>
        <w:rPr>
          <w:rFonts w:cstheme="minorHAnsi"/>
          <w:sz w:val="16"/>
          <w:szCs w:val="16"/>
        </w:rPr>
      </w:pPr>
      <w:r w:rsidRPr="00216A71">
        <w:rPr>
          <w:rFonts w:cstheme="minorHAnsi"/>
          <w:sz w:val="16"/>
          <w:szCs w:val="16"/>
        </w:rPr>
        <w:t xml:space="preserve">Lowy Institute for International Policy. 2013a. Tax, Infrastructure, Anti-Corruption, Energy and the G20 </w:t>
      </w:r>
      <w:hyperlink r:id="rId177" w:history="1">
        <w:r w:rsidRPr="00216A71">
          <w:rPr>
            <w:rStyle w:val="Hyperlink"/>
            <w:rFonts w:cstheme="minorHAnsi"/>
            <w:sz w:val="16"/>
            <w:szCs w:val="16"/>
          </w:rPr>
          <w:t>http://www.lowyinstitute.org/publications/tax-infrastructure-anti-corruption-energy-and-g20</w:t>
        </w:r>
      </w:hyperlink>
      <w:r w:rsidR="004045AD">
        <w:rPr>
          <w:rFonts w:cstheme="minorHAnsi"/>
          <w:sz w:val="16"/>
          <w:szCs w:val="16"/>
        </w:rPr>
        <w:t xml:space="preserve"> </w:t>
      </w:r>
    </w:p>
    <w:p w:rsidR="004B21AC" w:rsidRPr="00216A71" w:rsidRDefault="004B21AC" w:rsidP="007945AF">
      <w:pPr>
        <w:rPr>
          <w:rFonts w:cstheme="minorHAnsi"/>
          <w:sz w:val="16"/>
          <w:szCs w:val="16"/>
        </w:rPr>
      </w:pPr>
      <w:r w:rsidRPr="00216A71">
        <w:rPr>
          <w:rFonts w:cstheme="minorHAnsi"/>
          <w:sz w:val="16"/>
          <w:szCs w:val="16"/>
        </w:rPr>
        <w:t xml:space="preserve">Lowy Institute for International Policy. 2013b. ‘Infrastructure: Overcoming Sovereign-Debt Phobia’ 2013. Accessed December 24. </w:t>
      </w:r>
      <w:hyperlink r:id="rId178" w:history="1">
        <w:r w:rsidRPr="00216A71">
          <w:rPr>
            <w:rStyle w:val="Hyperlink"/>
            <w:rFonts w:cstheme="minorHAnsi"/>
            <w:sz w:val="16"/>
            <w:szCs w:val="16"/>
          </w:rPr>
          <w:t>http://www.lowyinterpreter.org/post/2013/11/28/Infrastructure-overcoming-sovereign-debt-phobia.aspx</w:t>
        </w:r>
      </w:hyperlink>
      <w:r w:rsidRPr="00216A71">
        <w:rPr>
          <w:rFonts w:cstheme="minorHAnsi"/>
          <w:sz w:val="16"/>
          <w:szCs w:val="16"/>
        </w:rPr>
        <w:t xml:space="preserve"> ; </w:t>
      </w:r>
    </w:p>
    <w:p w:rsidR="000C629A" w:rsidRDefault="004B21AC" w:rsidP="007945AF">
      <w:pPr>
        <w:rPr>
          <w:rFonts w:cstheme="minorHAnsi"/>
          <w:sz w:val="16"/>
          <w:szCs w:val="16"/>
        </w:rPr>
      </w:pPr>
      <w:r w:rsidRPr="00216A71">
        <w:rPr>
          <w:rFonts w:cstheme="minorHAnsi"/>
          <w:sz w:val="16"/>
          <w:szCs w:val="16"/>
        </w:rPr>
        <w:t xml:space="preserve">Lowy Institute for International Policy. 2013c. ‘Infrastructure: The Limits of PPPs’ 2013. Accessed December 24. </w:t>
      </w:r>
      <w:hyperlink r:id="rId179" w:history="1">
        <w:r w:rsidRPr="00216A71">
          <w:rPr>
            <w:rStyle w:val="Hyperlink"/>
            <w:rFonts w:cstheme="minorHAnsi"/>
            <w:sz w:val="16"/>
            <w:szCs w:val="16"/>
          </w:rPr>
          <w:t>http://www.lowyinterpreter.org/post/2013/07/01/Infrastructure-The-limits-of-PPPs.aspx</w:t>
        </w:r>
      </w:hyperlink>
    </w:p>
    <w:p w:rsidR="000C629A" w:rsidRDefault="000443F5" w:rsidP="007945AF">
      <w:pPr>
        <w:rPr>
          <w:rFonts w:cstheme="minorHAnsi"/>
          <w:sz w:val="16"/>
          <w:szCs w:val="16"/>
          <w:lang w:val="pt-BR"/>
        </w:rPr>
      </w:pPr>
      <w:r w:rsidRPr="00216A71">
        <w:rPr>
          <w:rFonts w:cstheme="minorHAnsi"/>
          <w:sz w:val="16"/>
          <w:szCs w:val="16"/>
          <w:lang w:val="pt-BR"/>
        </w:rPr>
        <w:t>Maia</w:t>
      </w:r>
      <w:r w:rsidR="004045AD">
        <w:rPr>
          <w:rFonts w:cstheme="minorHAnsi"/>
          <w:sz w:val="16"/>
          <w:szCs w:val="16"/>
          <w:lang w:val="pt-BR"/>
        </w:rPr>
        <w:t xml:space="preserve"> </w:t>
      </w:r>
      <w:r w:rsidRPr="00216A71">
        <w:rPr>
          <w:rFonts w:cstheme="minorHAnsi"/>
          <w:sz w:val="16"/>
          <w:szCs w:val="16"/>
          <w:lang w:val="pt-BR"/>
        </w:rPr>
        <w:t>B. 2012 As Parcerias Público-Privadas no Sector da Saúde Março 28, 2012 by Iniciativa de Auditoria Cidadã à Divida Pública</w:t>
      </w:r>
      <w:r w:rsidR="004045AD">
        <w:rPr>
          <w:rFonts w:cstheme="minorHAnsi"/>
          <w:sz w:val="16"/>
          <w:szCs w:val="16"/>
          <w:lang w:val="pt-BR"/>
        </w:rPr>
        <w:t xml:space="preserve"> </w:t>
      </w:r>
      <w:hyperlink r:id="rId180" w:history="1">
        <w:r w:rsidR="00CC43AC" w:rsidRPr="00216A71">
          <w:rPr>
            <w:rStyle w:val="Hyperlink"/>
            <w:rFonts w:cstheme="minorHAnsi"/>
            <w:sz w:val="16"/>
            <w:szCs w:val="16"/>
            <w:lang w:val="pt-BR"/>
          </w:rPr>
          <w:t>http://auditoriacidada.info/article/parcerias-p%C3%BAblico-privadas-no-sector-da-sa%C3%BAde</w:t>
        </w:r>
      </w:hyperlink>
      <w:r w:rsidR="004045AD">
        <w:rPr>
          <w:rFonts w:cstheme="minorHAnsi"/>
          <w:sz w:val="16"/>
          <w:szCs w:val="16"/>
          <w:lang w:val="pt-BR"/>
        </w:rPr>
        <w:t xml:space="preserve"> </w:t>
      </w:r>
    </w:p>
    <w:p w:rsidR="000C629A" w:rsidRDefault="001C6B5A" w:rsidP="007945AF">
      <w:pPr>
        <w:rPr>
          <w:rFonts w:cstheme="minorHAnsi"/>
          <w:sz w:val="16"/>
          <w:szCs w:val="16"/>
        </w:rPr>
      </w:pPr>
      <w:r w:rsidRPr="00216A71">
        <w:rPr>
          <w:rFonts w:cstheme="minorHAnsi"/>
          <w:sz w:val="16"/>
          <w:szCs w:val="16"/>
        </w:rPr>
        <w:t xml:space="preserve">Manthan (India) 2010 </w:t>
      </w:r>
      <w:hyperlink r:id="rId181" w:history="1">
        <w:r w:rsidRPr="00216A71">
          <w:rPr>
            <w:rStyle w:val="Hyperlink"/>
            <w:rFonts w:cstheme="minorHAnsi"/>
            <w:sz w:val="16"/>
            <w:szCs w:val="16"/>
          </w:rPr>
          <w:t>PPPs in Water Sector: partnerships or privatisation?</w:t>
        </w:r>
      </w:hyperlink>
    </w:p>
    <w:p w:rsidR="000C629A" w:rsidRDefault="001C6B5A" w:rsidP="007945AF">
      <w:pPr>
        <w:rPr>
          <w:rFonts w:cstheme="minorHAnsi"/>
          <w:sz w:val="16"/>
          <w:szCs w:val="16"/>
        </w:rPr>
      </w:pPr>
      <w:r w:rsidRPr="00216A71">
        <w:rPr>
          <w:rFonts w:cstheme="minorHAnsi"/>
          <w:sz w:val="16"/>
          <w:szCs w:val="16"/>
        </w:rPr>
        <w:t>New York State June 2013Private Financing of Public Infrastructure: Risks and Options for New York State by Thomas P. DiNapoli New York State Comptroller</w:t>
      </w:r>
      <w:r w:rsidR="004045AD">
        <w:rPr>
          <w:rFonts w:cstheme="minorHAnsi"/>
          <w:sz w:val="16"/>
          <w:szCs w:val="16"/>
        </w:rPr>
        <w:t xml:space="preserve"> </w:t>
      </w:r>
      <w:hyperlink r:id="rId182" w:history="1">
        <w:r w:rsidRPr="00216A71">
          <w:rPr>
            <w:rStyle w:val="Hyperlink"/>
            <w:rFonts w:cstheme="minorHAnsi"/>
            <w:sz w:val="16"/>
            <w:szCs w:val="16"/>
          </w:rPr>
          <w:t>http://www.osc.state.ny.us/reports/infrastructure/p3_report_2013.pdf</w:t>
        </w:r>
      </w:hyperlink>
    </w:p>
    <w:p w:rsidR="001C6B5A" w:rsidRPr="00216A71" w:rsidRDefault="001C6B5A" w:rsidP="007945AF">
      <w:pPr>
        <w:rPr>
          <w:rFonts w:cstheme="minorHAnsi"/>
          <w:sz w:val="16"/>
          <w:szCs w:val="16"/>
        </w:rPr>
      </w:pPr>
      <w:r w:rsidRPr="00216A71">
        <w:rPr>
          <w:rFonts w:cstheme="minorHAnsi"/>
          <w:sz w:val="16"/>
          <w:szCs w:val="16"/>
        </w:rPr>
        <w:t>OECD 2012</w:t>
      </w:r>
      <w:r w:rsidR="004045AD">
        <w:rPr>
          <w:rFonts w:cstheme="minorHAnsi"/>
          <w:sz w:val="16"/>
          <w:szCs w:val="16"/>
        </w:rPr>
        <w:t xml:space="preserve"> </w:t>
      </w:r>
      <w:r w:rsidRPr="00216A71">
        <w:rPr>
          <w:rFonts w:cstheme="minorHAnsi"/>
          <w:sz w:val="16"/>
          <w:szCs w:val="16"/>
        </w:rPr>
        <w:t xml:space="preserve">Recommendation of the Council on Principles for Public Governance of Public-Private Partnerships May 2012 </w:t>
      </w:r>
      <w:hyperlink r:id="rId183" w:history="1">
        <w:r w:rsidRPr="00216A71">
          <w:rPr>
            <w:rStyle w:val="Hyperlink"/>
            <w:rFonts w:cstheme="minorHAnsi"/>
            <w:sz w:val="16"/>
            <w:szCs w:val="16"/>
          </w:rPr>
          <w:t>http://www.oecd.org/gov/budgeting/PPP-Recommendation.pdf</w:t>
        </w:r>
      </w:hyperlink>
      <w:r w:rsidRPr="00216A71">
        <w:rPr>
          <w:rFonts w:cstheme="minorHAnsi"/>
          <w:sz w:val="16"/>
          <w:szCs w:val="16"/>
        </w:rPr>
        <w:t xml:space="preserve"> </w:t>
      </w:r>
    </w:p>
    <w:p w:rsidR="001C6B5A" w:rsidRPr="00216A71" w:rsidRDefault="001C6B5A" w:rsidP="007945AF">
      <w:pPr>
        <w:rPr>
          <w:rFonts w:cstheme="minorHAnsi"/>
          <w:sz w:val="16"/>
          <w:szCs w:val="16"/>
        </w:rPr>
      </w:pPr>
      <w:r w:rsidRPr="00216A71">
        <w:rPr>
          <w:rFonts w:cstheme="minorHAnsi"/>
          <w:sz w:val="16"/>
          <w:szCs w:val="16"/>
        </w:rPr>
        <w:t>OECD 2012 Della Croce, R. “Trends in Large Pension Fund</w:t>
      </w:r>
      <w:r w:rsidR="004045AD">
        <w:rPr>
          <w:rFonts w:cstheme="minorHAnsi"/>
          <w:sz w:val="16"/>
          <w:szCs w:val="16"/>
        </w:rPr>
        <w:t xml:space="preserve"> </w:t>
      </w:r>
      <w:r w:rsidRPr="00216A71">
        <w:rPr>
          <w:rFonts w:cstheme="minorHAnsi"/>
          <w:sz w:val="16"/>
          <w:szCs w:val="16"/>
        </w:rPr>
        <w:t>Investment in Infrastructure”</w:t>
      </w:r>
      <w:r w:rsidR="004045AD">
        <w:rPr>
          <w:rFonts w:cstheme="minorHAnsi"/>
          <w:sz w:val="16"/>
          <w:szCs w:val="16"/>
        </w:rPr>
        <w:t xml:space="preserve"> </w:t>
      </w:r>
      <w:r w:rsidRPr="00216A71">
        <w:rPr>
          <w:rFonts w:cstheme="minorHAnsi"/>
          <w:sz w:val="16"/>
          <w:szCs w:val="16"/>
        </w:rPr>
        <w:t>OECD Working Papers on</w:t>
      </w:r>
      <w:r w:rsidR="004045AD">
        <w:rPr>
          <w:rFonts w:cstheme="minorHAnsi"/>
          <w:sz w:val="16"/>
          <w:szCs w:val="16"/>
        </w:rPr>
        <w:t xml:space="preserve"> </w:t>
      </w:r>
      <w:r w:rsidRPr="00216A71">
        <w:rPr>
          <w:rFonts w:cstheme="minorHAnsi"/>
          <w:sz w:val="16"/>
          <w:szCs w:val="16"/>
        </w:rPr>
        <w:t>Finance, Insurance and Private Pensions , No.29 ,</w:t>
      </w:r>
      <w:r w:rsidR="004045AD">
        <w:rPr>
          <w:rFonts w:cstheme="minorHAnsi"/>
          <w:sz w:val="16"/>
          <w:szCs w:val="16"/>
        </w:rPr>
        <w:t xml:space="preserve"> </w:t>
      </w:r>
      <w:hyperlink r:id="rId184" w:history="1">
        <w:r w:rsidRPr="00216A71">
          <w:rPr>
            <w:rStyle w:val="Hyperlink"/>
            <w:rFonts w:cstheme="minorHAnsi"/>
            <w:sz w:val="16"/>
            <w:szCs w:val="16"/>
          </w:rPr>
          <w:t>http://www.oecd.org/daf/fin/private-pensions/TrendsInLargePensionFundInvestmentInInfrastructure.pdf</w:t>
        </w:r>
      </w:hyperlink>
    </w:p>
    <w:p w:rsidR="000C629A" w:rsidRDefault="001C6B5A" w:rsidP="007945AF">
      <w:pPr>
        <w:rPr>
          <w:rStyle w:val="Hyperlink"/>
          <w:rFonts w:cstheme="minorHAnsi"/>
          <w:sz w:val="16"/>
          <w:szCs w:val="16"/>
        </w:rPr>
      </w:pPr>
      <w:r w:rsidRPr="00216A71">
        <w:rPr>
          <w:rFonts w:cstheme="minorHAnsi"/>
          <w:sz w:val="16"/>
          <w:szCs w:val="16"/>
        </w:rPr>
        <w:t>OECD 2013</w:t>
      </w:r>
      <w:r w:rsidR="004045AD">
        <w:rPr>
          <w:rFonts w:cstheme="minorHAnsi"/>
          <w:sz w:val="16"/>
          <w:szCs w:val="16"/>
        </w:rPr>
        <w:t xml:space="preserve"> </w:t>
      </w:r>
      <w:r w:rsidRPr="00216A71">
        <w:rPr>
          <w:rFonts w:cstheme="minorHAnsi"/>
          <w:sz w:val="16"/>
          <w:szCs w:val="16"/>
        </w:rPr>
        <w:t xml:space="preserve">Capital budgeting and procurement practices GOV/PGC/SBO(2013)2 </w:t>
      </w:r>
      <w:hyperlink r:id="rId185" w:history="1">
        <w:r w:rsidRPr="00216A71">
          <w:rPr>
            <w:rStyle w:val="Hyperlink"/>
            <w:rFonts w:cstheme="minorHAnsi"/>
            <w:sz w:val="16"/>
            <w:szCs w:val="16"/>
          </w:rPr>
          <w:t>http://search.oecd.org/officialdocuments/displaydocumentpdf/?cote=GOV/PGC/SBO%282013%292&amp;doclanguage=en</w:t>
        </w:r>
      </w:hyperlink>
    </w:p>
    <w:p w:rsidR="000C629A" w:rsidRDefault="002D4726" w:rsidP="007945AF">
      <w:pPr>
        <w:rPr>
          <w:rFonts w:cstheme="minorHAnsi"/>
          <w:sz w:val="16"/>
          <w:szCs w:val="16"/>
        </w:rPr>
      </w:pPr>
      <w:r w:rsidRPr="00216A71">
        <w:rPr>
          <w:rFonts w:cstheme="minorHAnsi"/>
          <w:sz w:val="16"/>
          <w:szCs w:val="16"/>
        </w:rPr>
        <w:t xml:space="preserve">Parker D. and Hartley K. 2003 Transaction costs, relational contracting and public private partnerships: a case study of UK defence.Journal of Purchasing &amp; Supply Management 2003 Volume 9, Issue 3 , May 2003, Pages 97-108 </w:t>
      </w:r>
      <w:hyperlink r:id="rId186" w:history="1">
        <w:r w:rsidRPr="00216A71">
          <w:rPr>
            <w:rStyle w:val="Hyperlink"/>
            <w:rFonts w:cstheme="minorHAnsi"/>
            <w:sz w:val="16"/>
            <w:szCs w:val="16"/>
          </w:rPr>
          <w:t>http://www.sciencedirect.com/science?_ob=JournalURL&amp;_cdi=12893&amp;_auth=y&amp;_acct=C000027518&amp;_version=1&amp;_urlVersion=0&amp;_userid=634187&amp;md5=c5218be5e9f78f1fd27ddb01b951c843</w:t>
        </w:r>
      </w:hyperlink>
    </w:p>
    <w:p w:rsidR="000C629A" w:rsidRDefault="001C6B5A" w:rsidP="007945AF">
      <w:pPr>
        <w:rPr>
          <w:rFonts w:cstheme="minorHAnsi"/>
          <w:sz w:val="16"/>
          <w:szCs w:val="16"/>
        </w:rPr>
      </w:pPr>
      <w:r w:rsidRPr="00216A71">
        <w:rPr>
          <w:rFonts w:cstheme="minorHAnsi"/>
          <w:sz w:val="16"/>
          <w:szCs w:val="16"/>
        </w:rPr>
        <w:t xml:space="preserve">PIRG 2009 </w:t>
      </w:r>
      <w:hyperlink r:id="rId187" w:history="1">
        <w:r w:rsidRPr="00216A71">
          <w:rPr>
            <w:rStyle w:val="Hyperlink"/>
            <w:rFonts w:cstheme="minorHAnsi"/>
            <w:sz w:val="16"/>
            <w:szCs w:val="16"/>
          </w:rPr>
          <w:t>Private Roads, Public Costs</w:t>
        </w:r>
      </w:hyperlink>
    </w:p>
    <w:p w:rsidR="000C629A" w:rsidRDefault="002D4726" w:rsidP="007945AF">
      <w:pPr>
        <w:rPr>
          <w:rFonts w:cstheme="minorHAnsi"/>
          <w:sz w:val="16"/>
          <w:szCs w:val="16"/>
        </w:rPr>
      </w:pPr>
      <w:r w:rsidRPr="00216A71">
        <w:rPr>
          <w:rFonts w:cstheme="minorHAnsi"/>
          <w:sz w:val="16"/>
          <w:szCs w:val="16"/>
        </w:rPr>
        <w:t>Pollock A., Shaoul J. and Vickers N. 2002 “Private finance and ‘value for money’ in NHS hospitals: a policy in search of a rationale?”</w:t>
      </w:r>
      <w:r w:rsidR="00D848C2">
        <w:rPr>
          <w:rFonts w:cstheme="minorHAnsi"/>
          <w:sz w:val="16"/>
          <w:szCs w:val="16"/>
        </w:rPr>
        <w:t xml:space="preserve"> </w:t>
      </w:r>
      <w:r w:rsidRPr="00216A71">
        <w:rPr>
          <w:rFonts w:cstheme="minorHAnsi"/>
          <w:sz w:val="16"/>
          <w:szCs w:val="16"/>
        </w:rPr>
        <w:t xml:space="preserve">in British Medical Journal, vol.324, (18 May,2002), pp.1205-1209 </w:t>
      </w:r>
    </w:p>
    <w:p w:rsidR="004B21AC" w:rsidRPr="00216A71" w:rsidRDefault="004B21AC" w:rsidP="007945AF">
      <w:pPr>
        <w:rPr>
          <w:rFonts w:cstheme="minorHAnsi"/>
          <w:color w:val="0000FF"/>
          <w:sz w:val="16"/>
          <w:szCs w:val="16"/>
          <w:u w:val="single"/>
        </w:rPr>
      </w:pPr>
      <w:r w:rsidRPr="007945AF">
        <w:rPr>
          <w:rFonts w:cstheme="minorHAnsi"/>
          <w:sz w:val="16"/>
          <w:szCs w:val="16"/>
        </w:rPr>
        <w:t>PSIRU 2012 Financing water and sanitation: public realities</w:t>
      </w:r>
      <w:r w:rsidR="004045AD">
        <w:rPr>
          <w:rFonts w:cstheme="minorHAnsi"/>
          <w:sz w:val="16"/>
          <w:szCs w:val="16"/>
        </w:rPr>
        <w:t xml:space="preserve"> </w:t>
      </w:r>
      <w:hyperlink r:id="rId188" w:history="1">
        <w:r w:rsidRPr="00216A71">
          <w:rPr>
            <w:rStyle w:val="Hyperlink"/>
            <w:rFonts w:cstheme="minorHAnsi"/>
            <w:sz w:val="16"/>
            <w:szCs w:val="16"/>
          </w:rPr>
          <w:t>www.psiru.org</w:t>
        </w:r>
      </w:hyperlink>
    </w:p>
    <w:p w:rsidR="000C629A" w:rsidRDefault="004B21AC" w:rsidP="007945AF">
      <w:pPr>
        <w:rPr>
          <w:rFonts w:cstheme="minorHAnsi"/>
          <w:color w:val="0000FF"/>
          <w:sz w:val="16"/>
          <w:szCs w:val="16"/>
          <w:u w:val="single"/>
        </w:rPr>
      </w:pPr>
      <w:r w:rsidRPr="007945AF">
        <w:rPr>
          <w:rFonts w:cstheme="minorHAnsi"/>
          <w:sz w:val="16"/>
          <w:szCs w:val="16"/>
        </w:rPr>
        <w:t>PSIRU 2012 Corruption and Public Services</w:t>
      </w:r>
      <w:r w:rsidR="004045AD">
        <w:rPr>
          <w:rFonts w:cstheme="minorHAnsi"/>
          <w:sz w:val="16"/>
          <w:szCs w:val="16"/>
          <w:u w:val="single"/>
        </w:rPr>
        <w:t xml:space="preserve"> </w:t>
      </w:r>
      <w:hyperlink r:id="rId189" w:history="1">
        <w:r w:rsidRPr="00216A71">
          <w:rPr>
            <w:rStyle w:val="Hyperlink"/>
            <w:rFonts w:cstheme="minorHAnsi"/>
            <w:sz w:val="16"/>
            <w:szCs w:val="16"/>
          </w:rPr>
          <w:t>http://www.psiru.org/sites/default/files/2012-11-Corruption.docx</w:t>
        </w:r>
      </w:hyperlink>
    </w:p>
    <w:p w:rsidR="000443F5" w:rsidRPr="00216A71" w:rsidRDefault="000443F5" w:rsidP="007945AF">
      <w:pPr>
        <w:rPr>
          <w:rFonts w:cstheme="minorHAnsi"/>
          <w:sz w:val="16"/>
          <w:szCs w:val="16"/>
        </w:rPr>
      </w:pPr>
      <w:r w:rsidRPr="00216A71">
        <w:rPr>
          <w:rFonts w:cstheme="minorHAnsi"/>
          <w:sz w:val="16"/>
          <w:szCs w:val="16"/>
        </w:rPr>
        <w:t xml:space="preserve">Reeves E. 2011 The Only Game in Town: Public Private Partnerships in the Irish Water Services Sector The Economic and Social Review, Vol. 42, No. 1, Spring, 2011, pp. 95–111 </w:t>
      </w:r>
    </w:p>
    <w:p w:rsidR="000C629A" w:rsidRDefault="000443F5" w:rsidP="007945AF">
      <w:pPr>
        <w:rPr>
          <w:rFonts w:cstheme="minorHAnsi"/>
          <w:sz w:val="16"/>
          <w:szCs w:val="16"/>
        </w:rPr>
      </w:pPr>
      <w:r w:rsidRPr="00216A71">
        <w:rPr>
          <w:rFonts w:cstheme="minorHAnsi"/>
          <w:sz w:val="16"/>
          <w:szCs w:val="16"/>
        </w:rPr>
        <w:t xml:space="preserve">Reeves E. 2013 Public-Private Partnerships in Ireland: A Review of the Experience. Nevin Economic Research Institute , Dublin, January 2013. </w:t>
      </w:r>
      <w:hyperlink r:id="rId190" w:history="1">
        <w:r w:rsidR="00CC43AC" w:rsidRPr="00216A71">
          <w:rPr>
            <w:rStyle w:val="Hyperlink"/>
            <w:rFonts w:cstheme="minorHAnsi"/>
            <w:sz w:val="16"/>
            <w:szCs w:val="16"/>
          </w:rPr>
          <w:t>http://www.nerinstitute.net/download/pdf/reeves_neri_2013_ppp.pdf</w:t>
        </w:r>
      </w:hyperlink>
      <w:r w:rsidR="004045AD">
        <w:rPr>
          <w:rFonts w:cstheme="minorHAnsi"/>
          <w:sz w:val="16"/>
          <w:szCs w:val="16"/>
        </w:rPr>
        <w:t xml:space="preserve"> </w:t>
      </w:r>
    </w:p>
    <w:p w:rsidR="000C629A" w:rsidRDefault="000443F5" w:rsidP="007945AF">
      <w:pPr>
        <w:rPr>
          <w:rFonts w:cstheme="minorHAnsi"/>
          <w:sz w:val="16"/>
          <w:szCs w:val="16"/>
        </w:rPr>
      </w:pPr>
      <w:r w:rsidRPr="00216A71">
        <w:rPr>
          <w:rFonts w:cstheme="minorHAnsi"/>
          <w:sz w:val="16"/>
          <w:szCs w:val="16"/>
        </w:rPr>
        <w:lastRenderedPageBreak/>
        <w:t xml:space="preserve">Rehn Olli 2012 </w:t>
      </w:r>
      <w:r w:rsidRPr="00216A71">
        <w:rPr>
          <w:rFonts w:cstheme="minorHAnsi"/>
          <w:bCs/>
          <w:sz w:val="16"/>
          <w:szCs w:val="16"/>
        </w:rPr>
        <w:t>Europe's growth challenge and innovative infrastructure financing</w:t>
      </w:r>
      <w:r w:rsidR="004045AD">
        <w:rPr>
          <w:rFonts w:cstheme="minorHAnsi"/>
          <w:bCs/>
          <w:sz w:val="16"/>
          <w:szCs w:val="16"/>
        </w:rPr>
        <w:t xml:space="preserve"> </w:t>
      </w:r>
      <w:hyperlink r:id="rId191" w:history="1">
        <w:r w:rsidR="00CC43AC" w:rsidRPr="00216A71">
          <w:rPr>
            <w:rStyle w:val="Hyperlink"/>
            <w:rFonts w:cstheme="minorHAnsi"/>
            <w:sz w:val="16"/>
            <w:szCs w:val="16"/>
          </w:rPr>
          <w:t>http://europa.eu/rapid/press-release_SPEECH-12-789_en.htm?locale=en</w:t>
        </w:r>
      </w:hyperlink>
      <w:r w:rsidR="004045AD">
        <w:rPr>
          <w:rFonts w:cstheme="minorHAnsi"/>
          <w:sz w:val="16"/>
          <w:szCs w:val="16"/>
        </w:rPr>
        <w:t xml:space="preserve"> </w:t>
      </w:r>
    </w:p>
    <w:p w:rsidR="000443F5" w:rsidRPr="00216A71" w:rsidRDefault="000443F5" w:rsidP="007945AF">
      <w:pPr>
        <w:rPr>
          <w:rFonts w:cstheme="minorHAnsi"/>
          <w:sz w:val="16"/>
          <w:szCs w:val="16"/>
        </w:rPr>
      </w:pPr>
      <w:r w:rsidRPr="00216A71">
        <w:rPr>
          <w:rFonts w:cstheme="minorHAnsi"/>
          <w:sz w:val="16"/>
          <w:szCs w:val="16"/>
        </w:rPr>
        <w:t xml:space="preserve">UK Parliament 2001 House of Commons Research Paper 01/117 The Private Finance Initiative (PFI) </w:t>
      </w:r>
      <w:hyperlink r:id="rId192" w:history="1">
        <w:r w:rsidRPr="00216A71">
          <w:rPr>
            <w:rStyle w:val="Hyperlink"/>
            <w:rFonts w:cstheme="minorHAnsi"/>
            <w:sz w:val="16"/>
            <w:szCs w:val="16"/>
          </w:rPr>
          <w:t>http://www.parliament.uk/documents/commons/lib/research/rp2001/rp01-117.pdf</w:t>
        </w:r>
      </w:hyperlink>
    </w:p>
    <w:p w:rsidR="000443F5" w:rsidRPr="00216A71" w:rsidRDefault="000443F5" w:rsidP="007945AF">
      <w:pPr>
        <w:rPr>
          <w:rFonts w:cstheme="minorHAnsi"/>
          <w:sz w:val="16"/>
          <w:szCs w:val="16"/>
        </w:rPr>
      </w:pPr>
      <w:r w:rsidRPr="00216A71">
        <w:rPr>
          <w:rFonts w:cstheme="minorHAnsi"/>
          <w:sz w:val="16"/>
          <w:szCs w:val="16"/>
        </w:rPr>
        <w:t>UK Parliament 2008 House of Commons Transport Committee: The London Underground and the Public–Private Partnership Agreements Second Report of Session 2007–08 2007–08</w:t>
      </w:r>
      <w:r w:rsidR="004045AD">
        <w:rPr>
          <w:rFonts w:cstheme="minorHAnsi"/>
          <w:sz w:val="16"/>
          <w:szCs w:val="16"/>
        </w:rPr>
        <w:t xml:space="preserve"> </w:t>
      </w:r>
      <w:r w:rsidRPr="00216A71">
        <w:rPr>
          <w:rFonts w:cstheme="minorHAnsi"/>
          <w:sz w:val="16"/>
          <w:szCs w:val="16"/>
        </w:rPr>
        <w:t xml:space="preserve">HC 45 16 January 2008 </w:t>
      </w:r>
      <w:hyperlink r:id="rId193" w:history="1">
        <w:r w:rsidR="00CC43AC" w:rsidRPr="00216A71">
          <w:rPr>
            <w:rStyle w:val="Hyperlink"/>
            <w:rFonts w:cstheme="minorHAnsi"/>
            <w:sz w:val="16"/>
            <w:szCs w:val="16"/>
          </w:rPr>
          <w:t>http://www.publications.parliament.uk/pa/cm200708/cmselect/cmtran/45/45.pdf</w:t>
        </w:r>
      </w:hyperlink>
      <w:r w:rsidR="00CC43AC" w:rsidRPr="00216A71">
        <w:rPr>
          <w:rFonts w:cstheme="minorHAnsi"/>
          <w:sz w:val="16"/>
          <w:szCs w:val="16"/>
        </w:rPr>
        <w:t xml:space="preserve"> </w:t>
      </w:r>
    </w:p>
    <w:p w:rsidR="000443F5" w:rsidRPr="00216A71" w:rsidRDefault="000443F5" w:rsidP="007945AF">
      <w:pPr>
        <w:rPr>
          <w:rFonts w:cstheme="minorHAnsi"/>
          <w:sz w:val="16"/>
          <w:szCs w:val="16"/>
        </w:rPr>
      </w:pPr>
      <w:r w:rsidRPr="00216A71">
        <w:rPr>
          <w:rFonts w:cstheme="minorHAnsi"/>
          <w:sz w:val="16"/>
          <w:szCs w:val="16"/>
        </w:rPr>
        <w:t xml:space="preserve">UK Parliament 2011a Public Accounts Committee </w:t>
      </w:r>
      <w:r w:rsidRPr="00216A71">
        <w:rPr>
          <w:rFonts w:cstheme="minorHAnsi"/>
          <w:iCs/>
          <w:sz w:val="16"/>
          <w:szCs w:val="16"/>
        </w:rPr>
        <w:t xml:space="preserve">2011 </w:t>
      </w:r>
      <w:r w:rsidRPr="00216A71">
        <w:rPr>
          <w:rFonts w:cstheme="minorHAnsi"/>
          <w:sz w:val="16"/>
          <w:szCs w:val="16"/>
        </w:rPr>
        <w:t>44th Report</w:t>
      </w:r>
      <w:r w:rsidR="004045AD">
        <w:rPr>
          <w:rFonts w:cstheme="minorHAnsi"/>
          <w:sz w:val="16"/>
          <w:szCs w:val="16"/>
        </w:rPr>
        <w:t xml:space="preserve"> – </w:t>
      </w:r>
      <w:r w:rsidRPr="00216A71">
        <w:rPr>
          <w:rFonts w:cstheme="minorHAnsi"/>
          <w:sz w:val="16"/>
          <w:szCs w:val="16"/>
        </w:rPr>
        <w:t>Lessons from PFI and other projects HC 1201 </w:t>
      </w:r>
      <w:r w:rsidRPr="00216A71">
        <w:rPr>
          <w:rFonts w:cstheme="minorHAnsi"/>
          <w:iCs/>
          <w:sz w:val="16"/>
          <w:szCs w:val="16"/>
        </w:rPr>
        <w:t>01 September 2011</w:t>
      </w:r>
      <w:r w:rsidR="004045AD">
        <w:rPr>
          <w:rFonts w:cstheme="minorHAnsi"/>
          <w:iCs/>
          <w:sz w:val="16"/>
          <w:szCs w:val="16"/>
        </w:rPr>
        <w:t xml:space="preserve"> </w:t>
      </w:r>
      <w:hyperlink r:id="rId194" w:history="1">
        <w:r w:rsidRPr="00216A71">
          <w:rPr>
            <w:rStyle w:val="Hyperlink"/>
            <w:rFonts w:cstheme="minorHAnsi"/>
            <w:sz w:val="16"/>
            <w:szCs w:val="16"/>
          </w:rPr>
          <w:t>http://www.publications.parliament.uk/pa/cm201012/cmselect/cmpubacc/1201/120102.htm</w:t>
        </w:r>
      </w:hyperlink>
    </w:p>
    <w:p w:rsidR="000443F5" w:rsidRPr="00216A71" w:rsidRDefault="000443F5" w:rsidP="007945AF">
      <w:pPr>
        <w:rPr>
          <w:rFonts w:cstheme="minorHAnsi"/>
          <w:sz w:val="16"/>
          <w:szCs w:val="16"/>
        </w:rPr>
      </w:pPr>
      <w:r w:rsidRPr="00216A71">
        <w:rPr>
          <w:rFonts w:cstheme="minorHAnsi"/>
          <w:sz w:val="16"/>
          <w:szCs w:val="16"/>
        </w:rPr>
        <w:t>UK Parliament 2011b Treasury Select Committee 17th Report</w:t>
      </w:r>
      <w:r w:rsidR="004045AD">
        <w:rPr>
          <w:rFonts w:cstheme="minorHAnsi"/>
          <w:sz w:val="16"/>
          <w:szCs w:val="16"/>
        </w:rPr>
        <w:t xml:space="preserve"> – </w:t>
      </w:r>
      <w:r w:rsidRPr="00216A71">
        <w:rPr>
          <w:rFonts w:cstheme="minorHAnsi"/>
          <w:sz w:val="16"/>
          <w:szCs w:val="16"/>
        </w:rPr>
        <w:t xml:space="preserve">Private Finance Initiative HC 1146 August 2011 </w:t>
      </w:r>
      <w:hyperlink r:id="rId195" w:history="1">
        <w:r w:rsidR="00CC43AC" w:rsidRPr="00216A71">
          <w:rPr>
            <w:rStyle w:val="Hyperlink"/>
            <w:rFonts w:cstheme="minorHAnsi"/>
            <w:sz w:val="16"/>
            <w:szCs w:val="16"/>
          </w:rPr>
          <w:t>http://www.publications.parliament.uk/pa/cm201012/cmselect/cmtreasy/1146/114602.htm</w:t>
        </w:r>
      </w:hyperlink>
      <w:r w:rsidR="00CC43AC" w:rsidRPr="00216A71">
        <w:rPr>
          <w:rFonts w:cstheme="minorHAnsi"/>
          <w:sz w:val="16"/>
          <w:szCs w:val="16"/>
        </w:rPr>
        <w:t xml:space="preserve"> </w:t>
      </w:r>
      <w:r w:rsidRPr="00216A71">
        <w:rPr>
          <w:rFonts w:cstheme="minorHAnsi"/>
          <w:sz w:val="16"/>
          <w:szCs w:val="16"/>
        </w:rPr>
        <w:t xml:space="preserve">; </w:t>
      </w:r>
    </w:p>
    <w:p w:rsidR="000C629A" w:rsidRDefault="000443F5" w:rsidP="007945AF">
      <w:pPr>
        <w:rPr>
          <w:rFonts w:cstheme="minorHAnsi"/>
          <w:sz w:val="16"/>
          <w:szCs w:val="16"/>
        </w:rPr>
      </w:pPr>
      <w:r w:rsidRPr="00216A71">
        <w:rPr>
          <w:rFonts w:cstheme="minorHAnsi"/>
          <w:sz w:val="16"/>
          <w:szCs w:val="16"/>
        </w:rPr>
        <w:t xml:space="preserve">UK Parliament 2012 London Underground after the PPP, 2007 Briefing Paper SN01746 </w:t>
      </w:r>
      <w:hyperlink r:id="rId196" w:history="1">
        <w:r w:rsidR="00CC43AC" w:rsidRPr="00216A71">
          <w:rPr>
            <w:rStyle w:val="Hyperlink"/>
            <w:rFonts w:cstheme="minorHAnsi"/>
            <w:sz w:val="16"/>
            <w:szCs w:val="16"/>
          </w:rPr>
          <w:t>http://www.parliament.uk/briefing-papers/SN01746</w:t>
        </w:r>
      </w:hyperlink>
      <w:r w:rsidR="00CC43AC" w:rsidRPr="00216A71">
        <w:rPr>
          <w:rFonts w:cstheme="minorHAnsi"/>
          <w:sz w:val="16"/>
          <w:szCs w:val="16"/>
        </w:rPr>
        <w:t xml:space="preserve"> </w:t>
      </w:r>
    </w:p>
    <w:p w:rsidR="000443F5" w:rsidRPr="00216A71" w:rsidRDefault="000443F5" w:rsidP="007945AF">
      <w:pPr>
        <w:rPr>
          <w:rFonts w:cstheme="minorHAnsi"/>
          <w:sz w:val="16"/>
          <w:szCs w:val="16"/>
        </w:rPr>
      </w:pPr>
      <w:r w:rsidRPr="00216A71">
        <w:rPr>
          <w:rFonts w:cstheme="minorHAnsi"/>
          <w:sz w:val="16"/>
          <w:szCs w:val="16"/>
        </w:rPr>
        <w:t xml:space="preserve">UK Treasury 2012 </w:t>
      </w:r>
      <w:r w:rsidRPr="00216A71">
        <w:rPr>
          <w:rFonts w:cstheme="minorHAnsi"/>
          <w:bCs/>
          <w:sz w:val="16"/>
          <w:szCs w:val="16"/>
        </w:rPr>
        <w:t>Government uses fiscal credibility to unveil new infrastructure investment and exports plan. N</w:t>
      </w:r>
      <w:r w:rsidRPr="00216A71">
        <w:rPr>
          <w:rFonts w:cstheme="minorHAnsi"/>
          <w:sz w:val="16"/>
          <w:szCs w:val="16"/>
        </w:rPr>
        <w:t>ews release 62/12 18 July 2012</w:t>
      </w:r>
      <w:r w:rsidR="004045AD">
        <w:rPr>
          <w:rFonts w:cstheme="minorHAnsi"/>
          <w:sz w:val="16"/>
          <w:szCs w:val="16"/>
        </w:rPr>
        <w:t xml:space="preserve"> </w:t>
      </w:r>
      <w:hyperlink r:id="rId197" w:history="1">
        <w:r w:rsidR="00CC43AC" w:rsidRPr="00216A71">
          <w:rPr>
            <w:rStyle w:val="Hyperlink"/>
            <w:rFonts w:cstheme="minorHAnsi"/>
            <w:sz w:val="16"/>
            <w:szCs w:val="16"/>
          </w:rPr>
          <w:t>http://www.hm-treasury.gov.uk/press_62_12.htm</w:t>
        </w:r>
      </w:hyperlink>
      <w:r w:rsidR="004045AD">
        <w:rPr>
          <w:rFonts w:cstheme="minorHAnsi"/>
          <w:sz w:val="16"/>
          <w:szCs w:val="16"/>
        </w:rPr>
        <w:t xml:space="preserve"> </w:t>
      </w:r>
    </w:p>
    <w:p w:rsidR="000C629A" w:rsidRDefault="000443F5" w:rsidP="007945AF">
      <w:pPr>
        <w:rPr>
          <w:rFonts w:cstheme="minorHAnsi"/>
          <w:sz w:val="16"/>
          <w:szCs w:val="16"/>
        </w:rPr>
      </w:pPr>
      <w:r w:rsidRPr="00216A71">
        <w:rPr>
          <w:rFonts w:cstheme="minorHAnsi"/>
          <w:sz w:val="16"/>
          <w:szCs w:val="16"/>
        </w:rPr>
        <w:t xml:space="preserve">UK Treasury 2013 </w:t>
      </w:r>
      <w:r w:rsidRPr="00216A71">
        <w:rPr>
          <w:rFonts w:cstheme="minorHAnsi"/>
          <w:bCs/>
          <w:sz w:val="16"/>
          <w:szCs w:val="16"/>
        </w:rPr>
        <w:t xml:space="preserve">Public Private Partnerships </w:t>
      </w:r>
      <w:hyperlink r:id="rId198" w:history="1">
        <w:r w:rsidR="00CC43AC" w:rsidRPr="00216A71">
          <w:rPr>
            <w:rStyle w:val="Hyperlink"/>
            <w:rFonts w:cstheme="minorHAnsi"/>
            <w:sz w:val="16"/>
            <w:szCs w:val="16"/>
          </w:rPr>
          <w:t>http://webarchive.nationalarchives.gov.uk/20130129110402/http://www.hm-treasury.gov.uk/infrastructure_public_private_partnerships.htm</w:t>
        </w:r>
      </w:hyperlink>
      <w:r w:rsidR="00CC43AC" w:rsidRPr="00216A71">
        <w:rPr>
          <w:rFonts w:cstheme="minorHAnsi"/>
          <w:sz w:val="16"/>
          <w:szCs w:val="16"/>
        </w:rPr>
        <w:t xml:space="preserve"> </w:t>
      </w:r>
    </w:p>
    <w:p w:rsidR="000C629A" w:rsidRDefault="000443F5" w:rsidP="007945AF">
      <w:pPr>
        <w:rPr>
          <w:rFonts w:cstheme="minorHAnsi"/>
          <w:sz w:val="16"/>
          <w:szCs w:val="16"/>
        </w:rPr>
      </w:pPr>
      <w:r w:rsidRPr="00216A71">
        <w:rPr>
          <w:rFonts w:cstheme="minorHAnsi"/>
          <w:sz w:val="16"/>
          <w:szCs w:val="16"/>
        </w:rPr>
        <w:t xml:space="preserve">WEF 2013 Strategic Infrastructure Steps to Prepare and Accelerate PPPs </w:t>
      </w:r>
      <w:hyperlink r:id="rId199" w:history="1">
        <w:r w:rsidRPr="00216A71">
          <w:rPr>
            <w:rStyle w:val="Hyperlink"/>
            <w:rFonts w:cstheme="minorHAnsi"/>
            <w:sz w:val="16"/>
            <w:szCs w:val="16"/>
          </w:rPr>
          <w:t>http://www3.weforum.org/docs/AF13/WEF_AF13_Strategic_Infrastructure_Initiative.pdf</w:t>
        </w:r>
      </w:hyperlink>
      <w:r w:rsidRPr="00216A71">
        <w:rPr>
          <w:rFonts w:cstheme="minorHAnsi"/>
          <w:sz w:val="16"/>
          <w:szCs w:val="16"/>
        </w:rPr>
        <w:t xml:space="preserve"> </w:t>
      </w:r>
    </w:p>
    <w:p w:rsidR="000C629A" w:rsidRDefault="000443F5" w:rsidP="007945AF">
      <w:pPr>
        <w:rPr>
          <w:rFonts w:cstheme="minorHAnsi"/>
          <w:sz w:val="16"/>
          <w:szCs w:val="16"/>
        </w:rPr>
      </w:pPr>
      <w:r w:rsidRPr="00216A71">
        <w:rPr>
          <w:rFonts w:cstheme="minorHAnsi"/>
          <w:sz w:val="16"/>
          <w:szCs w:val="16"/>
        </w:rPr>
        <w:t xml:space="preserve">Wolmar C. 2010 Rail 644: Why the PPP was doomed from the start 22 May 2010 </w:t>
      </w:r>
      <w:hyperlink r:id="rId200" w:history="1">
        <w:r w:rsidR="00CC43AC" w:rsidRPr="00216A71">
          <w:rPr>
            <w:rStyle w:val="Hyperlink"/>
            <w:rFonts w:cstheme="minorHAnsi"/>
            <w:sz w:val="16"/>
            <w:szCs w:val="16"/>
          </w:rPr>
          <w:t>http://www.christianwolmar.co.uk/2010/05/rail-644-why-the-ppp-was-doomed-from-the-start/</w:t>
        </w:r>
      </w:hyperlink>
      <w:r w:rsidR="00CC43AC" w:rsidRPr="00216A71">
        <w:rPr>
          <w:rFonts w:cstheme="minorHAnsi"/>
          <w:sz w:val="16"/>
          <w:szCs w:val="16"/>
        </w:rPr>
        <w:t xml:space="preserve"> </w:t>
      </w:r>
    </w:p>
    <w:p w:rsidR="000C629A" w:rsidRDefault="004B21AC" w:rsidP="007945AF">
      <w:pPr>
        <w:rPr>
          <w:rFonts w:cstheme="minorHAnsi"/>
          <w:color w:val="0000FF"/>
          <w:sz w:val="16"/>
          <w:szCs w:val="16"/>
          <w:u w:val="single"/>
        </w:rPr>
      </w:pPr>
      <w:r w:rsidRPr="00216A71">
        <w:rPr>
          <w:rFonts w:cstheme="minorHAnsi"/>
          <w:sz w:val="16"/>
          <w:szCs w:val="16"/>
        </w:rPr>
        <w:t>World Bank/AFD 2010 Africa’s Infrastructure 2010</w:t>
      </w:r>
      <w:r w:rsidR="004045AD">
        <w:rPr>
          <w:rFonts w:cstheme="minorHAnsi"/>
          <w:sz w:val="16"/>
          <w:szCs w:val="16"/>
        </w:rPr>
        <w:t xml:space="preserve"> </w:t>
      </w:r>
      <w:r w:rsidRPr="00216A71">
        <w:rPr>
          <w:rFonts w:cstheme="minorHAnsi"/>
          <w:sz w:val="16"/>
          <w:szCs w:val="16"/>
        </w:rPr>
        <w:t xml:space="preserve">. </w:t>
      </w:r>
      <w:hyperlink r:id="rId201" w:history="1">
        <w:r w:rsidRPr="00216A71">
          <w:rPr>
            <w:rStyle w:val="Hyperlink"/>
            <w:rFonts w:cstheme="minorHAnsi"/>
            <w:sz w:val="16"/>
            <w:szCs w:val="16"/>
          </w:rPr>
          <w:t>http://www.infrastructureafrica.org/aicd/system/files/AIATT_Consolidated_smaller.pdf</w:t>
        </w:r>
      </w:hyperlink>
    </w:p>
    <w:p w:rsidR="004B21AC" w:rsidRPr="00216A71" w:rsidRDefault="004B21AC" w:rsidP="007945AF">
      <w:pPr>
        <w:rPr>
          <w:rStyle w:val="Hyperlink"/>
          <w:rFonts w:cstheme="minorHAnsi"/>
          <w:sz w:val="16"/>
          <w:szCs w:val="16"/>
        </w:rPr>
      </w:pPr>
      <w:r w:rsidRPr="00216A71">
        <w:rPr>
          <w:rFonts w:cstheme="minorHAnsi"/>
          <w:sz w:val="16"/>
          <w:szCs w:val="16"/>
        </w:rPr>
        <w:t>World Bank Oct 2013 Financing for Development</w:t>
      </w:r>
      <w:r w:rsidR="004045AD">
        <w:rPr>
          <w:rFonts w:cstheme="minorHAnsi"/>
          <w:sz w:val="16"/>
          <w:szCs w:val="16"/>
        </w:rPr>
        <w:t xml:space="preserve"> </w:t>
      </w:r>
      <w:hyperlink r:id="rId202" w:history="1">
        <w:r w:rsidRPr="00216A71">
          <w:rPr>
            <w:rStyle w:val="Hyperlink"/>
            <w:rFonts w:cstheme="minorHAnsi"/>
            <w:sz w:val="16"/>
            <w:szCs w:val="16"/>
          </w:rPr>
          <w:t>http://www.worldbank.org/content/dam/Worldbank/document/Poverty documents/WB-PREM financing-for-development-pub-10-11-13web.pdf</w:t>
        </w:r>
      </w:hyperlink>
    </w:p>
    <w:p w:rsidR="000C629A" w:rsidRDefault="001C6B5A" w:rsidP="007945AF">
      <w:pPr>
        <w:rPr>
          <w:rStyle w:val="Hyperlink"/>
          <w:rFonts w:cstheme="minorHAnsi"/>
          <w:szCs w:val="20"/>
        </w:rPr>
      </w:pPr>
      <w:r w:rsidRPr="00216A71">
        <w:rPr>
          <w:rFonts w:cstheme="minorHAnsi"/>
          <w:sz w:val="16"/>
          <w:szCs w:val="16"/>
        </w:rPr>
        <w:t xml:space="preserve">World Bank Institute 2013 </w:t>
      </w:r>
      <w:r w:rsidRPr="00216A71">
        <w:rPr>
          <w:rFonts w:cstheme="minorHAnsi"/>
          <w:bCs/>
          <w:sz w:val="16"/>
          <w:szCs w:val="16"/>
        </w:rPr>
        <w:t xml:space="preserve">Disclosure of Project and Contract Information </w:t>
      </w:r>
      <w:r w:rsidRPr="00216A71">
        <w:rPr>
          <w:rFonts w:cstheme="minorHAnsi"/>
          <w:sz w:val="16"/>
          <w:szCs w:val="16"/>
        </w:rPr>
        <w:t>in Public-Private Partnerships Jan 2013</w:t>
      </w:r>
      <w:r w:rsidR="004045AD">
        <w:rPr>
          <w:rFonts w:cstheme="minorHAnsi"/>
          <w:sz w:val="16"/>
          <w:szCs w:val="16"/>
          <w:u w:val="single"/>
        </w:rPr>
        <w:t xml:space="preserve"> </w:t>
      </w:r>
      <w:hyperlink r:id="rId203" w:history="1">
        <w:r w:rsidRPr="00216A71">
          <w:rPr>
            <w:rStyle w:val="Hyperlink"/>
            <w:rFonts w:cstheme="minorHAnsi"/>
            <w:sz w:val="16"/>
            <w:szCs w:val="16"/>
          </w:rPr>
          <w:t>http://wbi.worldbank.org/wbi/Data/wbi/wbicms/files/drupal-acquia/wbi/Disclosure%20of%20Project%20PPP.pdf</w:t>
        </w:r>
      </w:hyperlink>
      <w:r w:rsidRPr="00216A71">
        <w:rPr>
          <w:rStyle w:val="Hyperlink"/>
          <w:rFonts w:cstheme="minorHAnsi"/>
          <w:szCs w:val="20"/>
        </w:rPr>
        <w:br w:type="page"/>
      </w:r>
    </w:p>
    <w:p w:rsidR="00A60076" w:rsidRPr="00216A71" w:rsidRDefault="006350DB" w:rsidP="00CE1FBB">
      <w:pPr>
        <w:pStyle w:val="Heading1"/>
      </w:pPr>
      <w:bookmarkStart w:id="199" w:name="_Toc392857550"/>
      <w:r w:rsidRPr="00216A71">
        <w:lastRenderedPageBreak/>
        <w:t xml:space="preserve">Annexe: </w:t>
      </w:r>
      <w:r w:rsidR="00A60076" w:rsidRPr="00216A71">
        <w:t>Case studies</w:t>
      </w:r>
      <w:bookmarkEnd w:id="199"/>
    </w:p>
    <w:p w:rsidR="00F61F50" w:rsidRPr="00F61F50" w:rsidRDefault="00F61F50" w:rsidP="00F61F50">
      <w:pPr>
        <w:pStyle w:val="ListParagraph"/>
        <w:keepNext/>
        <w:numPr>
          <w:ilvl w:val="0"/>
          <w:numId w:val="16"/>
        </w:numPr>
        <w:spacing w:before="240" w:after="60"/>
        <w:contextualSpacing w:val="0"/>
        <w:outlineLvl w:val="1"/>
        <w:rPr>
          <w:rFonts w:cstheme="minorHAnsi"/>
          <w:b/>
          <w:bCs/>
          <w:iCs/>
          <w:vanish/>
          <w:szCs w:val="20"/>
        </w:rPr>
      </w:pPr>
    </w:p>
    <w:p w:rsidR="00F61F50" w:rsidRPr="00F61F50" w:rsidRDefault="00F61F50" w:rsidP="00F61F50">
      <w:pPr>
        <w:pStyle w:val="ListParagraph"/>
        <w:keepNext/>
        <w:numPr>
          <w:ilvl w:val="0"/>
          <w:numId w:val="16"/>
        </w:numPr>
        <w:spacing w:before="240" w:after="60"/>
        <w:contextualSpacing w:val="0"/>
        <w:outlineLvl w:val="1"/>
        <w:rPr>
          <w:rFonts w:cstheme="minorHAnsi"/>
          <w:b/>
          <w:bCs/>
          <w:iCs/>
          <w:vanish/>
          <w:szCs w:val="20"/>
        </w:rPr>
      </w:pPr>
    </w:p>
    <w:p w:rsidR="00F61F50" w:rsidRPr="00F61F50" w:rsidRDefault="00F61F50" w:rsidP="00F61F50">
      <w:pPr>
        <w:pStyle w:val="ListParagraph"/>
        <w:keepNext/>
        <w:numPr>
          <w:ilvl w:val="0"/>
          <w:numId w:val="16"/>
        </w:numPr>
        <w:spacing w:before="240" w:after="60"/>
        <w:contextualSpacing w:val="0"/>
        <w:outlineLvl w:val="1"/>
        <w:rPr>
          <w:rFonts w:cstheme="minorHAnsi"/>
          <w:b/>
          <w:bCs/>
          <w:iCs/>
          <w:vanish/>
          <w:szCs w:val="20"/>
        </w:rPr>
      </w:pPr>
    </w:p>
    <w:p w:rsidR="00A60076" w:rsidRPr="00216A71" w:rsidRDefault="00A60076" w:rsidP="00F61F50">
      <w:pPr>
        <w:pStyle w:val="Heading2"/>
      </w:pPr>
      <w:bookmarkStart w:id="200" w:name="_Toc392857551"/>
      <w:r w:rsidRPr="00216A71">
        <w:t>Case study: London Transport – the economic advantages of re</w:t>
      </w:r>
      <w:r w:rsidR="0066057E">
        <w:t>-</w:t>
      </w:r>
      <w:r w:rsidRPr="00216A71">
        <w:t>municipalising PPPs</w:t>
      </w:r>
      <w:bookmarkEnd w:id="200"/>
    </w:p>
    <w:p w:rsidR="000C629A" w:rsidRDefault="00A60076" w:rsidP="00A60076">
      <w:pPr>
        <w:rPr>
          <w:rFonts w:cstheme="minorHAnsi"/>
          <w:szCs w:val="20"/>
        </w:rPr>
      </w:pPr>
      <w:r w:rsidRPr="00216A71">
        <w:rPr>
          <w:rFonts w:cstheme="minorHAnsi"/>
          <w:szCs w:val="20"/>
        </w:rPr>
        <w:t xml:space="preserve">Transport for London </w:t>
      </w:r>
      <w:r w:rsidR="00D848C2">
        <w:rPr>
          <w:rFonts w:cstheme="minorHAnsi"/>
          <w:szCs w:val="20"/>
        </w:rPr>
        <w:t xml:space="preserve">(TfL) </w:t>
      </w:r>
      <w:r w:rsidRPr="00216A71">
        <w:rPr>
          <w:rFonts w:cstheme="minorHAnsi"/>
          <w:szCs w:val="20"/>
        </w:rPr>
        <w:t>originally set up nearly one quarter of the UK’s entire PPP programme. Nearly all of these PPPs have now been terminated.</w:t>
      </w:r>
    </w:p>
    <w:p w:rsidR="000C629A" w:rsidRDefault="00A60076" w:rsidP="00A60076">
      <w:pPr>
        <w:rPr>
          <w:rFonts w:cstheme="minorHAnsi"/>
          <w:szCs w:val="20"/>
        </w:rPr>
      </w:pPr>
      <w:r w:rsidRPr="00216A71">
        <w:rPr>
          <w:rFonts w:cstheme="minorHAnsi"/>
          <w:szCs w:val="20"/>
        </w:rPr>
        <w:t xml:space="preserve">Between 1996 and 2005 ten PPPs were set up for various developments of the underground and light rail public transport systems in London. </w:t>
      </w:r>
    </w:p>
    <w:p w:rsidR="000C629A" w:rsidRDefault="00297567" w:rsidP="00297567">
      <w:pPr>
        <w:rPr>
          <w:rFonts w:cstheme="minorHAnsi"/>
          <w:szCs w:val="20"/>
          <w:lang w:val="en-US"/>
        </w:rPr>
      </w:pPr>
      <w:r w:rsidRPr="00216A71">
        <w:rPr>
          <w:rFonts w:cstheme="minorHAnsi"/>
          <w:szCs w:val="20"/>
        </w:rPr>
        <w:t xml:space="preserve">The three largest PPPs were set up in 2003, for the renovation and maintenance of the entire London underground railway system. </w:t>
      </w:r>
      <w:r w:rsidRPr="00216A71">
        <w:rPr>
          <w:rFonts w:cstheme="minorHAnsi"/>
          <w:szCs w:val="20"/>
          <w:lang w:val="en-US"/>
        </w:rPr>
        <w:t>These were awarded to two large private consortia, Metronet and Tubelines, under PPP contracts worth over £17</w:t>
      </w:r>
      <w:r w:rsidR="00D848C2">
        <w:rPr>
          <w:rFonts w:cstheme="minorHAnsi"/>
          <w:szCs w:val="20"/>
          <w:lang w:val="en-US"/>
        </w:rPr>
        <w:t xml:space="preserve"> </w:t>
      </w:r>
      <w:r w:rsidRPr="00216A71">
        <w:rPr>
          <w:rFonts w:cstheme="minorHAnsi"/>
          <w:szCs w:val="20"/>
          <w:lang w:val="en-US"/>
        </w:rPr>
        <w:t>billion (USD</w:t>
      </w:r>
      <w:r w:rsidR="00D848C2">
        <w:rPr>
          <w:rFonts w:cstheme="minorHAnsi"/>
          <w:szCs w:val="20"/>
          <w:lang w:val="en-US"/>
        </w:rPr>
        <w:t xml:space="preserve"> </w:t>
      </w:r>
      <w:r w:rsidRPr="00216A71">
        <w:rPr>
          <w:rFonts w:cstheme="minorHAnsi"/>
          <w:szCs w:val="20"/>
          <w:lang w:val="en-US"/>
        </w:rPr>
        <w:t>$26</w:t>
      </w:r>
      <w:r w:rsidR="00D848C2">
        <w:rPr>
          <w:rFonts w:cstheme="minorHAnsi"/>
          <w:szCs w:val="20"/>
          <w:lang w:val="en-US"/>
        </w:rPr>
        <w:t xml:space="preserve"> </w:t>
      </w:r>
      <w:r w:rsidRPr="00216A71">
        <w:rPr>
          <w:rFonts w:cstheme="minorHAnsi"/>
          <w:szCs w:val="20"/>
          <w:lang w:val="en-US"/>
        </w:rPr>
        <w:t>billion). TfL and the government guaranteed 95</w:t>
      </w:r>
      <w:r w:rsidR="00A42FDE">
        <w:rPr>
          <w:rFonts w:cstheme="minorHAnsi"/>
          <w:szCs w:val="20"/>
          <w:lang w:val="en-US"/>
        </w:rPr>
        <w:t xml:space="preserve"> per cent</w:t>
      </w:r>
      <w:r w:rsidRPr="00216A71">
        <w:rPr>
          <w:rFonts w:cstheme="minorHAnsi"/>
          <w:szCs w:val="20"/>
          <w:lang w:val="en-US"/>
        </w:rPr>
        <w:t xml:space="preserve"> of all the debt raised by the consortia to finance the PPPs</w:t>
      </w:r>
      <w:r w:rsidR="00D848C2">
        <w:rPr>
          <w:rFonts w:cstheme="minorHAnsi"/>
          <w:szCs w:val="20"/>
          <w:lang w:val="en-US"/>
        </w:rPr>
        <w:t>.</w:t>
      </w:r>
      <w:r w:rsidRPr="00216A71">
        <w:rPr>
          <w:rFonts w:cstheme="minorHAnsi"/>
          <w:szCs w:val="20"/>
          <w:lang w:val="en-US"/>
        </w:rPr>
        <w:t xml:space="preserve"> </w:t>
      </w:r>
    </w:p>
    <w:p w:rsidR="00297567" w:rsidRPr="00216A71" w:rsidRDefault="00297567" w:rsidP="00297567">
      <w:pPr>
        <w:rPr>
          <w:rFonts w:cstheme="minorHAnsi"/>
          <w:szCs w:val="20"/>
          <w:lang w:val="en-US"/>
        </w:rPr>
      </w:pPr>
      <w:r w:rsidRPr="00216A71">
        <w:rPr>
          <w:rFonts w:cstheme="minorHAnsi"/>
          <w:szCs w:val="20"/>
          <w:lang w:val="en-US"/>
        </w:rPr>
        <w:t xml:space="preserve">These PPPs were set up despite strong opposition from the elected London mayor and assembly and their professional advisers, who wanted the work to be done by direct labour, financed by issuing bonds. </w:t>
      </w:r>
    </w:p>
    <w:p w:rsidR="000C629A" w:rsidRDefault="00297567" w:rsidP="00297567">
      <w:pPr>
        <w:rPr>
          <w:rFonts w:cstheme="minorHAnsi"/>
          <w:szCs w:val="20"/>
          <w:lang w:val="en-US"/>
        </w:rPr>
      </w:pPr>
      <w:r w:rsidRPr="00216A71">
        <w:rPr>
          <w:rFonts w:cstheme="minorHAnsi"/>
          <w:szCs w:val="20"/>
          <w:lang w:val="en-US"/>
        </w:rPr>
        <w:t>The first terminations happened in 2007 following the collapse of</w:t>
      </w:r>
      <w:r w:rsidR="004045AD">
        <w:rPr>
          <w:rFonts w:cstheme="minorHAnsi"/>
          <w:szCs w:val="20"/>
          <w:lang w:val="en-US"/>
        </w:rPr>
        <w:t xml:space="preserve"> </w:t>
      </w:r>
      <w:r w:rsidRPr="00216A71">
        <w:rPr>
          <w:rFonts w:cstheme="minorHAnsi"/>
          <w:szCs w:val="20"/>
          <w:lang w:val="en-US"/>
        </w:rPr>
        <w:t>Metronet, which held two of the PPP contracts.</w:t>
      </w:r>
      <w:r w:rsidR="004045AD">
        <w:rPr>
          <w:rFonts w:cstheme="minorHAnsi"/>
          <w:szCs w:val="20"/>
          <w:lang w:val="en-US"/>
        </w:rPr>
        <w:t xml:space="preserve"> </w:t>
      </w:r>
      <w:r w:rsidRPr="00216A71">
        <w:rPr>
          <w:rFonts w:cstheme="minorHAnsi"/>
          <w:szCs w:val="20"/>
          <w:lang w:val="en-US"/>
        </w:rPr>
        <w:t>Metronet was unable to manage the work within the amount budgeted in the PPP, and ran up a deficit of over £1</w:t>
      </w:r>
      <w:r w:rsidR="00D848C2">
        <w:rPr>
          <w:rFonts w:cstheme="minorHAnsi"/>
          <w:szCs w:val="20"/>
          <w:lang w:val="en-US"/>
        </w:rPr>
        <w:t xml:space="preserve"> </w:t>
      </w:r>
      <w:r w:rsidRPr="00216A71">
        <w:rPr>
          <w:rFonts w:cstheme="minorHAnsi"/>
          <w:szCs w:val="20"/>
          <w:lang w:val="en-US"/>
        </w:rPr>
        <w:t>billion. TfL refused to provide an extra subsidy to cover this loss, and Metronet went bankrupt, although its shareholders had already received generous dividends.</w:t>
      </w:r>
      <w:r w:rsidR="004045AD">
        <w:rPr>
          <w:rFonts w:cstheme="minorHAnsi"/>
          <w:szCs w:val="20"/>
          <w:lang w:val="en-US"/>
        </w:rPr>
        <w:t xml:space="preserve"> </w:t>
      </w:r>
      <w:r w:rsidRPr="00216A71">
        <w:rPr>
          <w:rFonts w:cstheme="minorHAnsi"/>
          <w:szCs w:val="20"/>
          <w:lang w:val="en-US"/>
        </w:rPr>
        <w:t>The overall cost to the taxpayer of this collapse was estimated at between</w:t>
      </w:r>
      <w:r w:rsidR="004045AD">
        <w:rPr>
          <w:rFonts w:cstheme="minorHAnsi"/>
          <w:szCs w:val="20"/>
          <w:lang w:val="en-US"/>
        </w:rPr>
        <w:t xml:space="preserve"> </w:t>
      </w:r>
      <w:r w:rsidRPr="00216A71">
        <w:rPr>
          <w:rFonts w:cstheme="minorHAnsi"/>
          <w:szCs w:val="20"/>
          <w:lang w:val="en-US"/>
        </w:rPr>
        <w:t>£170</w:t>
      </w:r>
      <w:r w:rsidR="00D848C2">
        <w:rPr>
          <w:rFonts w:cstheme="minorHAnsi"/>
          <w:szCs w:val="20"/>
          <w:lang w:val="en-US"/>
        </w:rPr>
        <w:t xml:space="preserve"> </w:t>
      </w:r>
      <w:r w:rsidRPr="00216A71">
        <w:rPr>
          <w:rFonts w:cstheme="minorHAnsi"/>
          <w:szCs w:val="20"/>
          <w:lang w:val="en-US"/>
        </w:rPr>
        <w:t>m</w:t>
      </w:r>
      <w:r w:rsidR="00D848C2">
        <w:rPr>
          <w:rFonts w:cstheme="minorHAnsi"/>
          <w:szCs w:val="20"/>
          <w:lang w:val="en-US"/>
        </w:rPr>
        <w:t>illion</w:t>
      </w:r>
      <w:r w:rsidRPr="00216A71">
        <w:rPr>
          <w:rFonts w:cstheme="minorHAnsi"/>
          <w:szCs w:val="20"/>
          <w:lang w:val="en-US"/>
        </w:rPr>
        <w:t xml:space="preserve"> and £410</w:t>
      </w:r>
      <w:r w:rsidR="00D848C2">
        <w:rPr>
          <w:rFonts w:cstheme="minorHAnsi"/>
          <w:szCs w:val="20"/>
          <w:lang w:val="en-US"/>
        </w:rPr>
        <w:t xml:space="preserve"> </w:t>
      </w:r>
      <w:r w:rsidRPr="00216A71">
        <w:rPr>
          <w:rFonts w:cstheme="minorHAnsi"/>
          <w:szCs w:val="20"/>
          <w:lang w:val="en-US"/>
        </w:rPr>
        <w:t>m</w:t>
      </w:r>
      <w:r w:rsidR="00D848C2">
        <w:rPr>
          <w:rFonts w:cstheme="minorHAnsi"/>
          <w:szCs w:val="20"/>
          <w:lang w:val="en-US"/>
        </w:rPr>
        <w:t>illion</w:t>
      </w:r>
      <w:r w:rsidRPr="00216A71">
        <w:rPr>
          <w:rFonts w:cstheme="minorHAnsi"/>
          <w:szCs w:val="20"/>
          <w:lang w:val="en-US"/>
        </w:rPr>
        <w:t>. The final report on the PPP stated</w:t>
      </w:r>
      <w:r w:rsidR="00D848C2">
        <w:rPr>
          <w:rFonts w:cstheme="minorHAnsi"/>
          <w:szCs w:val="20"/>
          <w:lang w:val="en-US"/>
        </w:rPr>
        <w:t>,</w:t>
      </w:r>
      <w:r w:rsidRPr="00216A71">
        <w:rPr>
          <w:rFonts w:cstheme="minorHAnsi"/>
          <w:szCs w:val="20"/>
          <w:lang w:val="en-US"/>
        </w:rPr>
        <w:t xml:space="preserve"> “</w:t>
      </w:r>
      <w:r w:rsidRPr="00216A71">
        <w:rPr>
          <w:rFonts w:cstheme="minorHAnsi"/>
          <w:szCs w:val="20"/>
        </w:rPr>
        <w:t>The legacy left by Metronet’s former shareholders was one of poor programme management and system integration, ineffective cost control, a lack of forward planning and inefficient fiscal management.”</w:t>
      </w:r>
      <w:r w:rsidRPr="00216A71">
        <w:rPr>
          <w:rStyle w:val="EndnoteReference"/>
          <w:rFonts w:cstheme="minorHAnsi"/>
          <w:szCs w:val="20"/>
        </w:rPr>
        <w:endnoteReference w:id="178"/>
      </w:r>
    </w:p>
    <w:p w:rsidR="00297567" w:rsidRPr="00216A71" w:rsidRDefault="00297567" w:rsidP="00297567">
      <w:pPr>
        <w:rPr>
          <w:rFonts w:cstheme="minorHAnsi"/>
          <w:bCs/>
          <w:szCs w:val="20"/>
        </w:rPr>
      </w:pPr>
      <w:r w:rsidRPr="00216A71">
        <w:rPr>
          <w:rFonts w:cstheme="minorHAnsi"/>
          <w:szCs w:val="20"/>
          <w:lang w:val="en-US"/>
        </w:rPr>
        <w:t>The UK parliament’s Transport Committee summarized the lessons in a series of</w:t>
      </w:r>
      <w:r w:rsidR="004045AD">
        <w:rPr>
          <w:rFonts w:cstheme="minorHAnsi"/>
          <w:szCs w:val="20"/>
          <w:lang w:val="en-US"/>
        </w:rPr>
        <w:t xml:space="preserve"> </w:t>
      </w:r>
      <w:r w:rsidRPr="00216A71">
        <w:rPr>
          <w:rFonts w:cstheme="minorHAnsi"/>
          <w:szCs w:val="20"/>
          <w:lang w:val="en-US"/>
        </w:rPr>
        <w:t>damning statements:</w:t>
      </w:r>
    </w:p>
    <w:p w:rsidR="00297567" w:rsidRPr="00216A71" w:rsidRDefault="00297567" w:rsidP="00781FBC">
      <w:pPr>
        <w:pStyle w:val="ListParagraph"/>
        <w:numPr>
          <w:ilvl w:val="0"/>
          <w:numId w:val="22"/>
        </w:numPr>
        <w:rPr>
          <w:rFonts w:cstheme="minorHAnsi"/>
          <w:bCs/>
          <w:szCs w:val="20"/>
        </w:rPr>
      </w:pPr>
      <w:r w:rsidRPr="00216A71">
        <w:rPr>
          <w:rFonts w:cstheme="minorHAnsi"/>
          <w:bCs/>
          <w:szCs w:val="20"/>
        </w:rPr>
        <w:t>“</w:t>
      </w:r>
      <w:r w:rsidR="00D848C2">
        <w:rPr>
          <w:rFonts w:cstheme="minorHAnsi"/>
          <w:bCs/>
          <w:szCs w:val="20"/>
        </w:rPr>
        <w:t>I</w:t>
      </w:r>
      <w:r w:rsidRPr="00216A71">
        <w:rPr>
          <w:rFonts w:cstheme="minorHAnsi"/>
          <w:bCs/>
          <w:szCs w:val="20"/>
        </w:rPr>
        <w:t xml:space="preserve">t is difficult to lend any credence to the assertion that the Metronet PPP contracts were effective in transferring risk from the public to the private sector. In fact, the reverse is the case…. </w:t>
      </w:r>
    </w:p>
    <w:p w:rsidR="00297567" w:rsidRPr="00216A71" w:rsidRDefault="00D848C2" w:rsidP="00781FBC">
      <w:pPr>
        <w:pStyle w:val="ListParagraph"/>
        <w:numPr>
          <w:ilvl w:val="0"/>
          <w:numId w:val="22"/>
        </w:numPr>
        <w:rPr>
          <w:rFonts w:cstheme="minorHAnsi"/>
          <w:bCs/>
          <w:szCs w:val="20"/>
        </w:rPr>
      </w:pPr>
      <w:r>
        <w:rPr>
          <w:rFonts w:cstheme="minorHAnsi"/>
          <w:bCs/>
          <w:szCs w:val="20"/>
        </w:rPr>
        <w:t>“</w:t>
      </w:r>
      <w:r w:rsidR="00297567" w:rsidRPr="00216A71">
        <w:rPr>
          <w:rFonts w:cstheme="minorHAnsi"/>
          <w:bCs/>
          <w:szCs w:val="20"/>
        </w:rPr>
        <w:t>In terms of borrowing, the Metronet contract did nothing more than secure loans, 95</w:t>
      </w:r>
      <w:r w:rsidR="00A42FDE">
        <w:rPr>
          <w:rFonts w:cstheme="minorHAnsi"/>
          <w:bCs/>
          <w:szCs w:val="20"/>
        </w:rPr>
        <w:t xml:space="preserve"> per cent</w:t>
      </w:r>
      <w:r w:rsidR="00297567" w:rsidRPr="00216A71">
        <w:rPr>
          <w:rFonts w:cstheme="minorHAnsi"/>
          <w:bCs/>
          <w:szCs w:val="20"/>
        </w:rPr>
        <w:t xml:space="preserve"> of which were in any case underwritten by the public purse, at an inflated cost— the worst of both possible world</w:t>
      </w:r>
      <w:r>
        <w:rPr>
          <w:rFonts w:cstheme="minorHAnsi"/>
          <w:bCs/>
          <w:szCs w:val="20"/>
        </w:rPr>
        <w:t>s.</w:t>
      </w:r>
      <w:r w:rsidR="00297567" w:rsidRPr="00216A71">
        <w:rPr>
          <w:rFonts w:cstheme="minorHAnsi"/>
          <w:bCs/>
          <w:szCs w:val="20"/>
        </w:rPr>
        <w:t xml:space="preserve"> </w:t>
      </w:r>
    </w:p>
    <w:p w:rsidR="00297567" w:rsidRPr="00216A71" w:rsidRDefault="00D848C2" w:rsidP="00781FBC">
      <w:pPr>
        <w:pStyle w:val="ListParagraph"/>
        <w:numPr>
          <w:ilvl w:val="0"/>
          <w:numId w:val="22"/>
        </w:numPr>
        <w:rPr>
          <w:rFonts w:cstheme="minorHAnsi"/>
          <w:bCs/>
          <w:szCs w:val="20"/>
        </w:rPr>
      </w:pPr>
      <w:r>
        <w:rPr>
          <w:rFonts w:cstheme="minorHAnsi"/>
          <w:bCs/>
          <w:szCs w:val="20"/>
        </w:rPr>
        <w:t>“</w:t>
      </w:r>
      <w:r w:rsidR="00297567" w:rsidRPr="00216A71">
        <w:rPr>
          <w:rFonts w:cstheme="minorHAnsi"/>
          <w:bCs/>
          <w:szCs w:val="20"/>
        </w:rPr>
        <w:t xml:space="preserve">Metronet’s inability to operate efficiently or economically proves that the private sector can fail to deliver on a spectacular scale…. </w:t>
      </w:r>
      <w:r>
        <w:rPr>
          <w:rFonts w:cstheme="minorHAnsi"/>
          <w:bCs/>
          <w:szCs w:val="20"/>
        </w:rPr>
        <w:t>W</w:t>
      </w:r>
      <w:r w:rsidR="00297567" w:rsidRPr="00216A71">
        <w:rPr>
          <w:rFonts w:cstheme="minorHAnsi"/>
          <w:bCs/>
          <w:szCs w:val="20"/>
        </w:rPr>
        <w:t xml:space="preserve">e are inclined to the view that the model itself was flawed and probably inferior to traditional public-sector management. We can be more confident in this conclusion now that the potential for inefficiency and failure in the private sector has been so clearly demonstrated. </w:t>
      </w:r>
    </w:p>
    <w:p w:rsidR="000C629A" w:rsidRDefault="00D848C2" w:rsidP="00781FBC">
      <w:pPr>
        <w:pStyle w:val="ListParagraph"/>
        <w:numPr>
          <w:ilvl w:val="0"/>
          <w:numId w:val="22"/>
        </w:numPr>
        <w:rPr>
          <w:rFonts w:cstheme="minorHAnsi"/>
          <w:bCs/>
          <w:szCs w:val="20"/>
        </w:rPr>
      </w:pPr>
      <w:r>
        <w:rPr>
          <w:rFonts w:cstheme="minorHAnsi"/>
          <w:bCs/>
          <w:szCs w:val="20"/>
        </w:rPr>
        <w:t>“</w:t>
      </w:r>
      <w:r w:rsidR="00297567" w:rsidRPr="00216A71">
        <w:rPr>
          <w:rFonts w:cstheme="minorHAnsi"/>
          <w:bCs/>
          <w:szCs w:val="20"/>
        </w:rPr>
        <w:t>In comparison, whatever the potential inefficiencies of the public sector, proper public scrutiny and the opportunity of meaningful control is likely to provide superior value for money. Crucially, it also offers protection from catastrophic failure. It is worth remembering that when private companies fail to deliver on large public projects they can walk away—the taxpayer is inevitably forced to pick up the pieces.”</w:t>
      </w:r>
      <w:r w:rsidR="00297567" w:rsidRPr="00216A71">
        <w:rPr>
          <w:rStyle w:val="EndnoteReference"/>
          <w:rFonts w:cstheme="minorHAnsi"/>
          <w:bCs/>
          <w:szCs w:val="20"/>
        </w:rPr>
        <w:endnoteReference w:id="179"/>
      </w:r>
    </w:p>
    <w:p w:rsidR="00297567" w:rsidRPr="00216A71" w:rsidRDefault="00297567" w:rsidP="00297567">
      <w:pPr>
        <w:rPr>
          <w:rFonts w:cstheme="minorHAnsi"/>
          <w:szCs w:val="20"/>
          <w:lang w:val="en-US"/>
        </w:rPr>
      </w:pPr>
      <w:r w:rsidRPr="00216A71">
        <w:rPr>
          <w:rFonts w:cstheme="minorHAnsi"/>
          <w:szCs w:val="20"/>
          <w:lang w:val="en-US"/>
        </w:rPr>
        <w:t xml:space="preserve">The other major PPP for renovation of the system, Tubelines, was terminated in 2010. This contract also included provision for reviews after </w:t>
      </w:r>
      <w:r w:rsidR="00D848C2">
        <w:rPr>
          <w:rFonts w:cstheme="minorHAnsi"/>
          <w:szCs w:val="20"/>
          <w:lang w:val="en-US"/>
        </w:rPr>
        <w:t>seven</w:t>
      </w:r>
      <w:r w:rsidRPr="00216A71">
        <w:rPr>
          <w:rFonts w:cstheme="minorHAnsi"/>
          <w:szCs w:val="20"/>
          <w:lang w:val="en-US"/>
        </w:rPr>
        <w:t xml:space="preserve"> years, with arbitration in case of disputes</w:t>
      </w:r>
      <w:r w:rsidR="00D848C2">
        <w:rPr>
          <w:rFonts w:cstheme="minorHAnsi"/>
          <w:szCs w:val="20"/>
          <w:lang w:val="en-US"/>
        </w:rPr>
        <w:t>.</w:t>
      </w:r>
      <w:r w:rsidRPr="00216A71">
        <w:rPr>
          <w:rFonts w:cstheme="minorHAnsi"/>
          <w:szCs w:val="20"/>
          <w:lang w:val="en-US"/>
        </w:rPr>
        <w:t xml:space="preserve"> TfL challenged the cost estimates of the consortium for the next period, and won the arbitration award. Tubelines, which was already months behind in its work, could not continue, and TfL bought the company for £310</w:t>
      </w:r>
      <w:r w:rsidR="00D848C2">
        <w:rPr>
          <w:rFonts w:cstheme="minorHAnsi"/>
          <w:szCs w:val="20"/>
          <w:lang w:val="en-US"/>
        </w:rPr>
        <w:t xml:space="preserve"> </w:t>
      </w:r>
      <w:r w:rsidRPr="00216A71">
        <w:rPr>
          <w:rFonts w:cstheme="minorHAnsi"/>
          <w:szCs w:val="20"/>
          <w:lang w:val="en-US"/>
        </w:rPr>
        <w:t>m</w:t>
      </w:r>
      <w:r w:rsidR="00D848C2">
        <w:rPr>
          <w:rFonts w:cstheme="minorHAnsi"/>
          <w:szCs w:val="20"/>
          <w:lang w:val="en-US"/>
        </w:rPr>
        <w:t>illion</w:t>
      </w:r>
      <w:r w:rsidRPr="00216A71">
        <w:rPr>
          <w:rFonts w:cstheme="minorHAnsi"/>
          <w:szCs w:val="20"/>
          <w:lang w:val="en-US"/>
        </w:rPr>
        <w:t>.</w:t>
      </w:r>
    </w:p>
    <w:p w:rsidR="000C629A" w:rsidRDefault="00297567" w:rsidP="00297567">
      <w:pPr>
        <w:rPr>
          <w:rFonts w:cstheme="minorHAnsi"/>
          <w:szCs w:val="20"/>
          <w:lang w:val="en-US"/>
        </w:rPr>
      </w:pPr>
      <w:r w:rsidRPr="00216A71">
        <w:rPr>
          <w:rFonts w:cstheme="minorHAnsi"/>
          <w:szCs w:val="20"/>
          <w:lang w:val="en-US"/>
        </w:rPr>
        <w:t>The process revealed that lawyers had been paid over £400million for one reason or another during the lifetime of the PPPs.</w:t>
      </w:r>
      <w:r w:rsidRPr="00216A71">
        <w:rPr>
          <w:rStyle w:val="EndnoteReference"/>
          <w:rFonts w:cstheme="minorHAnsi"/>
          <w:szCs w:val="20"/>
          <w:lang w:val="en-US"/>
        </w:rPr>
        <w:endnoteReference w:id="180"/>
      </w:r>
      <w:r w:rsidRPr="00216A71">
        <w:rPr>
          <w:rFonts w:cstheme="minorHAnsi"/>
          <w:szCs w:val="20"/>
          <w:lang w:val="en-US"/>
        </w:rPr>
        <w:t xml:space="preserve"> It also revealed the hopeless inaccuracy of</w:t>
      </w:r>
      <w:r w:rsidR="004045AD">
        <w:rPr>
          <w:rFonts w:cstheme="minorHAnsi"/>
          <w:szCs w:val="20"/>
          <w:lang w:val="en-US"/>
        </w:rPr>
        <w:t xml:space="preserve"> </w:t>
      </w:r>
      <w:r w:rsidRPr="00216A71">
        <w:rPr>
          <w:rFonts w:cstheme="minorHAnsi"/>
          <w:szCs w:val="20"/>
          <w:lang w:val="en-US"/>
        </w:rPr>
        <w:t>consultants’ forecasts of private sector efficiency</w:t>
      </w:r>
      <w:r w:rsidR="00D848C2">
        <w:rPr>
          <w:rFonts w:cstheme="minorHAnsi"/>
          <w:szCs w:val="20"/>
          <w:lang w:val="en-US"/>
        </w:rPr>
        <w:t>.</w:t>
      </w:r>
      <w:r w:rsidRPr="00216A71">
        <w:rPr>
          <w:rFonts w:cstheme="minorHAnsi"/>
          <w:szCs w:val="20"/>
          <w:lang w:val="en-US"/>
        </w:rPr>
        <w:t xml:space="preserve"> “</w:t>
      </w:r>
      <w:r w:rsidRPr="00216A71">
        <w:rPr>
          <w:rFonts w:cstheme="minorHAnsi"/>
          <w:szCs w:val="20"/>
        </w:rPr>
        <w:t>As the partnership was being put together, PricewaterhouseCoopers, a consultancy, predicted that the private sector could extract savings of up to 30</w:t>
      </w:r>
      <w:r w:rsidR="00A42FDE">
        <w:rPr>
          <w:rFonts w:cstheme="minorHAnsi"/>
          <w:szCs w:val="20"/>
        </w:rPr>
        <w:t xml:space="preserve"> per cent</w:t>
      </w:r>
      <w:r w:rsidRPr="00216A71">
        <w:rPr>
          <w:rFonts w:cstheme="minorHAnsi"/>
          <w:szCs w:val="20"/>
        </w:rPr>
        <w:t>, a figure that informed the entire project. But the consultancy published no adequate evidential basis for that figure.”</w:t>
      </w:r>
      <w:r w:rsidRPr="00216A71">
        <w:rPr>
          <w:rStyle w:val="EndnoteReference"/>
          <w:rFonts w:cstheme="minorHAnsi"/>
          <w:szCs w:val="20"/>
        </w:rPr>
        <w:endnoteReference w:id="181"/>
      </w:r>
    </w:p>
    <w:p w:rsidR="000C629A" w:rsidRDefault="00297567" w:rsidP="00297567">
      <w:pPr>
        <w:rPr>
          <w:rFonts w:cstheme="minorHAnsi"/>
          <w:szCs w:val="20"/>
          <w:lang w:val="en-US"/>
        </w:rPr>
      </w:pPr>
      <w:r w:rsidRPr="00216A71">
        <w:rPr>
          <w:rFonts w:cstheme="minorHAnsi"/>
          <w:szCs w:val="20"/>
          <w:lang w:val="en-US"/>
        </w:rPr>
        <w:t>Following the termination of the PPPs, the work was</w:t>
      </w:r>
      <w:r w:rsidR="004045AD">
        <w:rPr>
          <w:rFonts w:cstheme="minorHAnsi"/>
          <w:szCs w:val="20"/>
          <w:lang w:val="en-US"/>
        </w:rPr>
        <w:t xml:space="preserve"> </w:t>
      </w:r>
      <w:r w:rsidRPr="00216A71">
        <w:rPr>
          <w:rFonts w:cstheme="minorHAnsi"/>
          <w:szCs w:val="20"/>
          <w:lang w:val="en-US"/>
        </w:rPr>
        <w:t>re-municipalised, re-financed by TfL through bonds, and carried out by workers directly employed by TfL. This enabled TfL to save money by reducing the financing costs, and also to achieve efficiency savings of over £2</w:t>
      </w:r>
      <w:r w:rsidR="00D848C2">
        <w:rPr>
          <w:rFonts w:cstheme="minorHAnsi"/>
          <w:szCs w:val="20"/>
          <w:lang w:val="en-US"/>
        </w:rPr>
        <w:t xml:space="preserve"> </w:t>
      </w:r>
      <w:r w:rsidRPr="00216A71">
        <w:rPr>
          <w:rFonts w:cstheme="minorHAnsi"/>
          <w:szCs w:val="20"/>
          <w:lang w:val="en-US"/>
        </w:rPr>
        <w:t>billion by removing duplication, competitively tendering sub-contracts which Metronet and Tubelines had awarded to themselves, and improving planning and scheduling.</w:t>
      </w:r>
      <w:r w:rsidRPr="00216A71">
        <w:rPr>
          <w:rStyle w:val="EndnoteReference"/>
          <w:rFonts w:cstheme="minorHAnsi"/>
          <w:szCs w:val="20"/>
          <w:lang w:val="en-US"/>
        </w:rPr>
        <w:endnoteReference w:id="182"/>
      </w:r>
    </w:p>
    <w:p w:rsidR="000C629A" w:rsidRDefault="00297567" w:rsidP="00297567">
      <w:pPr>
        <w:rPr>
          <w:rFonts w:cstheme="minorHAnsi"/>
          <w:szCs w:val="20"/>
          <w:lang w:val="en-US"/>
        </w:rPr>
      </w:pPr>
      <w:r w:rsidRPr="00216A71">
        <w:rPr>
          <w:rFonts w:cstheme="minorHAnsi"/>
          <w:szCs w:val="20"/>
          <w:lang w:val="en-US"/>
        </w:rPr>
        <w:t>In effect, the public sector alternative originally advocated by the elected mayor has now been adopted as the solution to the failure of the PPPs</w:t>
      </w:r>
      <w:r w:rsidR="00D848C2">
        <w:rPr>
          <w:rFonts w:cstheme="minorHAnsi"/>
          <w:szCs w:val="20"/>
          <w:lang w:val="en-US"/>
        </w:rPr>
        <w:t>.</w:t>
      </w:r>
    </w:p>
    <w:p w:rsidR="000C629A" w:rsidRDefault="009148A6" w:rsidP="00A50131">
      <w:pPr>
        <w:rPr>
          <w:rFonts w:cstheme="minorHAnsi"/>
          <w:szCs w:val="20"/>
        </w:rPr>
      </w:pPr>
      <w:r w:rsidRPr="00216A71">
        <w:rPr>
          <w:rFonts w:cstheme="minorHAnsi"/>
          <w:szCs w:val="20"/>
        </w:rPr>
        <w:lastRenderedPageBreak/>
        <w:t>TfL have also terminated all their other PPP contracts, worth more than £2 billion in total</w:t>
      </w:r>
      <w:r w:rsidR="00A50131" w:rsidRPr="00216A71">
        <w:rPr>
          <w:rFonts w:cstheme="minorHAnsi"/>
          <w:szCs w:val="20"/>
        </w:rPr>
        <w:t xml:space="preserve">. In each case, the contracts were terminated </w:t>
      </w:r>
      <w:r w:rsidRPr="00216A71">
        <w:rPr>
          <w:rFonts w:cstheme="minorHAnsi"/>
          <w:szCs w:val="20"/>
        </w:rPr>
        <w:t xml:space="preserve">because of performance problems, and </w:t>
      </w:r>
      <w:r w:rsidR="00297567" w:rsidRPr="00216A71">
        <w:rPr>
          <w:rFonts w:cstheme="minorHAnsi"/>
          <w:szCs w:val="20"/>
        </w:rPr>
        <w:t xml:space="preserve">because of </w:t>
      </w:r>
      <w:r w:rsidRPr="00216A71">
        <w:rPr>
          <w:rFonts w:cstheme="minorHAnsi"/>
          <w:szCs w:val="20"/>
        </w:rPr>
        <w:t xml:space="preserve">the opportunity to gain more savings from cheaper capital costs and more efficient operations. </w:t>
      </w:r>
    </w:p>
    <w:p w:rsidR="00297567" w:rsidRPr="00216A71" w:rsidRDefault="00297567" w:rsidP="00781FBC">
      <w:pPr>
        <w:pStyle w:val="ListParagraph"/>
        <w:numPr>
          <w:ilvl w:val="0"/>
          <w:numId w:val="21"/>
        </w:numPr>
        <w:rPr>
          <w:rFonts w:cstheme="minorHAnsi"/>
          <w:szCs w:val="20"/>
          <w:lang w:val="en-US"/>
        </w:rPr>
      </w:pPr>
      <w:r w:rsidRPr="00216A71">
        <w:rPr>
          <w:rFonts w:cstheme="minorHAnsi"/>
          <w:szCs w:val="20"/>
        </w:rPr>
        <w:t xml:space="preserve">Croydon Tramlink is a light rail system which was constructed and then operated from 2000, under a 99-year PFI concession agreement. </w:t>
      </w:r>
      <w:r w:rsidRPr="00216A71">
        <w:rPr>
          <w:rFonts w:cstheme="minorHAnsi"/>
          <w:szCs w:val="20"/>
          <w:lang w:val="en-US"/>
        </w:rPr>
        <w:t>The company invested</w:t>
      </w:r>
      <w:r w:rsidR="004045AD">
        <w:rPr>
          <w:rFonts w:cstheme="minorHAnsi"/>
          <w:szCs w:val="20"/>
          <w:lang w:val="en-US"/>
        </w:rPr>
        <w:t xml:space="preserve"> </w:t>
      </w:r>
      <w:r w:rsidRPr="00216A71">
        <w:rPr>
          <w:rFonts w:cstheme="minorHAnsi"/>
          <w:szCs w:val="20"/>
          <w:lang w:val="en-US"/>
        </w:rPr>
        <w:t>£80</w:t>
      </w:r>
      <w:r w:rsidR="00D848C2">
        <w:rPr>
          <w:rFonts w:cstheme="minorHAnsi"/>
          <w:szCs w:val="20"/>
          <w:lang w:val="en-US"/>
        </w:rPr>
        <w:t xml:space="preserve"> </w:t>
      </w:r>
      <w:r w:rsidRPr="00216A71">
        <w:rPr>
          <w:rFonts w:cstheme="minorHAnsi"/>
          <w:szCs w:val="20"/>
          <w:lang w:val="en-US"/>
        </w:rPr>
        <w:t>million while the government invested £125</w:t>
      </w:r>
      <w:r w:rsidR="00D848C2">
        <w:rPr>
          <w:rFonts w:cstheme="minorHAnsi"/>
          <w:szCs w:val="20"/>
          <w:lang w:val="en-US"/>
        </w:rPr>
        <w:t xml:space="preserve"> </w:t>
      </w:r>
      <w:r w:rsidRPr="00216A71">
        <w:rPr>
          <w:rFonts w:cstheme="minorHAnsi"/>
          <w:szCs w:val="20"/>
          <w:lang w:val="en-US"/>
        </w:rPr>
        <w:t>million, but the government also guaranteed a subsidy of £4</w:t>
      </w:r>
      <w:r w:rsidR="00D848C2">
        <w:rPr>
          <w:rFonts w:cstheme="minorHAnsi"/>
          <w:szCs w:val="20"/>
          <w:lang w:val="en-US"/>
        </w:rPr>
        <w:t xml:space="preserve"> </w:t>
      </w:r>
      <w:r w:rsidRPr="00216A71">
        <w:rPr>
          <w:rFonts w:cstheme="minorHAnsi"/>
          <w:szCs w:val="20"/>
          <w:lang w:val="en-US"/>
        </w:rPr>
        <w:t>m</w:t>
      </w:r>
      <w:r w:rsidR="00D848C2">
        <w:rPr>
          <w:rFonts w:cstheme="minorHAnsi"/>
          <w:szCs w:val="20"/>
          <w:lang w:val="en-US"/>
        </w:rPr>
        <w:t>illion</w:t>
      </w:r>
      <w:r w:rsidRPr="00216A71">
        <w:rPr>
          <w:rFonts w:cstheme="minorHAnsi"/>
          <w:szCs w:val="20"/>
          <w:lang w:val="en-US"/>
        </w:rPr>
        <w:t xml:space="preserve"> per year to the operating company. The contract was ended in 2008 after the company refused</w:t>
      </w:r>
      <w:r w:rsidR="004045AD">
        <w:rPr>
          <w:rFonts w:cstheme="minorHAnsi"/>
          <w:szCs w:val="20"/>
          <w:lang w:val="en-US"/>
        </w:rPr>
        <w:t xml:space="preserve"> </w:t>
      </w:r>
      <w:r w:rsidRPr="00216A71">
        <w:rPr>
          <w:rFonts w:cstheme="minorHAnsi"/>
          <w:szCs w:val="20"/>
          <w:lang w:val="en-US"/>
        </w:rPr>
        <w:t>to cooperate with a new ticketing system which would have generated more passengers but no more profit. TfL saves at least £4</w:t>
      </w:r>
      <w:r w:rsidR="00D848C2">
        <w:rPr>
          <w:rFonts w:cstheme="minorHAnsi"/>
          <w:szCs w:val="20"/>
          <w:lang w:val="en-US"/>
        </w:rPr>
        <w:t xml:space="preserve"> </w:t>
      </w:r>
      <w:r w:rsidRPr="00216A71">
        <w:rPr>
          <w:rFonts w:cstheme="minorHAnsi"/>
          <w:szCs w:val="20"/>
          <w:lang w:val="en-US"/>
        </w:rPr>
        <w:t>m</w:t>
      </w:r>
      <w:r w:rsidR="00D848C2">
        <w:rPr>
          <w:rFonts w:cstheme="minorHAnsi"/>
          <w:szCs w:val="20"/>
          <w:lang w:val="en-US"/>
        </w:rPr>
        <w:t>illion</w:t>
      </w:r>
      <w:r w:rsidRPr="00216A71">
        <w:rPr>
          <w:rFonts w:cstheme="minorHAnsi"/>
          <w:szCs w:val="20"/>
          <w:lang w:val="en-US"/>
        </w:rPr>
        <w:t xml:space="preserve"> per year for over 90 years.</w:t>
      </w:r>
      <w:r w:rsidRPr="00216A71">
        <w:rPr>
          <w:rStyle w:val="EndnoteReference"/>
          <w:rFonts w:cstheme="minorHAnsi"/>
          <w:szCs w:val="20"/>
          <w:lang w:val="en-US"/>
        </w:rPr>
        <w:endnoteReference w:id="183"/>
      </w:r>
      <w:r w:rsidRPr="00216A71">
        <w:rPr>
          <w:rFonts w:cstheme="minorHAnsi"/>
          <w:szCs w:val="20"/>
          <w:lang w:val="en-US"/>
        </w:rPr>
        <w:t xml:space="preserve"> </w:t>
      </w:r>
    </w:p>
    <w:p w:rsidR="00297567" w:rsidRPr="00216A71" w:rsidRDefault="00297567" w:rsidP="00781FBC">
      <w:pPr>
        <w:pStyle w:val="ListParagraph"/>
        <w:numPr>
          <w:ilvl w:val="0"/>
          <w:numId w:val="21"/>
        </w:numPr>
        <w:rPr>
          <w:rFonts w:cstheme="minorHAnsi"/>
          <w:szCs w:val="20"/>
          <w:lang w:val="en-US"/>
        </w:rPr>
      </w:pPr>
      <w:r w:rsidRPr="00216A71">
        <w:rPr>
          <w:rFonts w:cstheme="minorHAnsi"/>
          <w:szCs w:val="20"/>
          <w:lang w:val="en-US"/>
        </w:rPr>
        <w:t>The PPP for the system’s electronic ticketing system of ‘Oyster cards’ was also terminated in 2010. The PPP contract was for 17 years, but</w:t>
      </w:r>
      <w:r w:rsidR="004045AD">
        <w:rPr>
          <w:rFonts w:cstheme="minorHAnsi"/>
          <w:szCs w:val="20"/>
          <w:lang w:val="en-US"/>
        </w:rPr>
        <w:t xml:space="preserve"> </w:t>
      </w:r>
      <w:r w:rsidRPr="00216A71">
        <w:rPr>
          <w:rFonts w:cstheme="minorHAnsi"/>
          <w:szCs w:val="20"/>
          <w:lang w:val="en-US"/>
        </w:rPr>
        <w:t xml:space="preserve">included ‘break’ clauses which allowed TfL to terminate the contract </w:t>
      </w:r>
      <w:r w:rsidR="00D848C2">
        <w:rPr>
          <w:rFonts w:cstheme="minorHAnsi"/>
          <w:szCs w:val="20"/>
          <w:lang w:val="en-US"/>
        </w:rPr>
        <w:t>five</w:t>
      </w:r>
      <w:r w:rsidRPr="00216A71">
        <w:rPr>
          <w:rFonts w:cstheme="minorHAnsi"/>
          <w:szCs w:val="20"/>
          <w:lang w:val="en-US"/>
        </w:rPr>
        <w:t xml:space="preserve"> years early. The decision to terminate was taken following two major failures of the system affecting hundreds of thousands of passengers for hours. Instead of the PPP, TfL itself has now taken on the £101</w:t>
      </w:r>
      <w:r w:rsidR="00D848C2">
        <w:rPr>
          <w:rFonts w:cstheme="minorHAnsi"/>
          <w:szCs w:val="20"/>
          <w:lang w:val="en-US"/>
        </w:rPr>
        <w:t xml:space="preserve"> </w:t>
      </w:r>
      <w:r w:rsidRPr="00216A71">
        <w:rPr>
          <w:rFonts w:cstheme="minorHAnsi"/>
          <w:szCs w:val="20"/>
          <w:lang w:val="en-US"/>
        </w:rPr>
        <w:t>m</w:t>
      </w:r>
      <w:r w:rsidR="00D848C2">
        <w:rPr>
          <w:rFonts w:cstheme="minorHAnsi"/>
          <w:szCs w:val="20"/>
          <w:lang w:val="en-US"/>
        </w:rPr>
        <w:t>illion</w:t>
      </w:r>
      <w:r w:rsidRPr="00216A71">
        <w:rPr>
          <w:rFonts w:cstheme="minorHAnsi"/>
          <w:szCs w:val="20"/>
          <w:lang w:val="en-US"/>
        </w:rPr>
        <w:t xml:space="preserve"> debt which finances the work, but at much lower cost, because it pays lower interest rates than the private companies. The savings are so great that TfL took over the debt six months early, in February 2010, which saved an extra £4</w:t>
      </w:r>
      <w:r w:rsidR="00D848C2">
        <w:rPr>
          <w:rFonts w:cstheme="minorHAnsi"/>
          <w:szCs w:val="20"/>
          <w:lang w:val="en-US"/>
        </w:rPr>
        <w:t xml:space="preserve"> </w:t>
      </w:r>
      <w:r w:rsidRPr="00216A71">
        <w:rPr>
          <w:rFonts w:cstheme="minorHAnsi"/>
          <w:szCs w:val="20"/>
          <w:lang w:val="en-US"/>
        </w:rPr>
        <w:t>million.</w:t>
      </w:r>
      <w:r w:rsidR="004045AD">
        <w:rPr>
          <w:rFonts w:cstheme="minorHAnsi"/>
          <w:szCs w:val="20"/>
          <w:lang w:val="en-US"/>
        </w:rPr>
        <w:t xml:space="preserve"> </w:t>
      </w:r>
      <w:r w:rsidRPr="00216A71">
        <w:rPr>
          <w:rFonts w:cstheme="minorHAnsi"/>
          <w:szCs w:val="20"/>
          <w:lang w:val="en-US"/>
        </w:rPr>
        <w:t xml:space="preserve">The work has been re-tendered under a normal </w:t>
      </w:r>
      <w:r w:rsidR="00D848C2">
        <w:rPr>
          <w:rFonts w:cstheme="minorHAnsi"/>
          <w:szCs w:val="20"/>
          <w:lang w:val="en-US"/>
        </w:rPr>
        <w:t>three</w:t>
      </w:r>
      <w:r w:rsidRPr="00216A71">
        <w:rPr>
          <w:rFonts w:cstheme="minorHAnsi"/>
          <w:szCs w:val="20"/>
          <w:lang w:val="en-US"/>
        </w:rPr>
        <w:t>-year operating contract, which itself</w:t>
      </w:r>
      <w:r w:rsidR="004045AD">
        <w:rPr>
          <w:rFonts w:cstheme="minorHAnsi"/>
          <w:szCs w:val="20"/>
          <w:lang w:val="en-US"/>
        </w:rPr>
        <w:t xml:space="preserve"> </w:t>
      </w:r>
      <w:r w:rsidRPr="00216A71">
        <w:rPr>
          <w:rFonts w:cstheme="minorHAnsi"/>
          <w:szCs w:val="20"/>
          <w:lang w:val="en-US"/>
        </w:rPr>
        <w:t>costs £10</w:t>
      </w:r>
      <w:r w:rsidR="00D848C2">
        <w:rPr>
          <w:rFonts w:cstheme="minorHAnsi"/>
          <w:szCs w:val="20"/>
          <w:lang w:val="en-US"/>
        </w:rPr>
        <w:t xml:space="preserve"> </w:t>
      </w:r>
      <w:r w:rsidRPr="00216A71">
        <w:rPr>
          <w:rFonts w:cstheme="minorHAnsi"/>
          <w:szCs w:val="20"/>
          <w:lang w:val="en-US"/>
        </w:rPr>
        <w:t>million per year less than</w:t>
      </w:r>
      <w:r w:rsidR="004045AD">
        <w:rPr>
          <w:rFonts w:cstheme="minorHAnsi"/>
          <w:szCs w:val="20"/>
          <w:lang w:val="en-US"/>
        </w:rPr>
        <w:t xml:space="preserve"> </w:t>
      </w:r>
      <w:r w:rsidRPr="00216A71">
        <w:rPr>
          <w:rFonts w:cstheme="minorHAnsi"/>
          <w:szCs w:val="20"/>
          <w:lang w:val="en-US"/>
        </w:rPr>
        <w:t>the PPP deal, as well as requiring higher standards of work. In total, the lower interest rates and lower payments for work together mean an annual saving of about 18</w:t>
      </w:r>
      <w:r w:rsidR="00A42FDE">
        <w:rPr>
          <w:rFonts w:cstheme="minorHAnsi"/>
          <w:szCs w:val="20"/>
          <w:lang w:val="en-US"/>
        </w:rPr>
        <w:t xml:space="preserve"> per cent</w:t>
      </w:r>
      <w:r w:rsidRPr="00216A71">
        <w:rPr>
          <w:rFonts w:cstheme="minorHAnsi"/>
          <w:szCs w:val="20"/>
          <w:lang w:val="en-US"/>
        </w:rPr>
        <w:t xml:space="preserve"> compared with the original PFI contract, which was costing just over £100</w:t>
      </w:r>
      <w:r w:rsidR="00D848C2">
        <w:rPr>
          <w:rFonts w:cstheme="minorHAnsi"/>
          <w:szCs w:val="20"/>
          <w:lang w:val="en-US"/>
        </w:rPr>
        <w:t xml:space="preserve"> </w:t>
      </w:r>
      <w:r w:rsidRPr="00216A71">
        <w:rPr>
          <w:rFonts w:cstheme="minorHAnsi"/>
          <w:szCs w:val="20"/>
          <w:lang w:val="en-US"/>
        </w:rPr>
        <w:t>million per year.</w:t>
      </w:r>
      <w:r w:rsidRPr="00216A71">
        <w:rPr>
          <w:rStyle w:val="EndnoteReference"/>
          <w:rFonts w:cstheme="minorHAnsi"/>
          <w:szCs w:val="20"/>
          <w:lang w:val="en-US"/>
        </w:rPr>
        <w:endnoteReference w:id="184"/>
      </w:r>
    </w:p>
    <w:p w:rsidR="00297567" w:rsidRPr="00216A71" w:rsidRDefault="00297567" w:rsidP="00781FBC">
      <w:pPr>
        <w:pStyle w:val="ListParagraph"/>
        <w:numPr>
          <w:ilvl w:val="0"/>
          <w:numId w:val="21"/>
        </w:numPr>
        <w:rPr>
          <w:rFonts w:cstheme="minorHAnsi"/>
          <w:szCs w:val="20"/>
        </w:rPr>
      </w:pPr>
      <w:r w:rsidRPr="00216A71">
        <w:rPr>
          <w:rFonts w:cstheme="minorHAnsi"/>
          <w:szCs w:val="20"/>
        </w:rPr>
        <w:t>The Powerlink PFI was a 30-year contract signed in 1998 to manage, operate and maintain the electrical system of the London underground. It was extensively revised soon after it started.</w:t>
      </w:r>
      <w:r w:rsidRPr="00216A71">
        <w:rPr>
          <w:rStyle w:val="EndnoteReference"/>
          <w:rFonts w:cstheme="minorHAnsi"/>
          <w:szCs w:val="20"/>
        </w:rPr>
        <w:endnoteReference w:id="185"/>
      </w:r>
      <w:r w:rsidRPr="00216A71">
        <w:rPr>
          <w:rFonts w:cstheme="minorHAnsi"/>
          <w:szCs w:val="20"/>
        </w:rPr>
        <w:t xml:space="preserve"> It was terminated by TfL in 2012, 15 years before the scheduled expiry date, using a break clause written into the contract. TfL is making savings of £225</w:t>
      </w:r>
      <w:r w:rsidR="00D848C2">
        <w:rPr>
          <w:rFonts w:cstheme="minorHAnsi"/>
          <w:szCs w:val="20"/>
        </w:rPr>
        <w:t xml:space="preserve"> </w:t>
      </w:r>
      <w:r w:rsidRPr="00216A71">
        <w:rPr>
          <w:rFonts w:cstheme="minorHAnsi"/>
          <w:szCs w:val="20"/>
        </w:rPr>
        <w:t>m</w:t>
      </w:r>
      <w:r w:rsidR="00D848C2">
        <w:rPr>
          <w:rFonts w:cstheme="minorHAnsi"/>
          <w:szCs w:val="20"/>
        </w:rPr>
        <w:t>illion</w:t>
      </w:r>
      <w:r w:rsidRPr="00216A71">
        <w:rPr>
          <w:rFonts w:cstheme="minorHAnsi"/>
          <w:szCs w:val="20"/>
        </w:rPr>
        <w:t xml:space="preserve"> over the next 15 years by switching from expensive private borrowing to cheaper public borrowing, and gaining greater flexibility in managing and developing the service.</w:t>
      </w:r>
      <w:r w:rsidRPr="00216A71">
        <w:rPr>
          <w:rStyle w:val="EndnoteReference"/>
          <w:rFonts w:cstheme="minorHAnsi"/>
          <w:szCs w:val="20"/>
        </w:rPr>
        <w:endnoteReference w:id="186"/>
      </w:r>
    </w:p>
    <w:p w:rsidR="000C629A" w:rsidRDefault="00297567" w:rsidP="00781FBC">
      <w:pPr>
        <w:pStyle w:val="ListParagraph"/>
        <w:numPr>
          <w:ilvl w:val="0"/>
          <w:numId w:val="21"/>
        </w:numPr>
        <w:rPr>
          <w:rFonts w:cstheme="minorHAnsi"/>
          <w:szCs w:val="20"/>
        </w:rPr>
      </w:pPr>
      <w:r w:rsidRPr="00216A71">
        <w:rPr>
          <w:rFonts w:cstheme="minorHAnsi"/>
          <w:szCs w:val="20"/>
        </w:rPr>
        <w:t xml:space="preserve">Two extensions to the </w:t>
      </w:r>
      <w:r w:rsidR="00487DAA">
        <w:rPr>
          <w:rFonts w:cstheme="minorHAnsi"/>
          <w:szCs w:val="20"/>
        </w:rPr>
        <w:t>Docklands Light Railway (</w:t>
      </w:r>
      <w:r w:rsidRPr="00216A71">
        <w:rPr>
          <w:rFonts w:cstheme="minorHAnsi"/>
          <w:szCs w:val="20"/>
        </w:rPr>
        <w:t>DLR</w:t>
      </w:r>
      <w:r w:rsidR="00487DAA">
        <w:rPr>
          <w:rFonts w:cstheme="minorHAnsi"/>
          <w:szCs w:val="20"/>
        </w:rPr>
        <w:t>)</w:t>
      </w:r>
      <w:r w:rsidRPr="00216A71">
        <w:rPr>
          <w:rFonts w:cstheme="minorHAnsi"/>
          <w:szCs w:val="20"/>
        </w:rPr>
        <w:t xml:space="preserve"> were built and maintained under 30-year PFI contracts from 2003 and 2005. Both were terminated in 2012, because of cheaper financing costs through public borrowing, and greater operating flexibility</w:t>
      </w:r>
      <w:r w:rsidR="00487DAA">
        <w:rPr>
          <w:rFonts w:cstheme="minorHAnsi"/>
          <w:szCs w:val="20"/>
        </w:rPr>
        <w:t>.</w:t>
      </w:r>
      <w:r w:rsidRPr="00216A71">
        <w:rPr>
          <w:rFonts w:cstheme="minorHAnsi"/>
          <w:szCs w:val="20"/>
        </w:rPr>
        <w:t xml:space="preserve"> TfL expects savings of £250</w:t>
      </w:r>
      <w:r w:rsidR="00487DAA">
        <w:rPr>
          <w:rFonts w:cstheme="minorHAnsi"/>
          <w:szCs w:val="20"/>
        </w:rPr>
        <w:t xml:space="preserve"> </w:t>
      </w:r>
      <w:r w:rsidRPr="00216A71">
        <w:rPr>
          <w:rFonts w:cstheme="minorHAnsi"/>
          <w:szCs w:val="20"/>
        </w:rPr>
        <w:t>million over the remaining 15 years.</w:t>
      </w:r>
      <w:r w:rsidRPr="00216A71">
        <w:rPr>
          <w:rStyle w:val="EndnoteReference"/>
          <w:rFonts w:cstheme="minorHAnsi"/>
          <w:szCs w:val="20"/>
        </w:rPr>
        <w:endnoteReference w:id="187"/>
      </w:r>
    </w:p>
    <w:p w:rsidR="000C629A" w:rsidRDefault="00297567" w:rsidP="00297567">
      <w:pPr>
        <w:rPr>
          <w:rFonts w:cstheme="minorHAnsi"/>
          <w:szCs w:val="20"/>
        </w:rPr>
      </w:pPr>
      <w:r w:rsidRPr="00216A71">
        <w:rPr>
          <w:rFonts w:cstheme="minorHAnsi"/>
          <w:szCs w:val="20"/>
        </w:rPr>
        <w:t xml:space="preserve">The remaining PFI, Connect has already experienced problems, falling </w:t>
      </w:r>
      <w:r w:rsidR="00487DAA">
        <w:rPr>
          <w:rFonts w:cstheme="minorHAnsi"/>
          <w:szCs w:val="20"/>
        </w:rPr>
        <w:t>three</w:t>
      </w:r>
      <w:r w:rsidRPr="00216A71">
        <w:rPr>
          <w:rFonts w:cstheme="minorHAnsi"/>
          <w:szCs w:val="20"/>
        </w:rPr>
        <w:t xml:space="preserve"> years behind schedule</w:t>
      </w:r>
      <w:r w:rsidR="00487DAA">
        <w:rPr>
          <w:rFonts w:cstheme="minorHAnsi"/>
          <w:szCs w:val="20"/>
        </w:rPr>
        <w:t>.</w:t>
      </w:r>
      <w:r w:rsidRPr="00216A71">
        <w:rPr>
          <w:rFonts w:cstheme="minorHAnsi"/>
          <w:szCs w:val="20"/>
        </w:rPr>
        <w:t xml:space="preserve"> </w:t>
      </w:r>
      <w:r w:rsidR="00487DAA">
        <w:rPr>
          <w:rFonts w:cstheme="minorHAnsi"/>
          <w:szCs w:val="20"/>
        </w:rPr>
        <w:t>I</w:t>
      </w:r>
      <w:r w:rsidRPr="00216A71">
        <w:rPr>
          <w:rFonts w:cstheme="minorHAnsi"/>
          <w:szCs w:val="20"/>
        </w:rPr>
        <w:t>t may also be terminated when the halfway stage of its contract is reached in 2014.</w:t>
      </w:r>
      <w:r w:rsidRPr="00216A71">
        <w:rPr>
          <w:rStyle w:val="EndnoteReference"/>
          <w:rFonts w:cstheme="minorHAnsi"/>
          <w:szCs w:val="20"/>
        </w:rPr>
        <w:endnoteReference w:id="188"/>
      </w:r>
    </w:p>
    <w:p w:rsidR="000C629A" w:rsidRDefault="00A60076" w:rsidP="00A60076">
      <w:pPr>
        <w:rPr>
          <w:rFonts w:cstheme="minorHAnsi"/>
          <w:szCs w:val="20"/>
        </w:rPr>
      </w:pPr>
      <w:r w:rsidRPr="00216A71">
        <w:rPr>
          <w:rFonts w:cstheme="minorHAnsi"/>
          <w:szCs w:val="20"/>
        </w:rPr>
        <w:t xml:space="preserve">The termination of the contracts has brought two great benefits to Transport for London, the public authority responsible for London’s public transport. </w:t>
      </w:r>
    </w:p>
    <w:p w:rsidR="00A60076" w:rsidRPr="00216A71" w:rsidRDefault="00A60076" w:rsidP="00781FBC">
      <w:pPr>
        <w:numPr>
          <w:ilvl w:val="0"/>
          <w:numId w:val="23"/>
        </w:numPr>
        <w:rPr>
          <w:rFonts w:cstheme="minorHAnsi"/>
          <w:szCs w:val="20"/>
        </w:rPr>
      </w:pPr>
      <w:r w:rsidRPr="00216A71">
        <w:rPr>
          <w:rFonts w:cstheme="minorHAnsi"/>
          <w:szCs w:val="20"/>
        </w:rPr>
        <w:t xml:space="preserve">Firstly, great savings have been made by replacing expensive private debt with cheaper public borrowing raised by issuing bonds. </w:t>
      </w:r>
    </w:p>
    <w:p w:rsidR="000C629A" w:rsidRDefault="00A60076" w:rsidP="00781FBC">
      <w:pPr>
        <w:numPr>
          <w:ilvl w:val="0"/>
          <w:numId w:val="23"/>
        </w:numPr>
        <w:rPr>
          <w:rFonts w:cstheme="minorHAnsi"/>
          <w:szCs w:val="20"/>
        </w:rPr>
      </w:pPr>
      <w:r w:rsidRPr="00216A71">
        <w:rPr>
          <w:rFonts w:cstheme="minorHAnsi"/>
          <w:szCs w:val="20"/>
        </w:rPr>
        <w:t xml:space="preserve">Secondly, TfL has </w:t>
      </w:r>
      <w:r w:rsidRPr="00216A71">
        <w:rPr>
          <w:rFonts w:cstheme="minorHAnsi"/>
          <w:szCs w:val="20"/>
          <w:lang w:val="en-US"/>
        </w:rPr>
        <w:t>achieved efficiency savings of over £2</w:t>
      </w:r>
      <w:r w:rsidR="00487DAA">
        <w:rPr>
          <w:rFonts w:cstheme="minorHAnsi"/>
          <w:szCs w:val="20"/>
          <w:lang w:val="en-US"/>
        </w:rPr>
        <w:t xml:space="preserve"> </w:t>
      </w:r>
      <w:r w:rsidRPr="00216A71">
        <w:rPr>
          <w:rFonts w:cstheme="minorHAnsi"/>
          <w:szCs w:val="20"/>
          <w:lang w:val="en-US"/>
        </w:rPr>
        <w:t>billion by removing duplication between the companies and the costs of managing the contracts</w:t>
      </w:r>
      <w:r w:rsidR="00487DAA">
        <w:rPr>
          <w:rFonts w:cstheme="minorHAnsi"/>
          <w:szCs w:val="20"/>
          <w:lang w:val="en-US"/>
        </w:rPr>
        <w:t>,</w:t>
      </w:r>
      <w:r w:rsidRPr="00216A71">
        <w:rPr>
          <w:rFonts w:cstheme="minorHAnsi"/>
          <w:szCs w:val="20"/>
          <w:lang w:val="en-US"/>
        </w:rPr>
        <w:t xml:space="preserve"> competitively tendering sub-contracts which Metronet and Tubelines had awarded to themselves</w:t>
      </w:r>
      <w:r w:rsidR="00487DAA">
        <w:rPr>
          <w:rFonts w:cstheme="minorHAnsi"/>
          <w:szCs w:val="20"/>
          <w:lang w:val="en-US"/>
        </w:rPr>
        <w:t>,</w:t>
      </w:r>
      <w:r w:rsidRPr="00216A71">
        <w:rPr>
          <w:rFonts w:cstheme="minorHAnsi"/>
          <w:szCs w:val="20"/>
          <w:lang w:val="en-US"/>
        </w:rPr>
        <w:t xml:space="preserve"> improving planning and scheduling</w:t>
      </w:r>
      <w:r w:rsidR="00487DAA">
        <w:rPr>
          <w:rFonts w:cstheme="minorHAnsi"/>
          <w:szCs w:val="20"/>
          <w:lang w:val="en-US"/>
        </w:rPr>
        <w:t>,</w:t>
      </w:r>
      <w:r w:rsidRPr="00216A71">
        <w:rPr>
          <w:rFonts w:cstheme="minorHAnsi"/>
          <w:szCs w:val="20"/>
          <w:lang w:val="en-US"/>
        </w:rPr>
        <w:t xml:space="preserve"> and </w:t>
      </w:r>
      <w:r w:rsidRPr="00216A71">
        <w:rPr>
          <w:rFonts w:cstheme="minorHAnsi"/>
          <w:szCs w:val="20"/>
        </w:rPr>
        <w:t>gaining much greater flexibility to adjust its operations in response to changing conditions instead of being forced to use a rigid contractual framework for a long period.</w:t>
      </w:r>
      <w:r w:rsidRPr="00216A71">
        <w:rPr>
          <w:rFonts w:cstheme="minorHAnsi"/>
          <w:szCs w:val="20"/>
          <w:vertAlign w:val="superscript"/>
          <w:lang w:val="en-US"/>
        </w:rPr>
        <w:t xml:space="preserve"> </w:t>
      </w:r>
      <w:r w:rsidRPr="00216A71">
        <w:rPr>
          <w:rFonts w:cstheme="minorHAnsi"/>
          <w:szCs w:val="20"/>
          <w:vertAlign w:val="superscript"/>
          <w:lang w:val="en-US"/>
        </w:rPr>
        <w:endnoteReference w:id="189"/>
      </w:r>
      <w:r w:rsidRPr="00216A71">
        <w:rPr>
          <w:rFonts w:cstheme="minorHAnsi"/>
          <w:szCs w:val="20"/>
          <w:vertAlign w:val="superscript"/>
        </w:rPr>
        <w:t xml:space="preserve"> </w:t>
      </w:r>
      <w:r w:rsidRPr="00216A71">
        <w:rPr>
          <w:rFonts w:cstheme="minorHAnsi"/>
          <w:szCs w:val="20"/>
          <w:vertAlign w:val="superscript"/>
        </w:rPr>
        <w:endnoteReference w:id="190"/>
      </w:r>
    </w:p>
    <w:p w:rsidR="00297567" w:rsidRPr="00216A71" w:rsidRDefault="00297567" w:rsidP="00297567">
      <w:pPr>
        <w:rPr>
          <w:rFonts w:cstheme="minorHAnsi"/>
          <w:szCs w:val="20"/>
        </w:rPr>
      </w:pPr>
      <w:r w:rsidRPr="00216A71">
        <w:rPr>
          <w:rFonts w:cstheme="minorHAnsi"/>
          <w:szCs w:val="20"/>
        </w:rPr>
        <w:t>TfL continues to reject PPP proposals in favour of conventional public finance. It rejected a plan to use PPPs for procuring trains for the new Crossrail development in London.</w:t>
      </w:r>
    </w:p>
    <w:p w:rsidR="000C629A" w:rsidRDefault="009148A6" w:rsidP="00297567">
      <w:pPr>
        <w:rPr>
          <w:rFonts w:cstheme="minorHAnsi"/>
          <w:szCs w:val="20"/>
        </w:rPr>
      </w:pPr>
      <w:r w:rsidRPr="00216A71">
        <w:rPr>
          <w:rFonts w:cstheme="minorHAnsi"/>
          <w:szCs w:val="20"/>
        </w:rPr>
        <w:t>At the end of 2013, it was decided that a new an extension of the London underground to Battersea will be financed by the public authority borrowing up to £1</w:t>
      </w:r>
      <w:r w:rsidR="00747C89">
        <w:rPr>
          <w:rFonts w:cstheme="minorHAnsi"/>
          <w:szCs w:val="20"/>
        </w:rPr>
        <w:t xml:space="preserve"> </w:t>
      </w:r>
      <w:r w:rsidRPr="00216A71">
        <w:rPr>
          <w:rFonts w:cstheme="minorHAnsi"/>
          <w:szCs w:val="20"/>
        </w:rPr>
        <w:t>billion, underwritten by a government guarantee, which means the interest rate will be as low as possible. Moreover, it</w:t>
      </w:r>
      <w:r w:rsidR="00A60076" w:rsidRPr="00216A71">
        <w:rPr>
          <w:rFonts w:cstheme="minorHAnsi"/>
          <w:szCs w:val="20"/>
        </w:rPr>
        <w:t xml:space="preserve"> will not be paid off through higher fares, but out of property taxes paid by local developers and businesses </w:t>
      </w:r>
      <w:r w:rsidR="00FF6D63" w:rsidRPr="00216A71">
        <w:rPr>
          <w:rFonts w:cstheme="minorHAnsi"/>
          <w:szCs w:val="20"/>
        </w:rPr>
        <w:t>that</w:t>
      </w:r>
      <w:r w:rsidR="00A60076" w:rsidRPr="00216A71">
        <w:rPr>
          <w:rFonts w:cstheme="minorHAnsi"/>
          <w:szCs w:val="20"/>
        </w:rPr>
        <w:t xml:space="preserve"> will benefit from the extension as a result of higher property values and extra business.</w:t>
      </w:r>
      <w:r w:rsidR="00A60076" w:rsidRPr="00216A71">
        <w:rPr>
          <w:rFonts w:cstheme="minorHAnsi"/>
          <w:szCs w:val="20"/>
          <w:vertAlign w:val="superscript"/>
        </w:rPr>
        <w:endnoteReference w:id="191"/>
      </w:r>
      <w:r w:rsidR="004045AD">
        <w:rPr>
          <w:rFonts w:cstheme="minorHAnsi"/>
          <w:szCs w:val="20"/>
        </w:rPr>
        <w:t xml:space="preserve"> </w:t>
      </w:r>
    </w:p>
    <w:p w:rsidR="00A60076" w:rsidRPr="00216A71" w:rsidRDefault="00A60076" w:rsidP="00A60076">
      <w:pPr>
        <w:numPr>
          <w:ilvl w:val="0"/>
          <w:numId w:val="15"/>
        </w:numPr>
        <w:spacing w:before="240" w:after="60"/>
        <w:outlineLvl w:val="6"/>
        <w:rPr>
          <w:rFonts w:cstheme="minorHAnsi"/>
          <w:b/>
          <w:szCs w:val="20"/>
        </w:rPr>
      </w:pPr>
      <w:r w:rsidRPr="00216A71">
        <w:rPr>
          <w:rFonts w:cstheme="minorHAnsi"/>
          <w:b/>
          <w:szCs w:val="20"/>
        </w:rPr>
        <w:t>London’s £20</w:t>
      </w:r>
      <w:r w:rsidR="00747C89">
        <w:rPr>
          <w:rFonts w:cstheme="minorHAnsi"/>
          <w:b/>
          <w:szCs w:val="20"/>
        </w:rPr>
        <w:t xml:space="preserve"> </w:t>
      </w:r>
      <w:r w:rsidRPr="00216A71">
        <w:rPr>
          <w:rFonts w:cstheme="minorHAnsi"/>
          <w:b/>
          <w:szCs w:val="20"/>
        </w:rPr>
        <w:t>billion transport PPPs: 96</w:t>
      </w:r>
      <w:r w:rsidR="00A42FDE">
        <w:rPr>
          <w:rFonts w:cstheme="minorHAnsi"/>
          <w:b/>
          <w:szCs w:val="20"/>
        </w:rPr>
        <w:t xml:space="preserve"> per cent</w:t>
      </w:r>
      <w:r w:rsidRPr="00216A71">
        <w:rPr>
          <w:rFonts w:cstheme="minorHAnsi"/>
          <w:b/>
          <w:szCs w:val="20"/>
        </w:rPr>
        <w:t xml:space="preserve"> terminated </w:t>
      </w:r>
    </w:p>
    <w:p w:rsidR="00A14148" w:rsidRPr="00216A71" w:rsidRDefault="00A14148" w:rsidP="00A14148">
      <w:pPr>
        <w:rPr>
          <w:rFonts w:cstheme="minorHAnsi"/>
          <w:szCs w:val="20"/>
        </w:rPr>
      </w:pPr>
      <w:r w:rsidRPr="00216A71">
        <w:rPr>
          <w:rFonts w:cstheme="minorHAnsi"/>
          <w:szCs w:val="20"/>
        </w:rPr>
        <w:t xml:space="preserve">LU=London underground; Light rail=Docklands Light Railway. </w:t>
      </w: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992"/>
        <w:gridCol w:w="1701"/>
        <w:gridCol w:w="1003"/>
        <w:gridCol w:w="1264"/>
      </w:tblGrid>
      <w:tr w:rsidR="00A14148" w:rsidRPr="00216A71" w:rsidTr="00191F44">
        <w:tc>
          <w:tcPr>
            <w:tcW w:w="1951" w:type="dxa"/>
            <w:shd w:val="clear" w:color="auto" w:fill="00B0F0"/>
          </w:tcPr>
          <w:p w:rsidR="00A14148" w:rsidRPr="00216A71" w:rsidRDefault="00A14148" w:rsidP="00A14148">
            <w:pPr>
              <w:pStyle w:val="Default"/>
              <w:rPr>
                <w:rFonts w:asciiTheme="minorHAnsi" w:hAnsiTheme="minorHAnsi" w:cstheme="minorHAnsi"/>
                <w:b/>
                <w:color w:val="auto"/>
                <w:sz w:val="20"/>
                <w:szCs w:val="20"/>
              </w:rPr>
            </w:pPr>
            <w:r w:rsidRPr="00216A71">
              <w:rPr>
                <w:rFonts w:asciiTheme="minorHAnsi" w:hAnsiTheme="minorHAnsi" w:cstheme="minorHAnsi"/>
                <w:b/>
                <w:color w:val="auto"/>
                <w:sz w:val="20"/>
                <w:szCs w:val="20"/>
              </w:rPr>
              <w:t>PFI project</w:t>
            </w:r>
          </w:p>
        </w:tc>
        <w:tc>
          <w:tcPr>
            <w:tcW w:w="851" w:type="dxa"/>
            <w:shd w:val="clear" w:color="auto" w:fill="00B0F0"/>
          </w:tcPr>
          <w:p w:rsidR="00A14148" w:rsidRPr="00216A71" w:rsidRDefault="00A14148" w:rsidP="00A14148">
            <w:pPr>
              <w:pStyle w:val="Default"/>
              <w:jc w:val="center"/>
              <w:rPr>
                <w:rFonts w:asciiTheme="minorHAnsi" w:hAnsiTheme="minorHAnsi" w:cstheme="minorHAnsi"/>
                <w:b/>
                <w:color w:val="auto"/>
                <w:sz w:val="20"/>
                <w:szCs w:val="20"/>
              </w:rPr>
            </w:pPr>
            <w:r w:rsidRPr="00216A71">
              <w:rPr>
                <w:rFonts w:asciiTheme="minorHAnsi" w:hAnsiTheme="minorHAnsi" w:cstheme="minorHAnsi"/>
                <w:b/>
                <w:color w:val="auto"/>
                <w:sz w:val="20"/>
                <w:szCs w:val="20"/>
              </w:rPr>
              <w:t>Start date</w:t>
            </w:r>
          </w:p>
        </w:tc>
        <w:tc>
          <w:tcPr>
            <w:tcW w:w="992" w:type="dxa"/>
            <w:shd w:val="clear" w:color="auto" w:fill="00B0F0"/>
          </w:tcPr>
          <w:p w:rsidR="00A14148" w:rsidRPr="00216A71" w:rsidRDefault="00A14148" w:rsidP="00A14148">
            <w:pPr>
              <w:pStyle w:val="Default"/>
              <w:rPr>
                <w:rFonts w:asciiTheme="minorHAnsi" w:hAnsiTheme="minorHAnsi" w:cstheme="minorHAnsi"/>
                <w:b/>
                <w:color w:val="auto"/>
                <w:sz w:val="20"/>
                <w:szCs w:val="20"/>
              </w:rPr>
            </w:pPr>
            <w:r w:rsidRPr="00216A71">
              <w:rPr>
                <w:rFonts w:asciiTheme="minorHAnsi" w:hAnsiTheme="minorHAnsi" w:cstheme="minorHAnsi"/>
                <w:b/>
                <w:color w:val="auto"/>
                <w:sz w:val="20"/>
                <w:szCs w:val="20"/>
              </w:rPr>
              <w:t>sector</w:t>
            </w:r>
          </w:p>
        </w:tc>
        <w:tc>
          <w:tcPr>
            <w:tcW w:w="1701" w:type="dxa"/>
            <w:shd w:val="clear" w:color="auto" w:fill="00B0F0"/>
          </w:tcPr>
          <w:p w:rsidR="00A14148" w:rsidRPr="00216A71" w:rsidRDefault="00A14148" w:rsidP="00A14148">
            <w:pPr>
              <w:pStyle w:val="Default"/>
              <w:rPr>
                <w:rFonts w:asciiTheme="minorHAnsi" w:hAnsiTheme="minorHAnsi" w:cstheme="minorHAnsi"/>
                <w:b/>
                <w:color w:val="auto"/>
                <w:sz w:val="20"/>
                <w:szCs w:val="20"/>
              </w:rPr>
            </w:pPr>
          </w:p>
        </w:tc>
        <w:tc>
          <w:tcPr>
            <w:tcW w:w="1003" w:type="dxa"/>
            <w:shd w:val="clear" w:color="auto" w:fill="00B0F0"/>
          </w:tcPr>
          <w:p w:rsidR="00A14148" w:rsidRPr="00216A71" w:rsidRDefault="00A14148" w:rsidP="00A14148">
            <w:pPr>
              <w:pStyle w:val="Default"/>
              <w:jc w:val="right"/>
              <w:rPr>
                <w:rFonts w:asciiTheme="minorHAnsi" w:hAnsiTheme="minorHAnsi" w:cstheme="minorHAnsi"/>
                <w:b/>
                <w:color w:val="auto"/>
                <w:sz w:val="20"/>
                <w:szCs w:val="20"/>
              </w:rPr>
            </w:pPr>
            <w:r w:rsidRPr="00216A71">
              <w:rPr>
                <w:rFonts w:asciiTheme="minorHAnsi" w:hAnsiTheme="minorHAnsi" w:cstheme="minorHAnsi"/>
                <w:b/>
                <w:color w:val="auto"/>
                <w:sz w:val="20"/>
                <w:szCs w:val="20"/>
              </w:rPr>
              <w:t>Value (£m)</w:t>
            </w:r>
          </w:p>
        </w:tc>
        <w:tc>
          <w:tcPr>
            <w:tcW w:w="1264" w:type="dxa"/>
            <w:shd w:val="clear" w:color="auto" w:fill="00B0F0"/>
          </w:tcPr>
          <w:p w:rsidR="00A14148" w:rsidRPr="00216A71" w:rsidRDefault="00A14148" w:rsidP="00A14148">
            <w:pPr>
              <w:pStyle w:val="Default"/>
              <w:jc w:val="center"/>
              <w:rPr>
                <w:rFonts w:asciiTheme="minorHAnsi" w:hAnsiTheme="minorHAnsi" w:cstheme="minorHAnsi"/>
                <w:b/>
                <w:color w:val="auto"/>
                <w:sz w:val="20"/>
                <w:szCs w:val="20"/>
              </w:rPr>
            </w:pPr>
            <w:r w:rsidRPr="00216A71">
              <w:rPr>
                <w:rFonts w:asciiTheme="minorHAnsi" w:hAnsiTheme="minorHAnsi" w:cstheme="minorHAnsi"/>
                <w:b/>
                <w:color w:val="auto"/>
                <w:sz w:val="20"/>
                <w:szCs w:val="20"/>
              </w:rPr>
              <w:t>Date of termination</w:t>
            </w:r>
          </w:p>
        </w:tc>
      </w:tr>
      <w:tr w:rsidR="00A14148" w:rsidRPr="00216A71" w:rsidTr="00191F44">
        <w:tc>
          <w:tcPr>
            <w:tcW w:w="1951" w:type="dxa"/>
            <w:shd w:val="clear" w:color="auto" w:fill="auto"/>
            <w:vAlign w:val="center"/>
          </w:tcPr>
          <w:p w:rsidR="00A14148" w:rsidRPr="00216A71" w:rsidRDefault="00A14148" w:rsidP="00A14148">
            <w:pPr>
              <w:rPr>
                <w:rFonts w:cstheme="minorHAnsi"/>
                <w:color w:val="000000"/>
                <w:szCs w:val="20"/>
              </w:rPr>
            </w:pPr>
          </w:p>
        </w:tc>
        <w:tc>
          <w:tcPr>
            <w:tcW w:w="851" w:type="dxa"/>
            <w:shd w:val="clear" w:color="auto" w:fill="auto"/>
            <w:vAlign w:val="center"/>
          </w:tcPr>
          <w:p w:rsidR="00A14148" w:rsidRPr="00216A71" w:rsidRDefault="00A14148" w:rsidP="00A14148">
            <w:pPr>
              <w:jc w:val="center"/>
              <w:rPr>
                <w:rFonts w:cstheme="minorHAnsi"/>
                <w:color w:val="000000"/>
                <w:szCs w:val="20"/>
              </w:rPr>
            </w:pPr>
          </w:p>
        </w:tc>
        <w:tc>
          <w:tcPr>
            <w:tcW w:w="992" w:type="dxa"/>
            <w:shd w:val="clear" w:color="auto" w:fill="auto"/>
            <w:vAlign w:val="center"/>
          </w:tcPr>
          <w:p w:rsidR="00A14148" w:rsidRPr="00216A71" w:rsidRDefault="00A14148" w:rsidP="00A14148">
            <w:pPr>
              <w:rPr>
                <w:rFonts w:cstheme="minorHAnsi"/>
                <w:color w:val="000000"/>
                <w:szCs w:val="20"/>
              </w:rPr>
            </w:pPr>
          </w:p>
        </w:tc>
        <w:tc>
          <w:tcPr>
            <w:tcW w:w="1701" w:type="dxa"/>
            <w:shd w:val="clear" w:color="auto" w:fill="auto"/>
            <w:vAlign w:val="center"/>
          </w:tcPr>
          <w:p w:rsidR="00A14148" w:rsidRPr="00216A71" w:rsidRDefault="00A14148" w:rsidP="00A14148">
            <w:pPr>
              <w:rPr>
                <w:rFonts w:cstheme="minorHAnsi"/>
                <w:color w:val="000000"/>
                <w:szCs w:val="20"/>
              </w:rPr>
            </w:pPr>
          </w:p>
        </w:tc>
        <w:tc>
          <w:tcPr>
            <w:tcW w:w="1003" w:type="dxa"/>
            <w:shd w:val="clear" w:color="auto" w:fill="auto"/>
            <w:vAlign w:val="center"/>
          </w:tcPr>
          <w:p w:rsidR="00A14148" w:rsidRPr="00216A71" w:rsidRDefault="00A14148" w:rsidP="00A14148">
            <w:pPr>
              <w:jc w:val="right"/>
              <w:rPr>
                <w:rFonts w:cstheme="minorHAnsi"/>
                <w:color w:val="000000"/>
                <w:szCs w:val="20"/>
              </w:rPr>
            </w:pPr>
          </w:p>
        </w:tc>
        <w:tc>
          <w:tcPr>
            <w:tcW w:w="1264" w:type="dxa"/>
            <w:shd w:val="clear" w:color="auto" w:fill="auto"/>
            <w:vAlign w:val="center"/>
          </w:tcPr>
          <w:p w:rsidR="00A14148" w:rsidRPr="00216A71" w:rsidRDefault="00A14148" w:rsidP="00A14148">
            <w:pPr>
              <w:jc w:val="center"/>
              <w:rPr>
                <w:rFonts w:cstheme="minorHAnsi"/>
                <w:b/>
                <w:bCs/>
                <w:color w:val="000000"/>
                <w:szCs w:val="20"/>
              </w:rPr>
            </w:pPr>
          </w:p>
        </w:tc>
      </w:tr>
      <w:tr w:rsidR="00A14148" w:rsidRPr="00216A71" w:rsidTr="00191F44">
        <w:tc>
          <w:tcPr>
            <w:tcW w:w="195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 xml:space="preserve">Metronet SSL </w:t>
            </w:r>
          </w:p>
        </w:tc>
        <w:tc>
          <w:tcPr>
            <w:tcW w:w="851" w:type="dxa"/>
            <w:shd w:val="clear" w:color="auto" w:fill="auto"/>
            <w:vAlign w:val="center"/>
          </w:tcPr>
          <w:p w:rsidR="00A14148" w:rsidRPr="00216A71" w:rsidRDefault="00A14148" w:rsidP="00A14148">
            <w:pPr>
              <w:jc w:val="center"/>
              <w:rPr>
                <w:rFonts w:cstheme="minorHAnsi"/>
                <w:color w:val="000000"/>
                <w:szCs w:val="20"/>
              </w:rPr>
            </w:pPr>
            <w:r w:rsidRPr="00216A71">
              <w:rPr>
                <w:rFonts w:cstheme="minorHAnsi"/>
                <w:color w:val="000000"/>
                <w:szCs w:val="20"/>
              </w:rPr>
              <w:t>2000</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LU</w:t>
            </w:r>
          </w:p>
        </w:tc>
        <w:tc>
          <w:tcPr>
            <w:tcW w:w="170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 xml:space="preserve">Renovation </w:t>
            </w:r>
          </w:p>
        </w:tc>
        <w:tc>
          <w:tcPr>
            <w:tcW w:w="1003" w:type="dxa"/>
            <w:shd w:val="clear" w:color="auto" w:fill="auto"/>
            <w:vAlign w:val="center"/>
          </w:tcPr>
          <w:p w:rsidR="00A14148" w:rsidRPr="00216A71" w:rsidRDefault="00A14148" w:rsidP="00A14148">
            <w:pPr>
              <w:jc w:val="right"/>
              <w:rPr>
                <w:rFonts w:cstheme="minorHAnsi"/>
                <w:color w:val="000000"/>
                <w:szCs w:val="20"/>
              </w:rPr>
            </w:pPr>
            <w:r w:rsidRPr="00216A71">
              <w:rPr>
                <w:rFonts w:cstheme="minorHAnsi"/>
                <w:color w:val="000000"/>
                <w:szCs w:val="20"/>
              </w:rPr>
              <w:t>6</w:t>
            </w:r>
            <w:r w:rsidR="00747C89">
              <w:rPr>
                <w:rFonts w:cstheme="minorHAnsi"/>
                <w:color w:val="000000"/>
                <w:szCs w:val="20"/>
              </w:rPr>
              <w:t>,</w:t>
            </w:r>
            <w:r w:rsidRPr="00216A71">
              <w:rPr>
                <w:rFonts w:cstheme="minorHAnsi"/>
                <w:color w:val="000000"/>
                <w:szCs w:val="20"/>
              </w:rPr>
              <w:t>700</w:t>
            </w:r>
          </w:p>
        </w:tc>
        <w:tc>
          <w:tcPr>
            <w:tcW w:w="1264" w:type="dxa"/>
            <w:shd w:val="clear" w:color="auto" w:fill="auto"/>
            <w:vAlign w:val="center"/>
          </w:tcPr>
          <w:p w:rsidR="00A14148" w:rsidRPr="00216A71" w:rsidRDefault="00A14148" w:rsidP="00A14148">
            <w:pPr>
              <w:jc w:val="center"/>
              <w:rPr>
                <w:rFonts w:cstheme="minorHAnsi"/>
                <w:b/>
                <w:bCs/>
                <w:color w:val="000000"/>
                <w:szCs w:val="20"/>
              </w:rPr>
            </w:pPr>
            <w:r w:rsidRPr="00216A71">
              <w:rPr>
                <w:rFonts w:cstheme="minorHAnsi"/>
                <w:b/>
                <w:bCs/>
                <w:color w:val="000000"/>
                <w:szCs w:val="20"/>
              </w:rPr>
              <w:t>2008</w:t>
            </w:r>
          </w:p>
        </w:tc>
      </w:tr>
      <w:tr w:rsidR="00A14148" w:rsidRPr="00216A71" w:rsidTr="00191F44">
        <w:tc>
          <w:tcPr>
            <w:tcW w:w="195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 xml:space="preserve">Metronet BCV </w:t>
            </w:r>
          </w:p>
        </w:tc>
        <w:tc>
          <w:tcPr>
            <w:tcW w:w="851" w:type="dxa"/>
            <w:shd w:val="clear" w:color="auto" w:fill="auto"/>
            <w:vAlign w:val="center"/>
          </w:tcPr>
          <w:p w:rsidR="00A14148" w:rsidRPr="00216A71" w:rsidRDefault="00A14148" w:rsidP="00A14148">
            <w:pPr>
              <w:jc w:val="center"/>
              <w:rPr>
                <w:rFonts w:cstheme="minorHAnsi"/>
                <w:color w:val="000000"/>
                <w:szCs w:val="20"/>
              </w:rPr>
            </w:pPr>
            <w:r w:rsidRPr="00216A71">
              <w:rPr>
                <w:rFonts w:cstheme="minorHAnsi"/>
                <w:color w:val="000000"/>
                <w:szCs w:val="20"/>
              </w:rPr>
              <w:t>2000</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LU</w:t>
            </w:r>
          </w:p>
        </w:tc>
        <w:tc>
          <w:tcPr>
            <w:tcW w:w="170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 xml:space="preserve">Renovation </w:t>
            </w:r>
          </w:p>
        </w:tc>
        <w:tc>
          <w:tcPr>
            <w:tcW w:w="1003" w:type="dxa"/>
            <w:shd w:val="clear" w:color="auto" w:fill="auto"/>
            <w:vAlign w:val="center"/>
          </w:tcPr>
          <w:p w:rsidR="00A14148" w:rsidRPr="00216A71" w:rsidRDefault="00A14148" w:rsidP="00A14148">
            <w:pPr>
              <w:jc w:val="right"/>
              <w:rPr>
                <w:rFonts w:cstheme="minorHAnsi"/>
                <w:color w:val="000000"/>
                <w:szCs w:val="20"/>
              </w:rPr>
            </w:pPr>
            <w:r w:rsidRPr="00216A71">
              <w:rPr>
                <w:rFonts w:cstheme="minorHAnsi"/>
                <w:color w:val="000000"/>
                <w:szCs w:val="20"/>
              </w:rPr>
              <w:t>5</w:t>
            </w:r>
            <w:r w:rsidR="00747C89">
              <w:rPr>
                <w:rFonts w:cstheme="minorHAnsi"/>
                <w:color w:val="000000"/>
                <w:szCs w:val="20"/>
              </w:rPr>
              <w:t>,</w:t>
            </w:r>
            <w:r w:rsidRPr="00216A71">
              <w:rPr>
                <w:rFonts w:cstheme="minorHAnsi"/>
                <w:color w:val="000000"/>
                <w:szCs w:val="20"/>
              </w:rPr>
              <w:t>400</w:t>
            </w:r>
          </w:p>
        </w:tc>
        <w:tc>
          <w:tcPr>
            <w:tcW w:w="1264" w:type="dxa"/>
            <w:shd w:val="clear" w:color="auto" w:fill="auto"/>
            <w:vAlign w:val="center"/>
          </w:tcPr>
          <w:p w:rsidR="00A14148" w:rsidRPr="00216A71" w:rsidRDefault="00A14148" w:rsidP="00A14148">
            <w:pPr>
              <w:jc w:val="center"/>
              <w:rPr>
                <w:rFonts w:cstheme="minorHAnsi"/>
                <w:b/>
                <w:bCs/>
                <w:color w:val="000000"/>
                <w:szCs w:val="20"/>
              </w:rPr>
            </w:pPr>
            <w:r w:rsidRPr="00216A71">
              <w:rPr>
                <w:rFonts w:cstheme="minorHAnsi"/>
                <w:b/>
                <w:bCs/>
                <w:color w:val="000000"/>
                <w:szCs w:val="20"/>
              </w:rPr>
              <w:t>2008</w:t>
            </w:r>
          </w:p>
        </w:tc>
      </w:tr>
      <w:tr w:rsidR="00A14148" w:rsidRPr="00216A71" w:rsidTr="00191F44">
        <w:tc>
          <w:tcPr>
            <w:tcW w:w="195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 xml:space="preserve">Tubelines </w:t>
            </w:r>
          </w:p>
        </w:tc>
        <w:tc>
          <w:tcPr>
            <w:tcW w:w="851" w:type="dxa"/>
            <w:shd w:val="clear" w:color="auto" w:fill="auto"/>
            <w:vAlign w:val="center"/>
          </w:tcPr>
          <w:p w:rsidR="00A14148" w:rsidRPr="00216A71" w:rsidRDefault="00A14148" w:rsidP="00A14148">
            <w:pPr>
              <w:jc w:val="center"/>
              <w:rPr>
                <w:rFonts w:cstheme="minorHAnsi"/>
                <w:color w:val="000000"/>
                <w:szCs w:val="20"/>
              </w:rPr>
            </w:pPr>
            <w:r w:rsidRPr="00216A71">
              <w:rPr>
                <w:rFonts w:cstheme="minorHAnsi"/>
                <w:color w:val="000000"/>
                <w:szCs w:val="20"/>
              </w:rPr>
              <w:t>2000</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LU</w:t>
            </w:r>
          </w:p>
        </w:tc>
        <w:tc>
          <w:tcPr>
            <w:tcW w:w="170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 xml:space="preserve">Renovation </w:t>
            </w:r>
          </w:p>
        </w:tc>
        <w:tc>
          <w:tcPr>
            <w:tcW w:w="1003" w:type="dxa"/>
            <w:shd w:val="clear" w:color="auto" w:fill="auto"/>
            <w:vAlign w:val="center"/>
          </w:tcPr>
          <w:p w:rsidR="00A14148" w:rsidRPr="00216A71" w:rsidRDefault="00A14148" w:rsidP="00A14148">
            <w:pPr>
              <w:jc w:val="right"/>
              <w:rPr>
                <w:rFonts w:cstheme="minorHAnsi"/>
                <w:color w:val="000000"/>
                <w:szCs w:val="20"/>
              </w:rPr>
            </w:pPr>
            <w:r w:rsidRPr="00216A71">
              <w:rPr>
                <w:rFonts w:cstheme="minorHAnsi"/>
                <w:color w:val="000000"/>
                <w:szCs w:val="20"/>
              </w:rPr>
              <w:t>5</w:t>
            </w:r>
            <w:r w:rsidR="00747C89">
              <w:rPr>
                <w:rFonts w:cstheme="minorHAnsi"/>
                <w:color w:val="000000"/>
                <w:szCs w:val="20"/>
              </w:rPr>
              <w:t>,</w:t>
            </w:r>
            <w:r w:rsidRPr="00216A71">
              <w:rPr>
                <w:rFonts w:cstheme="minorHAnsi"/>
                <w:color w:val="000000"/>
                <w:szCs w:val="20"/>
              </w:rPr>
              <w:t>500</w:t>
            </w:r>
          </w:p>
        </w:tc>
        <w:tc>
          <w:tcPr>
            <w:tcW w:w="1264" w:type="dxa"/>
            <w:shd w:val="clear" w:color="auto" w:fill="auto"/>
            <w:vAlign w:val="center"/>
          </w:tcPr>
          <w:p w:rsidR="00A14148" w:rsidRPr="00216A71" w:rsidRDefault="00A14148" w:rsidP="00A14148">
            <w:pPr>
              <w:jc w:val="center"/>
              <w:rPr>
                <w:rFonts w:cstheme="minorHAnsi"/>
                <w:b/>
                <w:bCs/>
                <w:color w:val="000000"/>
                <w:szCs w:val="20"/>
              </w:rPr>
            </w:pPr>
            <w:r w:rsidRPr="00216A71">
              <w:rPr>
                <w:rFonts w:cstheme="minorHAnsi"/>
                <w:b/>
                <w:bCs/>
                <w:color w:val="000000"/>
                <w:szCs w:val="20"/>
              </w:rPr>
              <w:t>2010</w:t>
            </w:r>
          </w:p>
        </w:tc>
      </w:tr>
      <w:tr w:rsidR="00A14148" w:rsidRPr="00216A71" w:rsidTr="00191F44">
        <w:tc>
          <w:tcPr>
            <w:tcW w:w="195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 xml:space="preserve">Prestige </w:t>
            </w:r>
          </w:p>
        </w:tc>
        <w:tc>
          <w:tcPr>
            <w:tcW w:w="851" w:type="dxa"/>
            <w:shd w:val="clear" w:color="auto" w:fill="auto"/>
            <w:vAlign w:val="center"/>
          </w:tcPr>
          <w:p w:rsidR="00A14148" w:rsidRPr="00216A71" w:rsidRDefault="00A14148" w:rsidP="00A14148">
            <w:pPr>
              <w:jc w:val="center"/>
              <w:rPr>
                <w:rFonts w:cstheme="minorHAnsi"/>
                <w:color w:val="000000"/>
                <w:szCs w:val="20"/>
              </w:rPr>
            </w:pPr>
            <w:r w:rsidRPr="00216A71">
              <w:rPr>
                <w:rFonts w:cstheme="minorHAnsi"/>
                <w:color w:val="000000"/>
                <w:szCs w:val="20"/>
              </w:rPr>
              <w:t>1998</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LU</w:t>
            </w:r>
          </w:p>
        </w:tc>
        <w:tc>
          <w:tcPr>
            <w:tcW w:w="170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Ticketing</w:t>
            </w:r>
          </w:p>
        </w:tc>
        <w:tc>
          <w:tcPr>
            <w:tcW w:w="1003" w:type="dxa"/>
            <w:shd w:val="clear" w:color="auto" w:fill="auto"/>
            <w:vAlign w:val="center"/>
          </w:tcPr>
          <w:p w:rsidR="00A14148" w:rsidRPr="00216A71" w:rsidRDefault="00A14148" w:rsidP="00A14148">
            <w:pPr>
              <w:jc w:val="right"/>
              <w:rPr>
                <w:rFonts w:cstheme="minorHAnsi"/>
                <w:color w:val="000000"/>
                <w:szCs w:val="20"/>
              </w:rPr>
            </w:pPr>
            <w:r w:rsidRPr="00216A71">
              <w:rPr>
                <w:rFonts w:cstheme="minorHAnsi"/>
                <w:color w:val="000000"/>
                <w:szCs w:val="20"/>
              </w:rPr>
              <w:t>1</w:t>
            </w:r>
            <w:r w:rsidR="00747C89">
              <w:rPr>
                <w:rFonts w:cstheme="minorHAnsi"/>
                <w:color w:val="000000"/>
                <w:szCs w:val="20"/>
              </w:rPr>
              <w:t>,</w:t>
            </w:r>
            <w:r w:rsidRPr="00216A71">
              <w:rPr>
                <w:rFonts w:cstheme="minorHAnsi"/>
                <w:color w:val="000000"/>
                <w:szCs w:val="20"/>
              </w:rPr>
              <w:t>300</w:t>
            </w:r>
          </w:p>
        </w:tc>
        <w:tc>
          <w:tcPr>
            <w:tcW w:w="1264" w:type="dxa"/>
            <w:shd w:val="clear" w:color="auto" w:fill="auto"/>
            <w:vAlign w:val="center"/>
          </w:tcPr>
          <w:p w:rsidR="00A14148" w:rsidRPr="00216A71" w:rsidRDefault="00A14148" w:rsidP="00A14148">
            <w:pPr>
              <w:jc w:val="center"/>
              <w:rPr>
                <w:rFonts w:cstheme="minorHAnsi"/>
                <w:b/>
                <w:bCs/>
                <w:color w:val="000000"/>
                <w:szCs w:val="20"/>
              </w:rPr>
            </w:pPr>
            <w:r w:rsidRPr="00216A71">
              <w:rPr>
                <w:rFonts w:cstheme="minorHAnsi"/>
                <w:b/>
                <w:bCs/>
                <w:color w:val="000000"/>
                <w:szCs w:val="20"/>
              </w:rPr>
              <w:t>2010</w:t>
            </w:r>
          </w:p>
        </w:tc>
      </w:tr>
      <w:tr w:rsidR="00A14148" w:rsidRPr="00216A71" w:rsidTr="00191F44">
        <w:tc>
          <w:tcPr>
            <w:tcW w:w="195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Croydon Tramlink</w:t>
            </w:r>
          </w:p>
        </w:tc>
        <w:tc>
          <w:tcPr>
            <w:tcW w:w="851" w:type="dxa"/>
            <w:shd w:val="clear" w:color="auto" w:fill="auto"/>
            <w:vAlign w:val="center"/>
          </w:tcPr>
          <w:p w:rsidR="00A14148" w:rsidRPr="00216A71" w:rsidRDefault="00A14148" w:rsidP="00A14148">
            <w:pPr>
              <w:jc w:val="center"/>
              <w:rPr>
                <w:rFonts w:cstheme="minorHAnsi"/>
                <w:color w:val="000000"/>
                <w:szCs w:val="20"/>
              </w:rPr>
            </w:pPr>
            <w:r w:rsidRPr="00216A71">
              <w:rPr>
                <w:rFonts w:cstheme="minorHAnsi"/>
                <w:color w:val="000000"/>
                <w:szCs w:val="20"/>
              </w:rPr>
              <w:t>1996</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Light rail</w:t>
            </w:r>
          </w:p>
        </w:tc>
        <w:tc>
          <w:tcPr>
            <w:tcW w:w="170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Light rail</w:t>
            </w:r>
          </w:p>
        </w:tc>
        <w:tc>
          <w:tcPr>
            <w:tcW w:w="1003" w:type="dxa"/>
            <w:shd w:val="clear" w:color="auto" w:fill="auto"/>
            <w:vAlign w:val="center"/>
          </w:tcPr>
          <w:p w:rsidR="00A14148" w:rsidRPr="00216A71" w:rsidRDefault="00A14148" w:rsidP="00A14148">
            <w:pPr>
              <w:jc w:val="right"/>
              <w:rPr>
                <w:rFonts w:cstheme="minorHAnsi"/>
                <w:color w:val="000000"/>
                <w:szCs w:val="20"/>
              </w:rPr>
            </w:pPr>
            <w:r w:rsidRPr="00216A71">
              <w:rPr>
                <w:rFonts w:cstheme="minorHAnsi"/>
                <w:color w:val="000000"/>
                <w:szCs w:val="20"/>
              </w:rPr>
              <w:t>205</w:t>
            </w:r>
          </w:p>
        </w:tc>
        <w:tc>
          <w:tcPr>
            <w:tcW w:w="1264" w:type="dxa"/>
            <w:shd w:val="clear" w:color="auto" w:fill="auto"/>
            <w:vAlign w:val="center"/>
          </w:tcPr>
          <w:p w:rsidR="00A14148" w:rsidRPr="00216A71" w:rsidRDefault="00A14148" w:rsidP="00A14148">
            <w:pPr>
              <w:jc w:val="center"/>
              <w:rPr>
                <w:rFonts w:cstheme="minorHAnsi"/>
                <w:b/>
                <w:bCs/>
                <w:color w:val="000000"/>
                <w:szCs w:val="20"/>
              </w:rPr>
            </w:pPr>
            <w:r w:rsidRPr="00216A71">
              <w:rPr>
                <w:rFonts w:cstheme="minorHAnsi"/>
                <w:b/>
                <w:bCs/>
                <w:color w:val="000000"/>
                <w:szCs w:val="20"/>
              </w:rPr>
              <w:t>2008</w:t>
            </w:r>
          </w:p>
        </w:tc>
      </w:tr>
      <w:tr w:rsidR="00A14148" w:rsidRPr="00216A71" w:rsidTr="00191F44">
        <w:tc>
          <w:tcPr>
            <w:tcW w:w="195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 xml:space="preserve">Powerlink PFI </w:t>
            </w:r>
          </w:p>
        </w:tc>
        <w:tc>
          <w:tcPr>
            <w:tcW w:w="851" w:type="dxa"/>
            <w:shd w:val="clear" w:color="auto" w:fill="auto"/>
            <w:vAlign w:val="center"/>
          </w:tcPr>
          <w:p w:rsidR="00A14148" w:rsidRPr="00216A71" w:rsidRDefault="00A14148" w:rsidP="00A14148">
            <w:pPr>
              <w:jc w:val="center"/>
              <w:rPr>
                <w:rFonts w:cstheme="minorHAnsi"/>
                <w:color w:val="000000"/>
                <w:szCs w:val="20"/>
              </w:rPr>
            </w:pPr>
            <w:r w:rsidRPr="00216A71">
              <w:rPr>
                <w:rFonts w:cstheme="minorHAnsi"/>
                <w:color w:val="000000"/>
                <w:szCs w:val="20"/>
              </w:rPr>
              <w:t>1998</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LU</w:t>
            </w:r>
          </w:p>
        </w:tc>
        <w:tc>
          <w:tcPr>
            <w:tcW w:w="170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Power system.</w:t>
            </w:r>
          </w:p>
        </w:tc>
        <w:tc>
          <w:tcPr>
            <w:tcW w:w="1003" w:type="dxa"/>
            <w:shd w:val="clear" w:color="auto" w:fill="auto"/>
            <w:vAlign w:val="center"/>
          </w:tcPr>
          <w:p w:rsidR="00A14148" w:rsidRPr="00216A71" w:rsidRDefault="00A14148" w:rsidP="00A14148">
            <w:pPr>
              <w:jc w:val="right"/>
              <w:rPr>
                <w:rFonts w:cstheme="minorHAnsi"/>
                <w:color w:val="000000"/>
                <w:szCs w:val="20"/>
              </w:rPr>
            </w:pPr>
            <w:r w:rsidRPr="00216A71">
              <w:rPr>
                <w:rFonts w:cstheme="minorHAnsi"/>
                <w:color w:val="000000"/>
                <w:szCs w:val="20"/>
              </w:rPr>
              <w:t>133</w:t>
            </w:r>
          </w:p>
        </w:tc>
        <w:tc>
          <w:tcPr>
            <w:tcW w:w="1264" w:type="dxa"/>
            <w:shd w:val="clear" w:color="auto" w:fill="auto"/>
            <w:vAlign w:val="center"/>
          </w:tcPr>
          <w:p w:rsidR="00A14148" w:rsidRPr="00216A71" w:rsidRDefault="00A14148" w:rsidP="00A14148">
            <w:pPr>
              <w:jc w:val="center"/>
              <w:rPr>
                <w:rFonts w:cstheme="minorHAnsi"/>
                <w:b/>
                <w:bCs/>
                <w:color w:val="000000"/>
                <w:szCs w:val="20"/>
              </w:rPr>
            </w:pPr>
            <w:r w:rsidRPr="00216A71">
              <w:rPr>
                <w:rFonts w:cstheme="minorHAnsi"/>
                <w:b/>
                <w:bCs/>
                <w:color w:val="000000"/>
                <w:szCs w:val="20"/>
              </w:rPr>
              <w:t>2013</w:t>
            </w:r>
          </w:p>
        </w:tc>
      </w:tr>
      <w:tr w:rsidR="00A14148" w:rsidRPr="00216A71" w:rsidTr="00191F44">
        <w:tc>
          <w:tcPr>
            <w:tcW w:w="1951" w:type="dxa"/>
            <w:shd w:val="clear" w:color="auto" w:fill="auto"/>
            <w:vAlign w:val="center"/>
          </w:tcPr>
          <w:p w:rsidR="00A14148" w:rsidRPr="00216A71" w:rsidRDefault="00A14148" w:rsidP="00A14148">
            <w:pPr>
              <w:rPr>
                <w:rFonts w:cstheme="minorHAnsi"/>
                <w:szCs w:val="20"/>
              </w:rPr>
            </w:pPr>
            <w:r w:rsidRPr="00216A71">
              <w:rPr>
                <w:rFonts w:cstheme="minorHAnsi"/>
                <w:szCs w:val="20"/>
              </w:rPr>
              <w:t>Woolwich</w:t>
            </w:r>
            <w:r w:rsidR="004045AD">
              <w:rPr>
                <w:rFonts w:cstheme="minorHAnsi"/>
                <w:szCs w:val="20"/>
              </w:rPr>
              <w:t xml:space="preserve"> </w:t>
            </w:r>
            <w:r w:rsidRPr="00216A71">
              <w:rPr>
                <w:rFonts w:cstheme="minorHAnsi"/>
                <w:szCs w:val="20"/>
              </w:rPr>
              <w:t xml:space="preserve">DLR </w:t>
            </w:r>
          </w:p>
        </w:tc>
        <w:tc>
          <w:tcPr>
            <w:tcW w:w="851" w:type="dxa"/>
            <w:shd w:val="clear" w:color="auto" w:fill="auto"/>
            <w:vAlign w:val="center"/>
          </w:tcPr>
          <w:p w:rsidR="00A14148" w:rsidRPr="00216A71" w:rsidRDefault="00A14148" w:rsidP="00A14148">
            <w:pPr>
              <w:jc w:val="center"/>
              <w:rPr>
                <w:rFonts w:cstheme="minorHAnsi"/>
                <w:szCs w:val="20"/>
              </w:rPr>
            </w:pPr>
            <w:r w:rsidRPr="00216A71">
              <w:rPr>
                <w:rFonts w:cstheme="minorHAnsi"/>
                <w:szCs w:val="20"/>
              </w:rPr>
              <w:t>2005</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Light rail</w:t>
            </w:r>
          </w:p>
        </w:tc>
        <w:tc>
          <w:tcPr>
            <w:tcW w:w="1701" w:type="dxa"/>
            <w:shd w:val="clear" w:color="auto" w:fill="auto"/>
            <w:vAlign w:val="center"/>
          </w:tcPr>
          <w:p w:rsidR="00A14148" w:rsidRPr="00216A71" w:rsidRDefault="00A14148" w:rsidP="00A14148">
            <w:pPr>
              <w:rPr>
                <w:rFonts w:cstheme="minorHAnsi"/>
                <w:szCs w:val="20"/>
              </w:rPr>
            </w:pPr>
            <w:r w:rsidRPr="00216A71">
              <w:rPr>
                <w:rFonts w:cstheme="minorHAnsi"/>
                <w:szCs w:val="20"/>
              </w:rPr>
              <w:t>Extension</w:t>
            </w:r>
          </w:p>
        </w:tc>
        <w:tc>
          <w:tcPr>
            <w:tcW w:w="1003" w:type="dxa"/>
            <w:shd w:val="clear" w:color="auto" w:fill="auto"/>
            <w:vAlign w:val="center"/>
          </w:tcPr>
          <w:p w:rsidR="00A14148" w:rsidRPr="00216A71" w:rsidRDefault="00A14148" w:rsidP="00A14148">
            <w:pPr>
              <w:jc w:val="right"/>
              <w:rPr>
                <w:rFonts w:cstheme="minorHAnsi"/>
                <w:szCs w:val="20"/>
              </w:rPr>
            </w:pPr>
            <w:r w:rsidRPr="00216A71">
              <w:rPr>
                <w:rFonts w:cstheme="minorHAnsi"/>
                <w:szCs w:val="20"/>
              </w:rPr>
              <w:t>177</w:t>
            </w:r>
          </w:p>
        </w:tc>
        <w:tc>
          <w:tcPr>
            <w:tcW w:w="1264" w:type="dxa"/>
            <w:shd w:val="clear" w:color="auto" w:fill="auto"/>
            <w:vAlign w:val="center"/>
          </w:tcPr>
          <w:p w:rsidR="00A14148" w:rsidRPr="00216A71" w:rsidRDefault="00A14148" w:rsidP="00A14148">
            <w:pPr>
              <w:jc w:val="center"/>
              <w:rPr>
                <w:rFonts w:cstheme="minorHAnsi"/>
                <w:b/>
                <w:bCs/>
                <w:color w:val="000000"/>
                <w:szCs w:val="20"/>
              </w:rPr>
            </w:pPr>
            <w:r w:rsidRPr="00216A71">
              <w:rPr>
                <w:rFonts w:cstheme="minorHAnsi"/>
                <w:b/>
                <w:bCs/>
                <w:color w:val="000000"/>
                <w:szCs w:val="20"/>
              </w:rPr>
              <w:t>2011</w:t>
            </w:r>
          </w:p>
        </w:tc>
      </w:tr>
      <w:tr w:rsidR="00A14148" w:rsidRPr="00216A71" w:rsidTr="00191F44">
        <w:tc>
          <w:tcPr>
            <w:tcW w:w="1951" w:type="dxa"/>
            <w:shd w:val="clear" w:color="auto" w:fill="auto"/>
            <w:vAlign w:val="center"/>
          </w:tcPr>
          <w:p w:rsidR="00A14148" w:rsidRPr="00216A71" w:rsidRDefault="00A14148" w:rsidP="00A14148">
            <w:pPr>
              <w:rPr>
                <w:rFonts w:cstheme="minorHAnsi"/>
                <w:szCs w:val="20"/>
              </w:rPr>
            </w:pPr>
            <w:r w:rsidRPr="00216A71">
              <w:rPr>
                <w:rFonts w:cstheme="minorHAnsi"/>
                <w:szCs w:val="20"/>
              </w:rPr>
              <w:t>City Airport DLR</w:t>
            </w:r>
          </w:p>
        </w:tc>
        <w:tc>
          <w:tcPr>
            <w:tcW w:w="851" w:type="dxa"/>
            <w:shd w:val="clear" w:color="auto" w:fill="auto"/>
            <w:vAlign w:val="center"/>
          </w:tcPr>
          <w:p w:rsidR="00A14148" w:rsidRPr="00216A71" w:rsidRDefault="00A14148" w:rsidP="00A14148">
            <w:pPr>
              <w:jc w:val="center"/>
              <w:rPr>
                <w:rFonts w:cstheme="minorHAnsi"/>
                <w:szCs w:val="20"/>
              </w:rPr>
            </w:pPr>
            <w:r w:rsidRPr="00216A71">
              <w:rPr>
                <w:rFonts w:cstheme="minorHAnsi"/>
                <w:szCs w:val="20"/>
              </w:rPr>
              <w:t>2003</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Light rail</w:t>
            </w:r>
          </w:p>
        </w:tc>
        <w:tc>
          <w:tcPr>
            <w:tcW w:w="1701" w:type="dxa"/>
            <w:shd w:val="clear" w:color="auto" w:fill="auto"/>
            <w:vAlign w:val="center"/>
          </w:tcPr>
          <w:p w:rsidR="00A14148" w:rsidRPr="00216A71" w:rsidRDefault="00A14148" w:rsidP="00A14148">
            <w:pPr>
              <w:rPr>
                <w:rFonts w:cstheme="minorHAnsi"/>
                <w:szCs w:val="20"/>
              </w:rPr>
            </w:pPr>
            <w:r w:rsidRPr="00216A71">
              <w:rPr>
                <w:rFonts w:cstheme="minorHAnsi"/>
                <w:szCs w:val="20"/>
              </w:rPr>
              <w:t>Extension</w:t>
            </w:r>
          </w:p>
        </w:tc>
        <w:tc>
          <w:tcPr>
            <w:tcW w:w="1003" w:type="dxa"/>
            <w:shd w:val="clear" w:color="auto" w:fill="auto"/>
            <w:vAlign w:val="center"/>
          </w:tcPr>
          <w:p w:rsidR="00A14148" w:rsidRPr="00216A71" w:rsidRDefault="00A14148" w:rsidP="00A14148">
            <w:pPr>
              <w:jc w:val="right"/>
              <w:rPr>
                <w:rFonts w:cstheme="minorHAnsi"/>
                <w:szCs w:val="20"/>
              </w:rPr>
            </w:pPr>
            <w:r w:rsidRPr="00216A71">
              <w:rPr>
                <w:rFonts w:cstheme="minorHAnsi"/>
                <w:szCs w:val="20"/>
              </w:rPr>
              <w:t>147</w:t>
            </w:r>
          </w:p>
        </w:tc>
        <w:tc>
          <w:tcPr>
            <w:tcW w:w="1264" w:type="dxa"/>
            <w:shd w:val="clear" w:color="auto" w:fill="auto"/>
            <w:vAlign w:val="center"/>
          </w:tcPr>
          <w:p w:rsidR="00A14148" w:rsidRPr="00216A71" w:rsidRDefault="00A14148" w:rsidP="00A14148">
            <w:pPr>
              <w:jc w:val="center"/>
              <w:rPr>
                <w:rFonts w:cstheme="minorHAnsi"/>
                <w:b/>
                <w:bCs/>
                <w:color w:val="000000"/>
                <w:szCs w:val="20"/>
              </w:rPr>
            </w:pPr>
            <w:r w:rsidRPr="00216A71">
              <w:rPr>
                <w:rFonts w:cstheme="minorHAnsi"/>
                <w:b/>
                <w:bCs/>
                <w:color w:val="000000"/>
                <w:szCs w:val="20"/>
              </w:rPr>
              <w:t>2011</w:t>
            </w:r>
          </w:p>
        </w:tc>
      </w:tr>
      <w:tr w:rsidR="00A14148" w:rsidRPr="00216A71" w:rsidTr="00191F44">
        <w:tc>
          <w:tcPr>
            <w:tcW w:w="1951"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 xml:space="preserve">Connect </w:t>
            </w:r>
          </w:p>
        </w:tc>
        <w:tc>
          <w:tcPr>
            <w:tcW w:w="851" w:type="dxa"/>
            <w:vAlign w:val="center"/>
          </w:tcPr>
          <w:p w:rsidR="00A14148" w:rsidRPr="00216A71" w:rsidRDefault="00A14148" w:rsidP="00A14148">
            <w:pPr>
              <w:jc w:val="center"/>
              <w:rPr>
                <w:rFonts w:cstheme="minorHAnsi"/>
                <w:color w:val="000000"/>
                <w:szCs w:val="20"/>
              </w:rPr>
            </w:pPr>
            <w:r w:rsidRPr="00216A71">
              <w:rPr>
                <w:rFonts w:cstheme="minorHAnsi"/>
                <w:color w:val="000000"/>
                <w:szCs w:val="20"/>
              </w:rPr>
              <w:t>1999</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LU</w:t>
            </w:r>
          </w:p>
        </w:tc>
        <w:tc>
          <w:tcPr>
            <w:tcW w:w="1701" w:type="dxa"/>
            <w:vAlign w:val="center"/>
          </w:tcPr>
          <w:p w:rsidR="00A14148" w:rsidRPr="00216A71" w:rsidRDefault="00A14148" w:rsidP="00A14148">
            <w:pPr>
              <w:rPr>
                <w:rFonts w:cstheme="minorHAnsi"/>
                <w:color w:val="000000"/>
                <w:szCs w:val="20"/>
              </w:rPr>
            </w:pPr>
            <w:r w:rsidRPr="00216A71">
              <w:rPr>
                <w:rFonts w:cstheme="minorHAnsi"/>
                <w:color w:val="000000"/>
                <w:szCs w:val="20"/>
              </w:rPr>
              <w:t>Communications</w:t>
            </w:r>
          </w:p>
        </w:tc>
        <w:tc>
          <w:tcPr>
            <w:tcW w:w="1003" w:type="dxa"/>
            <w:shd w:val="clear" w:color="auto" w:fill="auto"/>
            <w:vAlign w:val="center"/>
          </w:tcPr>
          <w:p w:rsidR="00A14148" w:rsidRPr="00216A71" w:rsidRDefault="00A14148" w:rsidP="00A14148">
            <w:pPr>
              <w:jc w:val="right"/>
              <w:rPr>
                <w:rFonts w:cstheme="minorHAnsi"/>
                <w:color w:val="000000"/>
                <w:szCs w:val="20"/>
              </w:rPr>
            </w:pPr>
            <w:r w:rsidRPr="00216A71">
              <w:rPr>
                <w:rFonts w:cstheme="minorHAnsi"/>
                <w:color w:val="000000"/>
                <w:szCs w:val="20"/>
              </w:rPr>
              <w:t>475</w:t>
            </w:r>
          </w:p>
        </w:tc>
        <w:tc>
          <w:tcPr>
            <w:tcW w:w="1264" w:type="dxa"/>
          </w:tcPr>
          <w:p w:rsidR="00A14148" w:rsidRPr="00216A71" w:rsidRDefault="00A14148" w:rsidP="00A14148">
            <w:pPr>
              <w:autoSpaceDE w:val="0"/>
              <w:autoSpaceDN w:val="0"/>
              <w:adjustRightInd w:val="0"/>
              <w:jc w:val="center"/>
              <w:rPr>
                <w:rFonts w:cstheme="minorHAnsi"/>
                <w:szCs w:val="20"/>
              </w:rPr>
            </w:pPr>
            <w:r w:rsidRPr="00216A71">
              <w:rPr>
                <w:rFonts w:cstheme="minorHAnsi"/>
                <w:szCs w:val="20"/>
              </w:rPr>
              <w:t>-</w:t>
            </w:r>
          </w:p>
        </w:tc>
      </w:tr>
      <w:tr w:rsidR="00A14148" w:rsidRPr="00216A71" w:rsidTr="00191F44">
        <w:tc>
          <w:tcPr>
            <w:tcW w:w="1951" w:type="dxa"/>
            <w:shd w:val="clear" w:color="auto" w:fill="auto"/>
            <w:vAlign w:val="center"/>
          </w:tcPr>
          <w:p w:rsidR="00A14148" w:rsidRPr="00216A71" w:rsidRDefault="00A14148" w:rsidP="00A14148">
            <w:pPr>
              <w:rPr>
                <w:rFonts w:cstheme="minorHAnsi"/>
                <w:szCs w:val="20"/>
              </w:rPr>
            </w:pPr>
            <w:r w:rsidRPr="00216A71">
              <w:rPr>
                <w:rFonts w:cstheme="minorHAnsi"/>
                <w:szCs w:val="20"/>
              </w:rPr>
              <w:t>Lewisham DLR</w:t>
            </w:r>
          </w:p>
        </w:tc>
        <w:tc>
          <w:tcPr>
            <w:tcW w:w="851" w:type="dxa"/>
            <w:vAlign w:val="center"/>
          </w:tcPr>
          <w:p w:rsidR="00A14148" w:rsidRPr="00216A71" w:rsidRDefault="00A14148" w:rsidP="00A14148">
            <w:pPr>
              <w:jc w:val="center"/>
              <w:rPr>
                <w:rFonts w:cstheme="minorHAnsi"/>
                <w:szCs w:val="20"/>
              </w:rPr>
            </w:pPr>
            <w:r w:rsidRPr="00216A71">
              <w:rPr>
                <w:rFonts w:cstheme="minorHAnsi"/>
                <w:szCs w:val="20"/>
              </w:rPr>
              <w:t>1995</w:t>
            </w:r>
          </w:p>
        </w:tc>
        <w:tc>
          <w:tcPr>
            <w:tcW w:w="992" w:type="dxa"/>
            <w:shd w:val="clear" w:color="auto" w:fill="auto"/>
            <w:vAlign w:val="center"/>
          </w:tcPr>
          <w:p w:rsidR="00A14148" w:rsidRPr="00216A71" w:rsidRDefault="00A14148" w:rsidP="00A14148">
            <w:pPr>
              <w:rPr>
                <w:rFonts w:cstheme="minorHAnsi"/>
                <w:color w:val="000000"/>
                <w:szCs w:val="20"/>
              </w:rPr>
            </w:pPr>
            <w:r w:rsidRPr="00216A71">
              <w:rPr>
                <w:rFonts w:cstheme="minorHAnsi"/>
                <w:color w:val="000000"/>
                <w:szCs w:val="20"/>
              </w:rPr>
              <w:t>Light rail</w:t>
            </w:r>
          </w:p>
        </w:tc>
        <w:tc>
          <w:tcPr>
            <w:tcW w:w="1701" w:type="dxa"/>
            <w:vAlign w:val="center"/>
          </w:tcPr>
          <w:p w:rsidR="00A14148" w:rsidRPr="00216A71" w:rsidRDefault="00A14148" w:rsidP="00A14148">
            <w:pPr>
              <w:rPr>
                <w:rFonts w:cstheme="minorHAnsi"/>
                <w:szCs w:val="20"/>
              </w:rPr>
            </w:pPr>
            <w:r w:rsidRPr="00216A71">
              <w:rPr>
                <w:rFonts w:cstheme="minorHAnsi"/>
                <w:szCs w:val="20"/>
              </w:rPr>
              <w:t>Extension</w:t>
            </w:r>
          </w:p>
        </w:tc>
        <w:tc>
          <w:tcPr>
            <w:tcW w:w="1003" w:type="dxa"/>
            <w:shd w:val="clear" w:color="auto" w:fill="auto"/>
            <w:vAlign w:val="center"/>
          </w:tcPr>
          <w:p w:rsidR="00A14148" w:rsidRPr="00216A71" w:rsidRDefault="00A14148" w:rsidP="00A14148">
            <w:pPr>
              <w:jc w:val="right"/>
              <w:rPr>
                <w:rFonts w:cstheme="minorHAnsi"/>
                <w:szCs w:val="20"/>
              </w:rPr>
            </w:pPr>
            <w:r w:rsidRPr="00216A71">
              <w:rPr>
                <w:rFonts w:cstheme="minorHAnsi"/>
                <w:szCs w:val="20"/>
              </w:rPr>
              <w:t>142</w:t>
            </w:r>
          </w:p>
        </w:tc>
        <w:tc>
          <w:tcPr>
            <w:tcW w:w="1264" w:type="dxa"/>
          </w:tcPr>
          <w:p w:rsidR="00A14148" w:rsidRPr="00216A71" w:rsidRDefault="00A14148" w:rsidP="00A14148">
            <w:pPr>
              <w:pStyle w:val="Default"/>
              <w:jc w:val="center"/>
              <w:rPr>
                <w:rFonts w:asciiTheme="minorHAnsi" w:hAnsiTheme="minorHAnsi" w:cstheme="minorHAnsi"/>
                <w:color w:val="auto"/>
                <w:sz w:val="20"/>
                <w:szCs w:val="20"/>
              </w:rPr>
            </w:pPr>
            <w:r w:rsidRPr="00216A71">
              <w:rPr>
                <w:rFonts w:asciiTheme="minorHAnsi" w:hAnsiTheme="minorHAnsi" w:cstheme="minorHAnsi"/>
                <w:color w:val="auto"/>
                <w:sz w:val="20"/>
                <w:szCs w:val="20"/>
              </w:rPr>
              <w:t>-</w:t>
            </w:r>
          </w:p>
        </w:tc>
      </w:tr>
      <w:tr w:rsidR="00A14148" w:rsidRPr="00216A71" w:rsidTr="00191F44">
        <w:tc>
          <w:tcPr>
            <w:tcW w:w="1951"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rPr>
                <w:rFonts w:cstheme="minorHAnsi"/>
                <w:szCs w:val="20"/>
              </w:rPr>
            </w:pPr>
            <w:r w:rsidRPr="00216A71">
              <w:rPr>
                <w:rFonts w:cstheme="minorHAnsi"/>
                <w:szCs w:val="20"/>
              </w:rPr>
              <w:t xml:space="preserve">Total value </w:t>
            </w:r>
          </w:p>
        </w:tc>
        <w:tc>
          <w:tcPr>
            <w:tcW w:w="851"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jc w:val="center"/>
              <w:rPr>
                <w:rFonts w:cstheme="minorHAnsi"/>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rPr>
                <w:rFonts w:cstheme="minorHAnsi"/>
                <w:color w:val="000000"/>
                <w:szCs w:val="20"/>
              </w:rPr>
            </w:pPr>
            <w:r w:rsidRPr="00216A71">
              <w:rPr>
                <w:rFonts w:cstheme="minorHAnsi"/>
                <w:color w:val="00000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rPr>
                <w:rFonts w:cstheme="minorHAnsi"/>
                <w:szCs w:val="20"/>
              </w:rPr>
            </w:pPr>
            <w:r w:rsidRPr="00216A71">
              <w:rPr>
                <w:rFonts w:cstheme="minorHAnsi"/>
                <w:szCs w:val="20"/>
              </w:rPr>
              <w:t> </w:t>
            </w:r>
          </w:p>
        </w:tc>
        <w:tc>
          <w:tcPr>
            <w:tcW w:w="1003"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jc w:val="right"/>
              <w:rPr>
                <w:rFonts w:cstheme="minorHAnsi"/>
                <w:szCs w:val="20"/>
              </w:rPr>
            </w:pPr>
            <w:r w:rsidRPr="00216A71">
              <w:rPr>
                <w:rFonts w:cstheme="minorHAnsi"/>
                <w:szCs w:val="20"/>
              </w:rPr>
              <w:t>20</w:t>
            </w:r>
            <w:r w:rsidR="00747C89">
              <w:rPr>
                <w:rFonts w:cstheme="minorHAnsi"/>
                <w:szCs w:val="20"/>
              </w:rPr>
              <w:t>,</w:t>
            </w:r>
            <w:r w:rsidRPr="00216A71">
              <w:rPr>
                <w:rFonts w:cstheme="minorHAnsi"/>
                <w:szCs w:val="20"/>
              </w:rPr>
              <w:t>179</w:t>
            </w:r>
          </w:p>
        </w:tc>
        <w:tc>
          <w:tcPr>
            <w:tcW w:w="1264" w:type="dxa"/>
            <w:tcBorders>
              <w:top w:val="single" w:sz="4" w:space="0" w:color="auto"/>
              <w:left w:val="single" w:sz="4" w:space="0" w:color="auto"/>
              <w:bottom w:val="single" w:sz="4" w:space="0" w:color="auto"/>
              <w:right w:val="single" w:sz="4" w:space="0" w:color="auto"/>
            </w:tcBorders>
            <w:shd w:val="clear" w:color="auto" w:fill="00B0F0"/>
          </w:tcPr>
          <w:p w:rsidR="00A14148" w:rsidRPr="00216A71" w:rsidRDefault="00A14148" w:rsidP="00A14148">
            <w:pPr>
              <w:pStyle w:val="Default"/>
              <w:jc w:val="center"/>
              <w:rPr>
                <w:rFonts w:asciiTheme="minorHAnsi" w:hAnsiTheme="minorHAnsi" w:cstheme="minorHAnsi"/>
                <w:color w:val="auto"/>
                <w:sz w:val="20"/>
                <w:szCs w:val="20"/>
              </w:rPr>
            </w:pPr>
          </w:p>
        </w:tc>
      </w:tr>
      <w:tr w:rsidR="00A14148" w:rsidRPr="00216A71" w:rsidTr="00191F44">
        <w:tc>
          <w:tcPr>
            <w:tcW w:w="1951"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rPr>
                <w:rFonts w:cstheme="minorHAnsi"/>
                <w:szCs w:val="20"/>
              </w:rPr>
            </w:pPr>
            <w:r w:rsidRPr="00216A71">
              <w:rPr>
                <w:rFonts w:cstheme="minorHAnsi"/>
                <w:szCs w:val="20"/>
              </w:rPr>
              <w:t>Value terminated</w:t>
            </w:r>
          </w:p>
        </w:tc>
        <w:tc>
          <w:tcPr>
            <w:tcW w:w="851"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jc w:val="center"/>
              <w:rPr>
                <w:rFonts w:cstheme="minorHAnsi"/>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rPr>
                <w:rFonts w:cstheme="minorHAnsi"/>
                <w:color w:val="000000"/>
                <w:szCs w:val="20"/>
              </w:rPr>
            </w:pPr>
            <w:r w:rsidRPr="00216A71">
              <w:rPr>
                <w:rFonts w:cstheme="minorHAnsi"/>
                <w:color w:val="00000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rPr>
                <w:rFonts w:cstheme="minorHAnsi"/>
                <w:szCs w:val="20"/>
              </w:rPr>
            </w:pPr>
            <w:r w:rsidRPr="00216A71">
              <w:rPr>
                <w:rFonts w:cstheme="minorHAnsi"/>
                <w:szCs w:val="20"/>
              </w:rPr>
              <w:t> </w:t>
            </w:r>
          </w:p>
        </w:tc>
        <w:tc>
          <w:tcPr>
            <w:tcW w:w="1003"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jc w:val="right"/>
              <w:rPr>
                <w:rFonts w:cstheme="minorHAnsi"/>
                <w:szCs w:val="20"/>
              </w:rPr>
            </w:pPr>
            <w:r w:rsidRPr="00216A71">
              <w:rPr>
                <w:rFonts w:cstheme="minorHAnsi"/>
                <w:szCs w:val="20"/>
              </w:rPr>
              <w:t>19</w:t>
            </w:r>
            <w:r w:rsidR="00747C89">
              <w:rPr>
                <w:rFonts w:cstheme="minorHAnsi"/>
                <w:szCs w:val="20"/>
              </w:rPr>
              <w:t>,</w:t>
            </w:r>
            <w:r w:rsidRPr="00216A71">
              <w:rPr>
                <w:rFonts w:cstheme="minorHAnsi"/>
                <w:szCs w:val="20"/>
              </w:rPr>
              <w:t>562</w:t>
            </w:r>
          </w:p>
        </w:tc>
        <w:tc>
          <w:tcPr>
            <w:tcW w:w="1264" w:type="dxa"/>
            <w:tcBorders>
              <w:top w:val="single" w:sz="4" w:space="0" w:color="auto"/>
              <w:left w:val="single" w:sz="4" w:space="0" w:color="auto"/>
              <w:bottom w:val="single" w:sz="4" w:space="0" w:color="auto"/>
              <w:right w:val="single" w:sz="4" w:space="0" w:color="auto"/>
            </w:tcBorders>
            <w:shd w:val="clear" w:color="auto" w:fill="00B0F0"/>
          </w:tcPr>
          <w:p w:rsidR="00A14148" w:rsidRPr="00216A71" w:rsidRDefault="00A14148" w:rsidP="00A14148">
            <w:pPr>
              <w:pStyle w:val="Default"/>
              <w:jc w:val="center"/>
              <w:rPr>
                <w:rFonts w:asciiTheme="minorHAnsi" w:hAnsiTheme="minorHAnsi" w:cstheme="minorHAnsi"/>
                <w:color w:val="auto"/>
                <w:sz w:val="20"/>
                <w:szCs w:val="20"/>
              </w:rPr>
            </w:pPr>
          </w:p>
        </w:tc>
      </w:tr>
      <w:tr w:rsidR="00A14148" w:rsidRPr="00216A71" w:rsidTr="00191F44">
        <w:tc>
          <w:tcPr>
            <w:tcW w:w="1951"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rPr>
                <w:rFonts w:cstheme="minorHAnsi"/>
                <w:szCs w:val="20"/>
              </w:rPr>
            </w:pPr>
            <w:r w:rsidRPr="00216A71">
              <w:rPr>
                <w:rFonts w:cstheme="minorHAnsi"/>
                <w:szCs w:val="20"/>
              </w:rPr>
              <w:t xml:space="preserve">% terminated </w:t>
            </w:r>
          </w:p>
        </w:tc>
        <w:tc>
          <w:tcPr>
            <w:tcW w:w="851"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jc w:val="center"/>
              <w:rPr>
                <w:rFonts w:cstheme="minorHAnsi"/>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rPr>
                <w:rFonts w:cstheme="minorHAnsi"/>
                <w:color w:val="00000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rPr>
                <w:rFonts w:cstheme="minorHAnsi"/>
                <w:szCs w:val="20"/>
              </w:rPr>
            </w:pPr>
          </w:p>
        </w:tc>
        <w:tc>
          <w:tcPr>
            <w:tcW w:w="1003" w:type="dxa"/>
            <w:tcBorders>
              <w:top w:val="single" w:sz="4" w:space="0" w:color="auto"/>
              <w:left w:val="single" w:sz="4" w:space="0" w:color="auto"/>
              <w:bottom w:val="single" w:sz="4" w:space="0" w:color="auto"/>
              <w:right w:val="single" w:sz="4" w:space="0" w:color="auto"/>
            </w:tcBorders>
            <w:shd w:val="clear" w:color="auto" w:fill="00B0F0"/>
            <w:vAlign w:val="center"/>
          </w:tcPr>
          <w:p w:rsidR="00A14148" w:rsidRPr="00216A71" w:rsidRDefault="00A14148" w:rsidP="00A14148">
            <w:pPr>
              <w:jc w:val="right"/>
              <w:rPr>
                <w:rFonts w:cstheme="minorHAnsi"/>
                <w:szCs w:val="20"/>
              </w:rPr>
            </w:pPr>
            <w:r w:rsidRPr="00216A71">
              <w:rPr>
                <w:rFonts w:cstheme="minorHAnsi"/>
                <w:szCs w:val="20"/>
              </w:rPr>
              <w:t>97%</w:t>
            </w:r>
          </w:p>
        </w:tc>
        <w:tc>
          <w:tcPr>
            <w:tcW w:w="1264" w:type="dxa"/>
            <w:tcBorders>
              <w:top w:val="single" w:sz="4" w:space="0" w:color="auto"/>
              <w:left w:val="single" w:sz="4" w:space="0" w:color="auto"/>
              <w:bottom w:val="single" w:sz="4" w:space="0" w:color="auto"/>
              <w:right w:val="single" w:sz="4" w:space="0" w:color="auto"/>
            </w:tcBorders>
            <w:shd w:val="clear" w:color="auto" w:fill="00B0F0"/>
          </w:tcPr>
          <w:p w:rsidR="00A14148" w:rsidRPr="00216A71" w:rsidRDefault="00A14148" w:rsidP="00A14148">
            <w:pPr>
              <w:pStyle w:val="Default"/>
              <w:jc w:val="center"/>
              <w:rPr>
                <w:rFonts w:asciiTheme="minorHAnsi" w:hAnsiTheme="minorHAnsi" w:cstheme="minorHAnsi"/>
                <w:color w:val="auto"/>
                <w:sz w:val="20"/>
                <w:szCs w:val="20"/>
              </w:rPr>
            </w:pPr>
          </w:p>
        </w:tc>
      </w:tr>
    </w:tbl>
    <w:p w:rsidR="000C629A" w:rsidRDefault="00A14148" w:rsidP="00A14148">
      <w:pPr>
        <w:autoSpaceDE w:val="0"/>
        <w:autoSpaceDN w:val="0"/>
        <w:adjustRightInd w:val="0"/>
        <w:rPr>
          <w:rFonts w:cstheme="minorHAnsi"/>
        </w:rPr>
      </w:pPr>
      <w:r w:rsidRPr="00216A71">
        <w:rPr>
          <w:rFonts w:cstheme="minorHAnsi"/>
          <w:szCs w:val="20"/>
        </w:rPr>
        <w:t xml:space="preserve">Source: compiled from </w:t>
      </w:r>
      <w:r w:rsidRPr="00216A71">
        <w:rPr>
          <w:rFonts w:cstheme="minorHAnsi"/>
        </w:rPr>
        <w:t>TfL 2011, TfL 2014</w:t>
      </w:r>
    </w:p>
    <w:p w:rsidR="00A60076" w:rsidRPr="00216A71" w:rsidRDefault="00A60076" w:rsidP="00A60076">
      <w:pPr>
        <w:numPr>
          <w:ilvl w:val="0"/>
          <w:numId w:val="15"/>
        </w:numPr>
        <w:spacing w:before="240" w:after="60"/>
        <w:outlineLvl w:val="6"/>
        <w:rPr>
          <w:rFonts w:cstheme="minorHAnsi"/>
          <w:b/>
          <w:szCs w:val="20"/>
        </w:rPr>
      </w:pPr>
      <w:r w:rsidRPr="00216A71">
        <w:rPr>
          <w:rFonts w:cstheme="minorHAnsi"/>
          <w:b/>
          <w:szCs w:val="20"/>
        </w:rPr>
        <w:t>Lessons from London transport PPPs</w:t>
      </w:r>
    </w:p>
    <w:tbl>
      <w:tblPr>
        <w:tblStyle w:val="TableGrid"/>
        <w:tblW w:w="0" w:type="auto"/>
        <w:tblLook w:val="04A0" w:firstRow="1" w:lastRow="0" w:firstColumn="1" w:lastColumn="0" w:noHBand="0" w:noVBand="1"/>
      </w:tblPr>
      <w:tblGrid>
        <w:gridCol w:w="1550"/>
        <w:gridCol w:w="2036"/>
        <w:gridCol w:w="6268"/>
      </w:tblGrid>
      <w:tr w:rsidR="00A60076" w:rsidRPr="00216A71" w:rsidTr="00AF66B3">
        <w:tc>
          <w:tcPr>
            <w:tcW w:w="1285" w:type="dxa"/>
          </w:tcPr>
          <w:p w:rsidR="00A60076" w:rsidRPr="00216A71" w:rsidRDefault="00A60076" w:rsidP="00781FBC">
            <w:pPr>
              <w:numPr>
                <w:ilvl w:val="0"/>
                <w:numId w:val="46"/>
              </w:numPr>
              <w:rPr>
                <w:rFonts w:cstheme="minorHAnsi"/>
                <w:b/>
                <w:szCs w:val="20"/>
              </w:rPr>
            </w:pPr>
            <w:r w:rsidRPr="00216A71">
              <w:rPr>
                <w:rFonts w:cstheme="minorHAnsi"/>
                <w:b/>
                <w:szCs w:val="20"/>
              </w:rPr>
              <w:t xml:space="preserve">Public sector alternative </w:t>
            </w:r>
          </w:p>
        </w:tc>
        <w:tc>
          <w:tcPr>
            <w:tcW w:w="1954" w:type="dxa"/>
          </w:tcPr>
          <w:p w:rsidR="00A60076" w:rsidRPr="00216A71" w:rsidRDefault="00A60076" w:rsidP="00A60076">
            <w:pPr>
              <w:rPr>
                <w:rFonts w:cstheme="minorHAnsi"/>
                <w:szCs w:val="20"/>
              </w:rPr>
            </w:pPr>
            <w:r w:rsidRPr="00216A71">
              <w:rPr>
                <w:rFonts w:cstheme="minorHAnsi"/>
                <w:szCs w:val="20"/>
              </w:rPr>
              <w:t>Better public sector alternative was supported by elected politician</w:t>
            </w:r>
            <w:r w:rsidR="00747C89">
              <w:rPr>
                <w:rFonts w:cstheme="minorHAnsi"/>
                <w:szCs w:val="20"/>
              </w:rPr>
              <w:t>s</w:t>
            </w:r>
            <w:r w:rsidRPr="00216A71">
              <w:rPr>
                <w:rFonts w:cstheme="minorHAnsi"/>
                <w:szCs w:val="20"/>
              </w:rPr>
              <w:t xml:space="preserve"> but rejected in favour of PPP</w:t>
            </w:r>
          </w:p>
        </w:tc>
        <w:tc>
          <w:tcPr>
            <w:tcW w:w="6615" w:type="dxa"/>
          </w:tcPr>
          <w:p w:rsidR="00747C89" w:rsidRDefault="00A60076" w:rsidP="00A60076">
            <w:pPr>
              <w:rPr>
                <w:rFonts w:cstheme="minorHAnsi"/>
                <w:szCs w:val="20"/>
              </w:rPr>
            </w:pPr>
            <w:r w:rsidRPr="00216A71">
              <w:rPr>
                <w:rFonts w:cstheme="minorHAnsi"/>
                <w:szCs w:val="20"/>
              </w:rPr>
              <w:t>“</w:t>
            </w:r>
            <w:r w:rsidR="00747C89">
              <w:rPr>
                <w:rFonts w:cstheme="minorHAnsi"/>
                <w:szCs w:val="20"/>
              </w:rPr>
              <w:t>T</w:t>
            </w:r>
            <w:r w:rsidRPr="00216A71">
              <w:rPr>
                <w:rFonts w:cstheme="minorHAnsi"/>
                <w:szCs w:val="20"/>
              </w:rPr>
              <w:t>he first Mayor of London, Ken Livingstone, and his Transport Commissioner, Bob Kiley, championed an alternative method of raising money, via the issue of bonds secured against future fare revenues from London. This was rejected by the Treasury.”</w:t>
            </w:r>
            <w:r w:rsidRPr="00216A71">
              <w:rPr>
                <w:rFonts w:cstheme="minorHAnsi"/>
                <w:szCs w:val="20"/>
                <w:vertAlign w:val="superscript"/>
              </w:rPr>
              <w:endnoteReference w:id="192"/>
            </w:r>
            <w:r w:rsidR="004045AD">
              <w:rPr>
                <w:rFonts w:cstheme="minorHAnsi"/>
                <w:szCs w:val="20"/>
              </w:rPr>
              <w:t xml:space="preserve"> </w:t>
            </w:r>
          </w:p>
          <w:p w:rsidR="00A60076" w:rsidRPr="00216A71" w:rsidRDefault="00A60076" w:rsidP="00A60076">
            <w:pPr>
              <w:rPr>
                <w:rFonts w:cstheme="minorHAnsi"/>
                <w:szCs w:val="20"/>
              </w:rPr>
            </w:pPr>
            <w:r w:rsidRPr="00216A71">
              <w:rPr>
                <w:rFonts w:cstheme="minorHAnsi"/>
                <w:szCs w:val="20"/>
              </w:rPr>
              <w:t>“</w:t>
            </w:r>
            <w:r w:rsidRPr="00216A71">
              <w:rPr>
                <w:rFonts w:cstheme="minorHAnsi"/>
                <w:bCs/>
                <w:szCs w:val="20"/>
              </w:rPr>
              <w:t>In comparison [with Metronet], whatever the potential inefficiencies of the public sector, proper public scrutiny and the opportunity of meaningful control is likely to provide superior value for money</w:t>
            </w:r>
            <w:r w:rsidR="00747C89">
              <w:rPr>
                <w:rFonts w:cstheme="minorHAnsi"/>
                <w:bCs/>
                <w:szCs w:val="20"/>
              </w:rPr>
              <w:t>.”</w:t>
            </w:r>
            <w:r w:rsidR="004045AD">
              <w:rPr>
                <w:rFonts w:cstheme="minorHAnsi"/>
                <w:szCs w:val="20"/>
              </w:rPr>
              <w:t xml:space="preserve"> </w:t>
            </w:r>
            <w:r w:rsidRPr="00216A71">
              <w:rPr>
                <w:rFonts w:cstheme="minorHAnsi"/>
                <w:szCs w:val="20"/>
                <w:vertAlign w:val="superscript"/>
              </w:rPr>
              <w:endnoteReference w:id="193"/>
            </w:r>
          </w:p>
        </w:tc>
      </w:tr>
      <w:tr w:rsidR="00A60076" w:rsidRPr="00216A71" w:rsidTr="00AF66B3">
        <w:tc>
          <w:tcPr>
            <w:tcW w:w="1285" w:type="dxa"/>
          </w:tcPr>
          <w:p w:rsidR="00A60076" w:rsidRPr="00216A71" w:rsidRDefault="00A60076" w:rsidP="00781FBC">
            <w:pPr>
              <w:numPr>
                <w:ilvl w:val="0"/>
                <w:numId w:val="46"/>
              </w:numPr>
              <w:rPr>
                <w:rFonts w:cstheme="minorHAnsi"/>
                <w:b/>
                <w:szCs w:val="20"/>
              </w:rPr>
            </w:pPr>
            <w:r w:rsidRPr="00216A71">
              <w:rPr>
                <w:rFonts w:cstheme="minorHAnsi"/>
                <w:b/>
                <w:szCs w:val="20"/>
              </w:rPr>
              <w:t>Public borrowing is cheaper</w:t>
            </w:r>
          </w:p>
        </w:tc>
        <w:tc>
          <w:tcPr>
            <w:tcW w:w="1954" w:type="dxa"/>
          </w:tcPr>
          <w:p w:rsidR="00A60076" w:rsidRPr="00216A71" w:rsidRDefault="00A60076" w:rsidP="00A60076">
            <w:pPr>
              <w:rPr>
                <w:rFonts w:cstheme="minorHAnsi"/>
                <w:szCs w:val="20"/>
              </w:rPr>
            </w:pPr>
            <w:r w:rsidRPr="00216A71">
              <w:rPr>
                <w:rFonts w:cstheme="minorHAnsi"/>
                <w:szCs w:val="20"/>
              </w:rPr>
              <w:t>PPPs have now been replaced by public borrowing through bonds at much lower cost</w:t>
            </w:r>
          </w:p>
        </w:tc>
        <w:tc>
          <w:tcPr>
            <w:tcW w:w="6615" w:type="dxa"/>
          </w:tcPr>
          <w:p w:rsidR="00A60076" w:rsidRPr="00216A71" w:rsidRDefault="00A60076" w:rsidP="00747C89">
            <w:pPr>
              <w:rPr>
                <w:rFonts w:cstheme="minorHAnsi"/>
                <w:szCs w:val="20"/>
              </w:rPr>
            </w:pPr>
            <w:r w:rsidRPr="00216A71">
              <w:rPr>
                <w:rFonts w:cstheme="minorHAnsi"/>
                <w:szCs w:val="20"/>
              </w:rPr>
              <w:t>“</w:t>
            </w:r>
            <w:r w:rsidR="00747C89">
              <w:rPr>
                <w:rFonts w:cstheme="minorHAnsi"/>
                <w:szCs w:val="20"/>
              </w:rPr>
              <w:t>R</w:t>
            </w:r>
            <w:r w:rsidRPr="00216A71">
              <w:rPr>
                <w:rFonts w:cstheme="minorHAnsi"/>
                <w:szCs w:val="20"/>
              </w:rPr>
              <w:t>eplacing private borrowing with public sector borrowing will bring ongoing savings of up to GBP £250 million over the remaining life of the concessions.”</w:t>
            </w:r>
            <w:r w:rsidRPr="00216A71">
              <w:rPr>
                <w:rFonts w:cstheme="minorHAnsi"/>
                <w:szCs w:val="20"/>
                <w:vertAlign w:val="superscript"/>
              </w:rPr>
              <w:endnoteReference w:id="194"/>
            </w:r>
          </w:p>
        </w:tc>
      </w:tr>
      <w:tr w:rsidR="00A60076" w:rsidRPr="00216A71" w:rsidTr="00AF66B3">
        <w:tc>
          <w:tcPr>
            <w:tcW w:w="1285" w:type="dxa"/>
            <w:tcBorders>
              <w:bottom w:val="single" w:sz="4" w:space="0" w:color="auto"/>
            </w:tcBorders>
          </w:tcPr>
          <w:p w:rsidR="00A60076" w:rsidRPr="00216A71" w:rsidRDefault="00A60076" w:rsidP="00781FBC">
            <w:pPr>
              <w:numPr>
                <w:ilvl w:val="0"/>
                <w:numId w:val="46"/>
              </w:numPr>
              <w:rPr>
                <w:rFonts w:cstheme="minorHAnsi"/>
                <w:b/>
                <w:szCs w:val="20"/>
              </w:rPr>
            </w:pPr>
            <w:r w:rsidRPr="00216A71">
              <w:rPr>
                <w:rFonts w:cstheme="minorHAnsi"/>
                <w:b/>
                <w:szCs w:val="20"/>
              </w:rPr>
              <w:t xml:space="preserve">Government guarantee </w:t>
            </w:r>
          </w:p>
        </w:tc>
        <w:tc>
          <w:tcPr>
            <w:tcW w:w="1954" w:type="dxa"/>
            <w:tcBorders>
              <w:bottom w:val="single" w:sz="4" w:space="0" w:color="auto"/>
            </w:tcBorders>
          </w:tcPr>
          <w:p w:rsidR="00A60076" w:rsidRPr="00216A71" w:rsidRDefault="00A60076" w:rsidP="00A60076">
            <w:pPr>
              <w:rPr>
                <w:rFonts w:cstheme="minorHAnsi"/>
                <w:szCs w:val="20"/>
              </w:rPr>
            </w:pPr>
            <w:r w:rsidRPr="00216A71">
              <w:rPr>
                <w:rFonts w:cstheme="minorHAnsi"/>
                <w:szCs w:val="20"/>
              </w:rPr>
              <w:t>The bank loans raised by the PPPs were nearly all guaranteed by the government</w:t>
            </w:r>
          </w:p>
        </w:tc>
        <w:tc>
          <w:tcPr>
            <w:tcW w:w="6615" w:type="dxa"/>
            <w:tcBorders>
              <w:bottom w:val="single" w:sz="4" w:space="0" w:color="auto"/>
            </w:tcBorders>
          </w:tcPr>
          <w:p w:rsidR="00A60076" w:rsidRPr="00216A71" w:rsidRDefault="00A60076" w:rsidP="00747C89">
            <w:pPr>
              <w:rPr>
                <w:rFonts w:cstheme="minorHAnsi"/>
                <w:szCs w:val="20"/>
              </w:rPr>
            </w:pPr>
            <w:r w:rsidRPr="00216A71">
              <w:rPr>
                <w:rFonts w:cstheme="minorHAnsi"/>
                <w:szCs w:val="20"/>
              </w:rPr>
              <w:t>“</w:t>
            </w:r>
            <w:r w:rsidRPr="00216A71">
              <w:rPr>
                <w:rFonts w:cstheme="minorHAnsi"/>
                <w:bCs/>
                <w:szCs w:val="20"/>
              </w:rPr>
              <w:t>In terms of borrowing, the Metronet contract did nothing more than secure loans, 95</w:t>
            </w:r>
            <w:r w:rsidR="00A42FDE">
              <w:rPr>
                <w:rFonts w:cstheme="minorHAnsi"/>
                <w:bCs/>
                <w:szCs w:val="20"/>
              </w:rPr>
              <w:t xml:space="preserve"> per cent</w:t>
            </w:r>
            <w:r w:rsidRPr="00216A71">
              <w:rPr>
                <w:rFonts w:cstheme="minorHAnsi"/>
                <w:bCs/>
                <w:szCs w:val="20"/>
              </w:rPr>
              <w:t xml:space="preserve"> of which were in any case underwritten by the public purse, at an inflated cost— the worst of both possible worlds</w:t>
            </w:r>
            <w:r w:rsidR="00747C89">
              <w:rPr>
                <w:rFonts w:cstheme="minorHAnsi"/>
                <w:bCs/>
                <w:szCs w:val="20"/>
              </w:rPr>
              <w:t>.</w:t>
            </w:r>
            <w:r w:rsidRPr="00216A71">
              <w:rPr>
                <w:rFonts w:cstheme="minorHAnsi"/>
                <w:bCs/>
                <w:szCs w:val="20"/>
              </w:rPr>
              <w:t>”</w:t>
            </w:r>
            <w:r w:rsidRPr="00216A71">
              <w:rPr>
                <w:rFonts w:cstheme="minorHAnsi"/>
                <w:bCs/>
                <w:szCs w:val="20"/>
                <w:vertAlign w:val="superscript"/>
              </w:rPr>
              <w:endnoteReference w:id="195"/>
            </w:r>
          </w:p>
        </w:tc>
      </w:tr>
      <w:tr w:rsidR="00A60076" w:rsidRPr="00216A71" w:rsidTr="00AF66B3">
        <w:tc>
          <w:tcPr>
            <w:tcW w:w="1285" w:type="dxa"/>
          </w:tcPr>
          <w:p w:rsidR="00A60076" w:rsidRPr="00216A71" w:rsidRDefault="00A60076" w:rsidP="00781FBC">
            <w:pPr>
              <w:numPr>
                <w:ilvl w:val="0"/>
                <w:numId w:val="46"/>
              </w:numPr>
              <w:rPr>
                <w:rFonts w:cstheme="minorHAnsi"/>
                <w:b/>
                <w:szCs w:val="20"/>
              </w:rPr>
            </w:pPr>
            <w:r w:rsidRPr="00216A71">
              <w:rPr>
                <w:rFonts w:cstheme="minorHAnsi"/>
                <w:b/>
                <w:szCs w:val="20"/>
              </w:rPr>
              <w:t>Forecast cost savings from PPP</w:t>
            </w:r>
          </w:p>
        </w:tc>
        <w:tc>
          <w:tcPr>
            <w:tcW w:w="1954" w:type="dxa"/>
          </w:tcPr>
          <w:p w:rsidR="00A60076" w:rsidRPr="00216A71" w:rsidRDefault="00A60076" w:rsidP="00A60076">
            <w:pPr>
              <w:rPr>
                <w:rFonts w:cstheme="minorHAnsi"/>
                <w:szCs w:val="20"/>
                <w:lang w:val="en-US"/>
              </w:rPr>
            </w:pPr>
            <w:r w:rsidRPr="00216A71">
              <w:rPr>
                <w:rFonts w:cstheme="minorHAnsi"/>
                <w:szCs w:val="20"/>
              </w:rPr>
              <w:t>Consultant (PWC) forecast of savings was horribly wrong</w:t>
            </w:r>
          </w:p>
        </w:tc>
        <w:tc>
          <w:tcPr>
            <w:tcW w:w="6615" w:type="dxa"/>
          </w:tcPr>
          <w:p w:rsidR="00A60076" w:rsidRPr="00216A71" w:rsidRDefault="00A60076" w:rsidP="00A60076">
            <w:pPr>
              <w:rPr>
                <w:rFonts w:cstheme="minorHAnsi"/>
                <w:szCs w:val="20"/>
                <w:lang w:val="en-US"/>
              </w:rPr>
            </w:pPr>
            <w:r w:rsidRPr="00216A71">
              <w:rPr>
                <w:rFonts w:cstheme="minorHAnsi"/>
                <w:szCs w:val="20"/>
                <w:lang w:val="en-US"/>
              </w:rPr>
              <w:t>“</w:t>
            </w:r>
            <w:r w:rsidRPr="00216A71">
              <w:rPr>
                <w:rFonts w:cstheme="minorHAnsi"/>
                <w:szCs w:val="20"/>
              </w:rPr>
              <w:t>As the partnership was being put together, PricewaterhouseCoopers, a consultancy, predicted that the private sector could extract savings of up to 30</w:t>
            </w:r>
            <w:r w:rsidR="00A42FDE">
              <w:rPr>
                <w:rFonts w:cstheme="minorHAnsi"/>
                <w:szCs w:val="20"/>
              </w:rPr>
              <w:t xml:space="preserve"> per cent</w:t>
            </w:r>
            <w:r w:rsidRPr="00216A71">
              <w:rPr>
                <w:rFonts w:cstheme="minorHAnsi"/>
                <w:szCs w:val="20"/>
              </w:rPr>
              <w:t>, a figure that informed the entire project. But the consultancy published no adequate evidential basis for that figure.”</w:t>
            </w:r>
            <w:r w:rsidRPr="00216A71">
              <w:rPr>
                <w:rFonts w:cstheme="minorHAnsi"/>
                <w:szCs w:val="20"/>
                <w:vertAlign w:val="superscript"/>
              </w:rPr>
              <w:endnoteReference w:id="196"/>
            </w:r>
          </w:p>
        </w:tc>
      </w:tr>
      <w:tr w:rsidR="00A60076" w:rsidRPr="00216A71" w:rsidTr="00AF66B3">
        <w:tc>
          <w:tcPr>
            <w:tcW w:w="1285" w:type="dxa"/>
          </w:tcPr>
          <w:p w:rsidR="00A60076" w:rsidRPr="00216A71" w:rsidRDefault="00A60076" w:rsidP="00781FBC">
            <w:pPr>
              <w:numPr>
                <w:ilvl w:val="0"/>
                <w:numId w:val="46"/>
              </w:numPr>
              <w:rPr>
                <w:rFonts w:cstheme="minorHAnsi"/>
                <w:b/>
                <w:szCs w:val="20"/>
              </w:rPr>
            </w:pPr>
            <w:r w:rsidRPr="00216A71">
              <w:rPr>
                <w:rFonts w:cstheme="minorHAnsi"/>
                <w:b/>
                <w:szCs w:val="20"/>
              </w:rPr>
              <w:t>Operating efficiency</w:t>
            </w:r>
          </w:p>
        </w:tc>
        <w:tc>
          <w:tcPr>
            <w:tcW w:w="1954" w:type="dxa"/>
          </w:tcPr>
          <w:p w:rsidR="00A60076" w:rsidRPr="00216A71" w:rsidRDefault="00A60076" w:rsidP="00A60076">
            <w:pPr>
              <w:rPr>
                <w:rFonts w:cstheme="minorHAnsi"/>
                <w:szCs w:val="20"/>
              </w:rPr>
            </w:pPr>
            <w:r w:rsidRPr="00216A71">
              <w:rPr>
                <w:rFonts w:cstheme="minorHAnsi"/>
                <w:szCs w:val="20"/>
              </w:rPr>
              <w:t>Private companies did not contain costs and relied on state subsidies</w:t>
            </w:r>
          </w:p>
        </w:tc>
        <w:tc>
          <w:tcPr>
            <w:tcW w:w="6615" w:type="dxa"/>
          </w:tcPr>
          <w:p w:rsidR="00747C89" w:rsidRDefault="00A60076" w:rsidP="00747C89">
            <w:pPr>
              <w:rPr>
                <w:rFonts w:cstheme="minorHAnsi"/>
                <w:szCs w:val="20"/>
              </w:rPr>
            </w:pPr>
            <w:r w:rsidRPr="00216A71">
              <w:rPr>
                <w:rFonts w:cstheme="minorHAnsi"/>
                <w:szCs w:val="20"/>
              </w:rPr>
              <w:t>“</w:t>
            </w:r>
            <w:r w:rsidRPr="00216A71">
              <w:rPr>
                <w:rFonts w:cstheme="minorHAnsi"/>
                <w:bCs/>
                <w:szCs w:val="20"/>
              </w:rPr>
              <w:t>Metronet’s inability to operate efficiently or economically proves that the private sector can fail to deliver on a spectacular scale…</w:t>
            </w:r>
            <w:r w:rsidR="00747C89">
              <w:rPr>
                <w:rFonts w:cstheme="minorHAnsi"/>
                <w:bCs/>
                <w:szCs w:val="20"/>
              </w:rPr>
              <w:t>.</w:t>
            </w:r>
            <w:r w:rsidRPr="00216A71">
              <w:rPr>
                <w:rFonts w:cstheme="minorHAnsi"/>
                <w:bCs/>
                <w:szCs w:val="20"/>
              </w:rPr>
              <w:t>”</w:t>
            </w:r>
            <w:r w:rsidRPr="00216A71">
              <w:rPr>
                <w:rFonts w:cstheme="minorHAnsi"/>
                <w:szCs w:val="20"/>
                <w:vertAlign w:val="superscript"/>
              </w:rPr>
              <w:endnoteReference w:id="197"/>
            </w:r>
          </w:p>
          <w:p w:rsidR="00A60076" w:rsidRPr="00216A71" w:rsidRDefault="00A60076" w:rsidP="00747C89">
            <w:pPr>
              <w:rPr>
                <w:rFonts w:cstheme="minorHAnsi"/>
                <w:szCs w:val="20"/>
                <w:lang w:val="en-US"/>
              </w:rPr>
            </w:pPr>
            <w:r w:rsidRPr="00216A71">
              <w:rPr>
                <w:rFonts w:cstheme="minorHAnsi"/>
                <w:szCs w:val="20"/>
                <w:lang w:val="en-US"/>
              </w:rPr>
              <w:t>“</w:t>
            </w:r>
            <w:r w:rsidRPr="00216A71">
              <w:rPr>
                <w:rFonts w:cstheme="minorHAnsi"/>
                <w:szCs w:val="20"/>
              </w:rPr>
              <w:t>The legacy left by Metronet’s former shareholders was one of poor programme management and system integration, ineffective cost control, a lack of forward planning and inefficient fiscal management.”</w:t>
            </w:r>
            <w:r w:rsidRPr="00216A71">
              <w:rPr>
                <w:rFonts w:cstheme="minorHAnsi"/>
                <w:szCs w:val="20"/>
                <w:vertAlign w:val="superscript"/>
              </w:rPr>
              <w:endnoteReference w:id="198"/>
            </w:r>
          </w:p>
        </w:tc>
      </w:tr>
      <w:tr w:rsidR="00A60076" w:rsidRPr="00216A71" w:rsidTr="00AF66B3">
        <w:tc>
          <w:tcPr>
            <w:tcW w:w="1285" w:type="dxa"/>
          </w:tcPr>
          <w:p w:rsidR="00A60076" w:rsidRPr="00216A71" w:rsidRDefault="00A60076" w:rsidP="00781FBC">
            <w:pPr>
              <w:numPr>
                <w:ilvl w:val="0"/>
                <w:numId w:val="46"/>
              </w:numPr>
              <w:rPr>
                <w:rFonts w:cstheme="minorHAnsi"/>
                <w:b/>
                <w:szCs w:val="20"/>
              </w:rPr>
            </w:pPr>
            <w:r w:rsidRPr="00216A71">
              <w:rPr>
                <w:rFonts w:cstheme="minorHAnsi"/>
                <w:b/>
                <w:szCs w:val="20"/>
              </w:rPr>
              <w:t>Competition</w:t>
            </w:r>
          </w:p>
        </w:tc>
        <w:tc>
          <w:tcPr>
            <w:tcW w:w="1954" w:type="dxa"/>
          </w:tcPr>
          <w:p w:rsidR="00A60076" w:rsidRPr="00216A71" w:rsidRDefault="00A60076" w:rsidP="00A60076">
            <w:pPr>
              <w:rPr>
                <w:rFonts w:cstheme="minorHAnsi"/>
                <w:szCs w:val="20"/>
              </w:rPr>
            </w:pPr>
            <w:r w:rsidRPr="00216A71">
              <w:rPr>
                <w:rFonts w:cstheme="minorHAnsi"/>
                <w:szCs w:val="20"/>
              </w:rPr>
              <w:t>PPP companies favour themselves when awarding sub-contracts</w:t>
            </w:r>
          </w:p>
        </w:tc>
        <w:tc>
          <w:tcPr>
            <w:tcW w:w="6615" w:type="dxa"/>
          </w:tcPr>
          <w:p w:rsidR="00A60076" w:rsidRPr="00216A71" w:rsidRDefault="00A60076" w:rsidP="00A60076">
            <w:pPr>
              <w:rPr>
                <w:rFonts w:cstheme="minorHAnsi"/>
                <w:szCs w:val="20"/>
              </w:rPr>
            </w:pPr>
            <w:r w:rsidRPr="00216A71">
              <w:rPr>
                <w:rFonts w:cstheme="minorHAnsi"/>
                <w:szCs w:val="20"/>
              </w:rPr>
              <w:t>“</w:t>
            </w:r>
            <w:r w:rsidR="00747C89">
              <w:rPr>
                <w:rFonts w:cstheme="minorHAnsi"/>
                <w:szCs w:val="20"/>
              </w:rPr>
              <w:t>S</w:t>
            </w:r>
            <w:r w:rsidRPr="00216A71">
              <w:rPr>
                <w:rFonts w:cstheme="minorHAnsi"/>
                <w:szCs w:val="20"/>
              </w:rPr>
              <w:t>ignificant savings have been made through procurement and maintenance efficiencies, namely the re-procurement of maintenance outsourcing…</w:t>
            </w:r>
            <w:r w:rsidR="00747C89">
              <w:rPr>
                <w:rFonts w:cstheme="minorHAnsi"/>
                <w:szCs w:val="20"/>
              </w:rPr>
              <w:t>.</w:t>
            </w:r>
          </w:p>
          <w:p w:rsidR="00A60076" w:rsidRPr="00216A71" w:rsidRDefault="00747C89" w:rsidP="00747C89">
            <w:pPr>
              <w:rPr>
                <w:rFonts w:cstheme="minorHAnsi"/>
                <w:szCs w:val="20"/>
              </w:rPr>
            </w:pPr>
            <w:r>
              <w:rPr>
                <w:rFonts w:cstheme="minorHAnsi"/>
                <w:szCs w:val="20"/>
              </w:rPr>
              <w:t>“</w:t>
            </w:r>
            <w:r w:rsidR="00A60076" w:rsidRPr="00216A71">
              <w:rPr>
                <w:rFonts w:cstheme="minorHAnsi"/>
                <w:szCs w:val="20"/>
              </w:rPr>
              <w:t xml:space="preserve">The review and revision of supply chain contracts with the </w:t>
            </w:r>
            <w:r w:rsidR="00A60076" w:rsidRPr="00216A71">
              <w:rPr>
                <w:rFonts w:cstheme="minorHAnsi"/>
                <w:szCs w:val="20"/>
              </w:rPr>
              <w:lastRenderedPageBreak/>
              <w:t>previous shareholders</w:t>
            </w:r>
            <w:r>
              <w:rPr>
                <w:rFonts w:cstheme="minorHAnsi"/>
                <w:szCs w:val="20"/>
              </w:rPr>
              <w:t>…</w:t>
            </w:r>
            <w:r w:rsidR="00A60076" w:rsidRPr="00216A71">
              <w:rPr>
                <w:rFonts w:cstheme="minorHAnsi"/>
                <w:szCs w:val="20"/>
              </w:rPr>
              <w:t xml:space="preserve"> led to an estimated saving of £0.5</w:t>
            </w:r>
            <w:r>
              <w:rPr>
                <w:rFonts w:cstheme="minorHAnsi"/>
                <w:szCs w:val="20"/>
              </w:rPr>
              <w:t xml:space="preserve"> </w:t>
            </w:r>
            <w:r w:rsidR="00A60076" w:rsidRPr="00216A71">
              <w:rPr>
                <w:rFonts w:cstheme="minorHAnsi"/>
                <w:szCs w:val="20"/>
              </w:rPr>
              <w:t>b</w:t>
            </w:r>
            <w:r>
              <w:rPr>
                <w:rFonts w:cstheme="minorHAnsi"/>
                <w:szCs w:val="20"/>
              </w:rPr>
              <w:t>illio</w:t>
            </w:r>
            <w:r w:rsidR="00A60076" w:rsidRPr="00216A71">
              <w:rPr>
                <w:rFonts w:cstheme="minorHAnsi"/>
                <w:szCs w:val="20"/>
              </w:rPr>
              <w:t>n.”</w:t>
            </w:r>
            <w:r w:rsidR="00A60076" w:rsidRPr="00216A71">
              <w:rPr>
                <w:rFonts w:cstheme="minorHAnsi"/>
                <w:szCs w:val="20"/>
                <w:vertAlign w:val="superscript"/>
              </w:rPr>
              <w:endnoteReference w:id="199"/>
            </w:r>
          </w:p>
        </w:tc>
      </w:tr>
      <w:tr w:rsidR="00A60076" w:rsidRPr="00216A71" w:rsidTr="00AF66B3">
        <w:tc>
          <w:tcPr>
            <w:tcW w:w="1285" w:type="dxa"/>
          </w:tcPr>
          <w:p w:rsidR="00A60076" w:rsidRPr="00216A71" w:rsidRDefault="00A60076" w:rsidP="00781FBC">
            <w:pPr>
              <w:numPr>
                <w:ilvl w:val="0"/>
                <w:numId w:val="46"/>
              </w:numPr>
              <w:rPr>
                <w:rFonts w:cstheme="minorHAnsi"/>
                <w:b/>
                <w:szCs w:val="20"/>
              </w:rPr>
            </w:pPr>
            <w:r w:rsidRPr="00216A71">
              <w:rPr>
                <w:rFonts w:cstheme="minorHAnsi"/>
                <w:b/>
                <w:szCs w:val="20"/>
              </w:rPr>
              <w:lastRenderedPageBreak/>
              <w:t>Incomplete contracts</w:t>
            </w:r>
          </w:p>
        </w:tc>
        <w:tc>
          <w:tcPr>
            <w:tcW w:w="1954" w:type="dxa"/>
          </w:tcPr>
          <w:p w:rsidR="00A60076" w:rsidRPr="00216A71" w:rsidRDefault="00A60076" w:rsidP="00A60076">
            <w:pPr>
              <w:rPr>
                <w:rFonts w:cstheme="minorHAnsi"/>
                <w:szCs w:val="20"/>
              </w:rPr>
            </w:pPr>
            <w:r w:rsidRPr="00216A71">
              <w:rPr>
                <w:rFonts w:cstheme="minorHAnsi"/>
                <w:szCs w:val="20"/>
              </w:rPr>
              <w:t xml:space="preserve">Long-term contracts in PPPs for operation, maintenance and services are inflexible </w:t>
            </w:r>
          </w:p>
        </w:tc>
        <w:tc>
          <w:tcPr>
            <w:tcW w:w="6615" w:type="dxa"/>
          </w:tcPr>
          <w:p w:rsidR="00A60076" w:rsidRPr="00216A71" w:rsidRDefault="00A60076" w:rsidP="005A2E06">
            <w:pPr>
              <w:rPr>
                <w:rFonts w:cstheme="minorHAnsi"/>
                <w:szCs w:val="20"/>
              </w:rPr>
            </w:pPr>
            <w:r w:rsidRPr="00216A71">
              <w:rPr>
                <w:rFonts w:cstheme="minorHAnsi"/>
                <w:szCs w:val="20"/>
              </w:rPr>
              <w:t>“PFIs are the least flexible form of contract, in many cases binding both client and contractor to a series of outputs that have diminishing desirability and/or affordability, with much less scope to negotiate change than under other forms of contract.”</w:t>
            </w:r>
            <w:r w:rsidR="004045AD">
              <w:rPr>
                <w:rFonts w:cstheme="minorHAnsi"/>
                <w:szCs w:val="20"/>
              </w:rPr>
              <w:t xml:space="preserve"> </w:t>
            </w:r>
            <w:r w:rsidRPr="00216A71">
              <w:rPr>
                <w:rFonts w:cstheme="minorHAnsi"/>
                <w:szCs w:val="20"/>
                <w:vertAlign w:val="superscript"/>
              </w:rPr>
              <w:endnoteReference w:id="200"/>
            </w:r>
          </w:p>
        </w:tc>
      </w:tr>
      <w:tr w:rsidR="00A60076" w:rsidRPr="00216A71" w:rsidTr="00AF66B3">
        <w:tc>
          <w:tcPr>
            <w:tcW w:w="0" w:type="auto"/>
          </w:tcPr>
          <w:p w:rsidR="00A60076" w:rsidRPr="00216A71" w:rsidRDefault="00A60076" w:rsidP="00781FBC">
            <w:pPr>
              <w:numPr>
                <w:ilvl w:val="0"/>
                <w:numId w:val="46"/>
              </w:numPr>
              <w:rPr>
                <w:rFonts w:cstheme="minorHAnsi"/>
                <w:b/>
                <w:szCs w:val="20"/>
              </w:rPr>
            </w:pPr>
            <w:r w:rsidRPr="00216A71">
              <w:rPr>
                <w:rFonts w:cstheme="minorHAnsi"/>
                <w:b/>
                <w:szCs w:val="20"/>
              </w:rPr>
              <w:t>Risk transfer</w:t>
            </w:r>
          </w:p>
          <w:p w:rsidR="00A60076" w:rsidRPr="00216A71" w:rsidRDefault="00A60076" w:rsidP="00A60076">
            <w:pPr>
              <w:rPr>
                <w:rFonts w:cstheme="minorHAnsi"/>
                <w:b/>
                <w:szCs w:val="20"/>
              </w:rPr>
            </w:pPr>
          </w:p>
        </w:tc>
        <w:tc>
          <w:tcPr>
            <w:tcW w:w="0" w:type="auto"/>
          </w:tcPr>
          <w:p w:rsidR="00A60076" w:rsidRPr="00216A71" w:rsidRDefault="00A60076" w:rsidP="00A60076">
            <w:pPr>
              <w:rPr>
                <w:rFonts w:cstheme="minorHAnsi"/>
                <w:szCs w:val="20"/>
              </w:rPr>
            </w:pPr>
            <w:r w:rsidRPr="00216A71">
              <w:rPr>
                <w:rFonts w:cstheme="minorHAnsi"/>
                <w:szCs w:val="20"/>
              </w:rPr>
              <w:t>Like other PPPs, these were said to ‘transfer risk’ to the private sector</w:t>
            </w:r>
          </w:p>
        </w:tc>
        <w:tc>
          <w:tcPr>
            <w:tcW w:w="0" w:type="auto"/>
          </w:tcPr>
          <w:p w:rsidR="00747C89" w:rsidRDefault="00A60076" w:rsidP="00747C89">
            <w:pPr>
              <w:rPr>
                <w:rFonts w:cstheme="minorHAnsi"/>
                <w:bCs/>
                <w:szCs w:val="20"/>
              </w:rPr>
            </w:pPr>
            <w:r w:rsidRPr="00216A71">
              <w:rPr>
                <w:rFonts w:cstheme="minorHAnsi"/>
                <w:bCs/>
                <w:szCs w:val="20"/>
              </w:rPr>
              <w:t>“Given that public authorities are typically procuring essential infrastructure, they will need to step in if a PFI contractor fails. Thus risks cannot be truly said to be "transferred"…</w:t>
            </w:r>
            <w:r w:rsidRPr="00216A71">
              <w:rPr>
                <w:rFonts w:cstheme="minorHAnsi"/>
                <w:szCs w:val="20"/>
              </w:rPr>
              <w:t xml:space="preserve"> </w:t>
            </w:r>
            <w:r w:rsidRPr="00216A71">
              <w:rPr>
                <w:rFonts w:cstheme="minorHAnsi"/>
                <w:bCs/>
                <w:szCs w:val="20"/>
              </w:rPr>
              <w:t>risk can be fully transferred only if the procuring authority could abandon a failing PFI concession, which is unlikely ever to be the case</w:t>
            </w:r>
            <w:r w:rsidR="00747C89">
              <w:rPr>
                <w:rFonts w:cstheme="minorHAnsi"/>
                <w:bCs/>
                <w:szCs w:val="20"/>
              </w:rPr>
              <w:t>…</w:t>
            </w:r>
            <w:r w:rsidRPr="00216A71">
              <w:rPr>
                <w:rFonts w:cstheme="minorHAnsi"/>
                <w:bCs/>
                <w:szCs w:val="20"/>
              </w:rPr>
              <w:t xml:space="preserve">. </w:t>
            </w:r>
            <w:r w:rsidR="00747C89">
              <w:rPr>
                <w:rFonts w:cstheme="minorHAnsi"/>
                <w:bCs/>
                <w:szCs w:val="20"/>
              </w:rPr>
              <w:t>T</w:t>
            </w:r>
            <w:r w:rsidRPr="00216A71">
              <w:rPr>
                <w:rFonts w:cstheme="minorHAnsi"/>
                <w:bCs/>
                <w:szCs w:val="20"/>
              </w:rPr>
              <w:t>he private sector is willing to bear significant risk only if it is paid enough.</w:t>
            </w:r>
            <w:r w:rsidRPr="00216A71">
              <w:rPr>
                <w:rFonts w:cstheme="minorHAnsi"/>
                <w:bCs/>
                <w:szCs w:val="20"/>
                <w:vertAlign w:val="superscript"/>
              </w:rPr>
              <w:endnoteReference w:id="201"/>
            </w:r>
            <w:r w:rsidRPr="00216A71">
              <w:rPr>
                <w:rFonts w:cstheme="minorHAnsi"/>
                <w:bCs/>
                <w:szCs w:val="20"/>
              </w:rPr>
              <w:t xml:space="preserve"> </w:t>
            </w:r>
          </w:p>
          <w:p w:rsidR="00A60076" w:rsidRPr="00216A71" w:rsidRDefault="00A60076" w:rsidP="00747C89">
            <w:pPr>
              <w:rPr>
                <w:rFonts w:cstheme="minorHAnsi"/>
                <w:bCs/>
                <w:szCs w:val="20"/>
              </w:rPr>
            </w:pPr>
            <w:r w:rsidRPr="00216A71">
              <w:rPr>
                <w:rFonts w:cstheme="minorHAnsi"/>
                <w:bCs/>
                <w:szCs w:val="20"/>
              </w:rPr>
              <w:t>“</w:t>
            </w:r>
            <w:r w:rsidR="00747C89">
              <w:rPr>
                <w:rFonts w:cstheme="minorHAnsi"/>
                <w:bCs/>
                <w:szCs w:val="20"/>
              </w:rPr>
              <w:t>I</w:t>
            </w:r>
            <w:r w:rsidRPr="00216A71">
              <w:rPr>
                <w:rFonts w:cstheme="minorHAnsi"/>
                <w:bCs/>
                <w:szCs w:val="20"/>
              </w:rPr>
              <w:t xml:space="preserve">t is difficult to lend any credence to the assertion that the Metronet PPP contracts were effective in transferring risk from the public to the private sector. In fact, the reverse is the case.” </w:t>
            </w:r>
            <w:r w:rsidRPr="00216A71">
              <w:rPr>
                <w:rFonts w:cstheme="minorHAnsi"/>
                <w:bCs/>
                <w:szCs w:val="20"/>
                <w:vertAlign w:val="superscript"/>
              </w:rPr>
              <w:endnoteReference w:id="202"/>
            </w:r>
            <w:r w:rsidRPr="00216A71">
              <w:rPr>
                <w:rFonts w:cstheme="minorHAnsi"/>
                <w:bCs/>
                <w:szCs w:val="20"/>
              </w:rPr>
              <w:t xml:space="preserve"> </w:t>
            </w:r>
          </w:p>
        </w:tc>
      </w:tr>
      <w:tr w:rsidR="00A60076" w:rsidRPr="00216A71" w:rsidTr="00AF66B3">
        <w:tc>
          <w:tcPr>
            <w:tcW w:w="1285" w:type="dxa"/>
          </w:tcPr>
          <w:p w:rsidR="00A60076" w:rsidRPr="00216A71" w:rsidRDefault="00A60076" w:rsidP="00781FBC">
            <w:pPr>
              <w:numPr>
                <w:ilvl w:val="0"/>
                <w:numId w:val="46"/>
              </w:numPr>
              <w:rPr>
                <w:rFonts w:cstheme="minorHAnsi"/>
                <w:b/>
                <w:szCs w:val="20"/>
              </w:rPr>
            </w:pPr>
            <w:r w:rsidRPr="00216A71">
              <w:rPr>
                <w:rFonts w:cstheme="minorHAnsi"/>
                <w:b/>
                <w:szCs w:val="20"/>
              </w:rPr>
              <w:t>Transaction costs</w:t>
            </w:r>
          </w:p>
        </w:tc>
        <w:tc>
          <w:tcPr>
            <w:tcW w:w="1954" w:type="dxa"/>
          </w:tcPr>
          <w:p w:rsidR="00A60076" w:rsidRPr="00216A71" w:rsidRDefault="00A60076" w:rsidP="00A60076">
            <w:pPr>
              <w:rPr>
                <w:rFonts w:cstheme="minorHAnsi"/>
                <w:szCs w:val="20"/>
              </w:rPr>
            </w:pPr>
            <w:r w:rsidRPr="00216A71">
              <w:rPr>
                <w:rFonts w:cstheme="minorHAnsi"/>
                <w:szCs w:val="20"/>
              </w:rPr>
              <w:t>Tendering, monitoring and managing contracts creates additional transaction costs</w:t>
            </w:r>
          </w:p>
        </w:tc>
        <w:tc>
          <w:tcPr>
            <w:tcW w:w="6615" w:type="dxa"/>
          </w:tcPr>
          <w:p w:rsidR="00747C89" w:rsidRDefault="00A60076" w:rsidP="00A60076">
            <w:pPr>
              <w:rPr>
                <w:rFonts w:cstheme="minorHAnsi"/>
                <w:szCs w:val="20"/>
              </w:rPr>
            </w:pPr>
            <w:r w:rsidRPr="00216A71">
              <w:rPr>
                <w:rFonts w:cstheme="minorHAnsi"/>
                <w:szCs w:val="20"/>
              </w:rPr>
              <w:t>“The removal of the need for contractual [management]….and elimination of duplication between LU and Metronet that was inherent in the PPP structure…full integration of back office and support functions activities …[and] procurement and maintenance productivities will enable a cost reduction of £1</w:t>
            </w:r>
            <w:r w:rsidR="00747C89">
              <w:rPr>
                <w:rFonts w:cstheme="minorHAnsi"/>
                <w:szCs w:val="20"/>
              </w:rPr>
              <w:t xml:space="preserve"> </w:t>
            </w:r>
            <w:r w:rsidRPr="00216A71">
              <w:rPr>
                <w:rFonts w:cstheme="minorHAnsi"/>
                <w:szCs w:val="20"/>
              </w:rPr>
              <w:t xml:space="preserve">billion” </w:t>
            </w:r>
            <w:r w:rsidRPr="00216A71">
              <w:rPr>
                <w:rFonts w:cstheme="minorHAnsi"/>
                <w:szCs w:val="20"/>
                <w:vertAlign w:val="superscript"/>
              </w:rPr>
              <w:endnoteReference w:id="203"/>
            </w:r>
            <w:r w:rsidR="004045AD">
              <w:rPr>
                <w:rFonts w:cstheme="minorHAnsi"/>
                <w:szCs w:val="20"/>
              </w:rPr>
              <w:t xml:space="preserve"> </w:t>
            </w:r>
          </w:p>
          <w:p w:rsidR="00A60076" w:rsidRPr="00216A71" w:rsidRDefault="00A60076" w:rsidP="00747C89">
            <w:pPr>
              <w:rPr>
                <w:rFonts w:cstheme="minorHAnsi"/>
                <w:szCs w:val="20"/>
              </w:rPr>
            </w:pPr>
            <w:r w:rsidRPr="00216A71">
              <w:rPr>
                <w:rFonts w:cstheme="minorHAnsi"/>
                <w:szCs w:val="20"/>
              </w:rPr>
              <w:t>“</w:t>
            </w:r>
            <w:r w:rsidR="00747C89">
              <w:rPr>
                <w:rFonts w:cstheme="minorHAnsi"/>
                <w:szCs w:val="20"/>
              </w:rPr>
              <w:t>T</w:t>
            </w:r>
            <w:r w:rsidRPr="00216A71">
              <w:rPr>
                <w:rFonts w:cstheme="minorHAnsi"/>
                <w:szCs w:val="20"/>
              </w:rPr>
              <w:t>he lawyers involved in the PPPs raked in £400</w:t>
            </w:r>
            <w:r w:rsidR="00747C89">
              <w:rPr>
                <w:rFonts w:cstheme="minorHAnsi"/>
                <w:szCs w:val="20"/>
              </w:rPr>
              <w:t xml:space="preserve"> </w:t>
            </w:r>
            <w:r w:rsidRPr="00216A71">
              <w:rPr>
                <w:rFonts w:cstheme="minorHAnsi"/>
                <w:szCs w:val="20"/>
              </w:rPr>
              <w:t>m</w:t>
            </w:r>
            <w:r w:rsidR="00747C89">
              <w:rPr>
                <w:rFonts w:cstheme="minorHAnsi"/>
                <w:szCs w:val="20"/>
              </w:rPr>
              <w:t>illion</w:t>
            </w:r>
            <w:r w:rsidRPr="00216A71">
              <w:rPr>
                <w:rFonts w:cstheme="minorHAnsi"/>
                <w:szCs w:val="20"/>
              </w:rPr>
              <w:t xml:space="preserve"> in fees over the course of the contracts.”</w:t>
            </w:r>
            <w:r w:rsidRPr="00216A71">
              <w:rPr>
                <w:rFonts w:cstheme="minorHAnsi"/>
                <w:szCs w:val="20"/>
                <w:vertAlign w:val="superscript"/>
              </w:rPr>
              <w:endnoteReference w:id="204"/>
            </w:r>
          </w:p>
        </w:tc>
      </w:tr>
    </w:tbl>
    <w:p w:rsidR="00A60076" w:rsidRPr="00216A71" w:rsidRDefault="00A60076" w:rsidP="000C77D5">
      <w:pPr>
        <w:pStyle w:val="Heading2"/>
        <w:rPr>
          <w:rFonts w:asciiTheme="minorHAnsi" w:hAnsiTheme="minorHAnsi" w:cstheme="minorHAnsi"/>
          <w:szCs w:val="20"/>
        </w:rPr>
      </w:pPr>
      <w:bookmarkStart w:id="201" w:name="_Toc392857552"/>
      <w:r w:rsidRPr="00216A71">
        <w:rPr>
          <w:rFonts w:asciiTheme="minorHAnsi" w:hAnsiTheme="minorHAnsi" w:cstheme="minorHAnsi"/>
          <w:szCs w:val="20"/>
        </w:rPr>
        <w:t>Case study: PPPs in India</w:t>
      </w:r>
      <w:bookmarkEnd w:id="201"/>
    </w:p>
    <w:p w:rsidR="000C629A" w:rsidRDefault="00A60076" w:rsidP="00A60076">
      <w:pPr>
        <w:rPr>
          <w:rFonts w:cstheme="minorHAnsi"/>
          <w:szCs w:val="20"/>
        </w:rPr>
      </w:pPr>
      <w:r w:rsidRPr="00216A71">
        <w:rPr>
          <w:rFonts w:cstheme="minorHAnsi"/>
          <w:szCs w:val="20"/>
        </w:rPr>
        <w:t>India has the greatest number of PPPs of any developing country, in a range of sectors. By the end of 2012 there were 758 PPP projects under way or complete, worth $70 billion.</w:t>
      </w:r>
      <w:r w:rsidR="004045AD">
        <w:rPr>
          <w:rFonts w:cstheme="minorHAnsi"/>
          <w:szCs w:val="20"/>
        </w:rPr>
        <w:t xml:space="preserve"> </w:t>
      </w:r>
      <w:r w:rsidRPr="00216A71">
        <w:rPr>
          <w:rFonts w:cstheme="minorHAnsi"/>
          <w:szCs w:val="20"/>
        </w:rPr>
        <w:t>But the record of performance and sustainability is already bad in a number of sectors. Even the Economist magazine gave a damning assessment of the reality:</w:t>
      </w:r>
      <w:r w:rsidRPr="00216A71">
        <w:rPr>
          <w:rFonts w:cstheme="minorHAnsi"/>
          <w:szCs w:val="20"/>
          <w:vertAlign w:val="superscript"/>
        </w:rPr>
        <w:t xml:space="preserve"> </w:t>
      </w:r>
      <w:r w:rsidRPr="00216A71">
        <w:rPr>
          <w:rFonts w:cstheme="minorHAnsi"/>
          <w:szCs w:val="20"/>
          <w:vertAlign w:val="superscript"/>
        </w:rPr>
        <w:endnoteReference w:id="205"/>
      </w:r>
    </w:p>
    <w:p w:rsidR="000C629A" w:rsidRDefault="00A60076" w:rsidP="00A60076">
      <w:pPr>
        <w:ind w:left="720"/>
        <w:rPr>
          <w:rFonts w:cstheme="minorHAnsi"/>
          <w:szCs w:val="20"/>
        </w:rPr>
      </w:pPr>
      <w:r w:rsidRPr="00216A71">
        <w:rPr>
          <w:rFonts w:cstheme="minorHAnsi"/>
          <w:szCs w:val="20"/>
        </w:rPr>
        <w:t>“That smart new airport in Delhi is losing money. Related property deals were criticised by an anti-graft agency in August. The new express-train link connecting it to Delhi has been shut as a result of engineering faults. The service’s operator, Reliance Group, says it is financially ruinous. In India’s far west a giant new power plant, one of the biggest investments being made in India, is in trouble, due to soaring coal costs. Its owner, Tata, has taken a write-off</w:t>
      </w:r>
      <w:r w:rsidR="00663753">
        <w:rPr>
          <w:rFonts w:cstheme="minorHAnsi"/>
          <w:szCs w:val="20"/>
        </w:rPr>
        <w:t xml:space="preserve">…. </w:t>
      </w:r>
      <w:r w:rsidRPr="00216A71">
        <w:rPr>
          <w:rFonts w:cstheme="minorHAnsi"/>
          <w:szCs w:val="20"/>
        </w:rPr>
        <w:t>The condition of these projects is murky, partly because most have their finances ring-fenced and do not reveal them in public</w:t>
      </w:r>
      <w:r w:rsidR="00663753">
        <w:rPr>
          <w:rFonts w:cstheme="minorHAnsi"/>
          <w:szCs w:val="20"/>
        </w:rPr>
        <w:t>.</w:t>
      </w:r>
      <w:r w:rsidRPr="00216A71">
        <w:rPr>
          <w:rFonts w:cstheme="minorHAnsi"/>
          <w:szCs w:val="20"/>
        </w:rPr>
        <w:t>…The banking system is grappling with dud loans related to PPP projects</w:t>
      </w:r>
      <w:r w:rsidR="00663753">
        <w:rPr>
          <w:rFonts w:cstheme="minorHAnsi"/>
          <w:szCs w:val="20"/>
        </w:rPr>
        <w:t xml:space="preserve">…. </w:t>
      </w:r>
      <w:r w:rsidRPr="00216A71">
        <w:rPr>
          <w:rFonts w:cstheme="minorHAnsi"/>
          <w:szCs w:val="20"/>
        </w:rPr>
        <w:t>Lots of super roads have been built but during the bubble firms bid too much</w:t>
      </w:r>
      <w:r w:rsidR="00663753">
        <w:rPr>
          <w:rFonts w:cstheme="minorHAnsi"/>
          <w:szCs w:val="20"/>
        </w:rPr>
        <w:t>….</w:t>
      </w:r>
      <w:r w:rsidRPr="00216A71">
        <w:rPr>
          <w:rFonts w:cstheme="minorHAnsi"/>
          <w:szCs w:val="20"/>
        </w:rPr>
        <w:t xml:space="preserve"> </w:t>
      </w:r>
      <w:r w:rsidR="00663753">
        <w:rPr>
          <w:rFonts w:cstheme="minorHAnsi"/>
          <w:szCs w:val="20"/>
        </w:rPr>
        <w:t>p</w:t>
      </w:r>
      <w:r w:rsidRPr="00216A71">
        <w:rPr>
          <w:rFonts w:cstheme="minorHAnsi"/>
          <w:szCs w:val="20"/>
        </w:rPr>
        <w:t>lenty of contracts won in 2007-10 will not make a profit. In electricity generation many firms wrongly assumed they could get cheap coal from the state-run coal monopoly, or gas from sputtering offshore energy fields (which are themselves largely operated under PPP-style contracts). Only a quarter of all projects are on or ahead of schedule.”</w:t>
      </w:r>
    </w:p>
    <w:p w:rsidR="00A60076" w:rsidRPr="00216A71" w:rsidRDefault="00A60076" w:rsidP="00A60076">
      <w:pPr>
        <w:rPr>
          <w:rFonts w:cstheme="minorHAnsi"/>
          <w:szCs w:val="20"/>
        </w:rPr>
      </w:pPr>
      <w:r w:rsidRPr="00216A71">
        <w:rPr>
          <w:rFonts w:cstheme="minorHAnsi"/>
          <w:szCs w:val="20"/>
        </w:rPr>
        <w:t>The government response is to consider allowing companies renegotiation of contracts, as well as</w:t>
      </w:r>
      <w:r w:rsidR="00663753">
        <w:rPr>
          <w:rFonts w:cstheme="minorHAnsi"/>
          <w:szCs w:val="20"/>
        </w:rPr>
        <w:t>:</w:t>
      </w:r>
      <w:r w:rsidRPr="00216A71">
        <w:rPr>
          <w:rFonts w:cstheme="minorHAnsi"/>
          <w:szCs w:val="20"/>
        </w:rPr>
        <w:t xml:space="preserve"> </w:t>
      </w:r>
    </w:p>
    <w:p w:rsidR="000C629A" w:rsidRDefault="00A60076" w:rsidP="00A60076">
      <w:pPr>
        <w:ind w:left="720"/>
        <w:rPr>
          <w:rFonts w:cstheme="minorHAnsi"/>
          <w:szCs w:val="20"/>
        </w:rPr>
      </w:pPr>
      <w:r w:rsidRPr="00216A71">
        <w:rPr>
          <w:rFonts w:cstheme="minorHAnsi"/>
          <w:szCs w:val="20"/>
        </w:rPr>
        <w:t xml:space="preserve">“The government is considering the introduction of a force majeure clause in public-private partnership projects to allow renegotiation of contracts to revive private participation in infrastructure development and salvage some big-ticket projects. The </w:t>
      </w:r>
      <w:hyperlink r:id="rId204" w:history="1">
        <w:r w:rsidRPr="00216A71">
          <w:rPr>
            <w:rFonts w:cstheme="minorHAnsi"/>
            <w:color w:val="0000FF"/>
            <w:szCs w:val="20"/>
            <w:u w:val="single"/>
          </w:rPr>
          <w:t>Planning Commission</w:t>
        </w:r>
      </w:hyperlink>
      <w:r w:rsidRPr="00216A71">
        <w:rPr>
          <w:rFonts w:cstheme="minorHAnsi"/>
          <w:szCs w:val="20"/>
        </w:rPr>
        <w:t xml:space="preserve"> has proposed adding a provision for renegotiation in PPP contracts, including existing projects, to deal with unforeseen developments in a draft note sent to concerned ministries. ET has reviewed the note. A large number of existing infrastructure projects in sectors such as highways, power, airports and ports have run into rough weather because of unforeseen circumstances, and the lack of provision for renegotiating the contracts has made them unviable for investors. This year GMR and GVK walked out of mega-highway projects worth Rs 10,700 crore, while most recently Reliance Infrastructure pulled out of the Rs 5,800-crore Airport Express line of the </w:t>
      </w:r>
      <w:hyperlink r:id="rId205" w:history="1">
        <w:r w:rsidRPr="00216A71">
          <w:rPr>
            <w:rFonts w:cstheme="minorHAnsi"/>
            <w:color w:val="0000FF"/>
            <w:szCs w:val="20"/>
            <w:u w:val="single"/>
          </w:rPr>
          <w:t>Delhi Metro</w:t>
        </w:r>
      </w:hyperlink>
      <w:r w:rsidRPr="00216A71">
        <w:rPr>
          <w:rFonts w:cstheme="minorHAnsi"/>
          <w:szCs w:val="20"/>
        </w:rPr>
        <w:t xml:space="preserve">. There are </w:t>
      </w:r>
      <w:r w:rsidRPr="00216A71">
        <w:rPr>
          <w:rFonts w:cstheme="minorHAnsi"/>
          <w:szCs w:val="20"/>
        </w:rPr>
        <w:lastRenderedPageBreak/>
        <w:t xml:space="preserve">problems brewing in the Gurgaon Expressway project, while </w:t>
      </w:r>
      <w:hyperlink r:id="rId206" w:history="1">
        <w:r w:rsidRPr="00216A71">
          <w:rPr>
            <w:rFonts w:cstheme="minorHAnsi"/>
            <w:color w:val="0000FF"/>
            <w:szCs w:val="20"/>
            <w:u w:val="single"/>
          </w:rPr>
          <w:t>Tata Power</w:t>
        </w:r>
      </w:hyperlink>
      <w:r w:rsidRPr="00216A71">
        <w:rPr>
          <w:rFonts w:cstheme="minorHAnsi"/>
          <w:szCs w:val="20"/>
        </w:rPr>
        <w:t xml:space="preserve"> and </w:t>
      </w:r>
      <w:hyperlink r:id="rId207" w:history="1">
        <w:r w:rsidRPr="00216A71">
          <w:rPr>
            <w:rFonts w:cstheme="minorHAnsi"/>
            <w:color w:val="0000FF"/>
            <w:szCs w:val="20"/>
            <w:u w:val="single"/>
          </w:rPr>
          <w:t>Reliance Power</w:t>
        </w:r>
      </w:hyperlink>
      <w:r w:rsidRPr="00216A71">
        <w:rPr>
          <w:rFonts w:cstheme="minorHAnsi"/>
          <w:szCs w:val="20"/>
        </w:rPr>
        <w:t xml:space="preserve"> are struggling to transform their ultra-mega power projects powered by imported coal into profit-making ventures due to changes in input costs. Private developers have been demanding a renegotiation provision in </w:t>
      </w:r>
      <w:hyperlink r:id="rId208" w:history="1">
        <w:r w:rsidRPr="00216A71">
          <w:rPr>
            <w:rFonts w:cstheme="minorHAnsi"/>
            <w:color w:val="0000FF"/>
            <w:szCs w:val="20"/>
            <w:u w:val="single"/>
          </w:rPr>
          <w:t>PPP contracts</w:t>
        </w:r>
      </w:hyperlink>
      <w:r w:rsidRPr="00216A71">
        <w:rPr>
          <w:rFonts w:cstheme="minorHAnsi"/>
          <w:szCs w:val="20"/>
        </w:rPr>
        <w:t xml:space="preserve"> because they cannot foresee all the events and contingencies during the entire contract period, which is typically 20 years or more. </w:t>
      </w:r>
    </w:p>
    <w:p w:rsidR="000C629A" w:rsidRDefault="00663753" w:rsidP="00A60076">
      <w:pPr>
        <w:ind w:left="720"/>
        <w:rPr>
          <w:rFonts w:cstheme="minorHAnsi"/>
          <w:szCs w:val="20"/>
        </w:rPr>
      </w:pPr>
      <w:r>
        <w:rPr>
          <w:rFonts w:cstheme="minorHAnsi"/>
          <w:szCs w:val="20"/>
        </w:rPr>
        <w:t>“</w:t>
      </w:r>
      <w:r w:rsidR="00A60076" w:rsidRPr="00216A71">
        <w:rPr>
          <w:rFonts w:cstheme="minorHAnsi"/>
          <w:szCs w:val="20"/>
        </w:rPr>
        <w:t>The government has targeted to attract at least half of the $1</w:t>
      </w:r>
      <w:r>
        <w:rPr>
          <w:rFonts w:cstheme="minorHAnsi"/>
          <w:szCs w:val="20"/>
        </w:rPr>
        <w:t xml:space="preserve"> </w:t>
      </w:r>
      <w:r w:rsidR="00A60076" w:rsidRPr="00216A71">
        <w:rPr>
          <w:rFonts w:cstheme="minorHAnsi"/>
          <w:szCs w:val="20"/>
        </w:rPr>
        <w:t xml:space="preserve">trillion investment envisaged in the infrastructure sector during the 12th plan period (2012-17) from the private sector. The </w:t>
      </w:r>
      <w:hyperlink r:id="rId209" w:history="1">
        <w:r w:rsidR="00A60076" w:rsidRPr="00216A71">
          <w:rPr>
            <w:rFonts w:cstheme="minorHAnsi"/>
            <w:color w:val="0000FF"/>
            <w:szCs w:val="20"/>
            <w:u w:val="single"/>
          </w:rPr>
          <w:t>Cabinet Committee on Economic Affairs</w:t>
        </w:r>
      </w:hyperlink>
      <w:r w:rsidR="00A60076" w:rsidRPr="00216A71">
        <w:rPr>
          <w:rFonts w:cstheme="minorHAnsi"/>
          <w:szCs w:val="20"/>
        </w:rPr>
        <w:t xml:space="preserve"> had in July directed Planning Commission to come up with a proposal for strengthening the PPP regime after various big-ticket projects failed. The proposed force majeure clause will come into play only when a project </w:t>
      </w:r>
      <w:r w:rsidR="00FF6D63">
        <w:rPr>
          <w:rFonts w:cstheme="minorHAnsi"/>
          <w:szCs w:val="20"/>
        </w:rPr>
        <w:t>“</w:t>
      </w:r>
      <w:r w:rsidR="00A60076" w:rsidRPr="00216A71">
        <w:rPr>
          <w:rFonts w:cstheme="minorHAnsi"/>
          <w:szCs w:val="20"/>
        </w:rPr>
        <w:t>is likely to become infructuous or when the parties are facing a situation that could not have been contemplated by a prudent and diligent person and the contract does not provide a remedy for the same</w:t>
      </w:r>
      <w:r>
        <w:rPr>
          <w:rFonts w:cstheme="minorHAnsi"/>
          <w:szCs w:val="20"/>
        </w:rPr>
        <w:t>,”</w:t>
      </w:r>
      <w:r w:rsidR="00A60076" w:rsidRPr="00216A71">
        <w:rPr>
          <w:rFonts w:cstheme="minorHAnsi"/>
          <w:szCs w:val="20"/>
        </w:rPr>
        <w:t xml:space="preserve"> the commission said in its draft note. </w:t>
      </w:r>
      <w:r w:rsidR="00FF6D63">
        <w:rPr>
          <w:rFonts w:cstheme="minorHAnsi"/>
          <w:szCs w:val="20"/>
        </w:rPr>
        <w:t>“</w:t>
      </w:r>
      <w:r w:rsidR="00A60076" w:rsidRPr="00216A71">
        <w:rPr>
          <w:rFonts w:cstheme="minorHAnsi"/>
          <w:szCs w:val="20"/>
        </w:rPr>
        <w:t>As and when renegotiation is undertaken, it would have to be based on fair and transparent justification, confined to the specific issues, no greater in scope than is necessary for addressing the issue; quantified and restricted in terms of relief; and undertaken only when other remedies are not available,</w:t>
      </w:r>
      <w:r>
        <w:rPr>
          <w:rFonts w:cstheme="minorHAnsi"/>
          <w:szCs w:val="20"/>
        </w:rPr>
        <w:t>”</w:t>
      </w:r>
      <w:r w:rsidR="00A60076" w:rsidRPr="00216A71">
        <w:rPr>
          <w:rFonts w:cstheme="minorHAnsi"/>
          <w:szCs w:val="20"/>
        </w:rPr>
        <w:t xml:space="preserve"> the panel said. It has proposed that the finance ministry, in consultation with the plan panel, will prepare and present a discussion paper on renegotiation of contracts, taking account of international best practices and after consultation with the </w:t>
      </w:r>
      <w:hyperlink r:id="rId210" w:history="1">
        <w:r w:rsidR="00A60076" w:rsidRPr="00216A71">
          <w:rPr>
            <w:rFonts w:cstheme="minorHAnsi"/>
            <w:color w:val="0000FF"/>
            <w:szCs w:val="20"/>
            <w:u w:val="single"/>
          </w:rPr>
          <w:t>World Bank</w:t>
        </w:r>
      </w:hyperlink>
      <w:r w:rsidR="00A60076" w:rsidRPr="00216A71">
        <w:rPr>
          <w:rFonts w:cstheme="minorHAnsi"/>
          <w:szCs w:val="20"/>
        </w:rPr>
        <w:t xml:space="preserve">. </w:t>
      </w:r>
    </w:p>
    <w:p w:rsidR="00A60076" w:rsidRPr="00216A71" w:rsidRDefault="00663753" w:rsidP="00A60076">
      <w:pPr>
        <w:ind w:left="720"/>
        <w:rPr>
          <w:rFonts w:cstheme="minorHAnsi"/>
          <w:szCs w:val="20"/>
        </w:rPr>
      </w:pPr>
      <w:r>
        <w:rPr>
          <w:rFonts w:cstheme="minorHAnsi"/>
          <w:szCs w:val="20"/>
        </w:rPr>
        <w:t>“</w:t>
      </w:r>
      <w:r w:rsidR="00A60076" w:rsidRPr="00216A71">
        <w:rPr>
          <w:rFonts w:cstheme="minorHAnsi"/>
          <w:szCs w:val="20"/>
        </w:rPr>
        <w:t>The discussion paper will be placed before the Cabinet within three months. The draft note also stressed the need to spell out a clear and well-defined treatment of contingent liabilities, including the extent to which they can be undertaken and the process of authorising the same. The Planning Commission is of the view that PPP projects tend to create contingent liabilities that could become a charge on future budgets, which would even pre</w:t>
      </w:r>
      <w:r w:rsidR="00215198" w:rsidRPr="00216A71">
        <w:rPr>
          <w:rFonts w:cstheme="minorHAnsi"/>
          <w:szCs w:val="20"/>
        </w:rPr>
        <w:t>-</w:t>
      </w:r>
      <w:r w:rsidR="00A60076" w:rsidRPr="00216A71">
        <w:rPr>
          <w:rFonts w:cstheme="minorHAnsi"/>
          <w:szCs w:val="20"/>
        </w:rPr>
        <w:t xml:space="preserve">empt Parliamentary approvals as and when such contingent liabilities arise. Hence, it has asked the </w:t>
      </w:r>
      <w:hyperlink r:id="rId211" w:history="1">
        <w:r w:rsidR="00A60076" w:rsidRPr="00216A71">
          <w:rPr>
            <w:rFonts w:cstheme="minorHAnsi"/>
            <w:color w:val="0000FF"/>
            <w:szCs w:val="20"/>
            <w:u w:val="single"/>
          </w:rPr>
          <w:t>finance ministry</w:t>
        </w:r>
      </w:hyperlink>
      <w:r w:rsidR="00A60076" w:rsidRPr="00216A71">
        <w:rPr>
          <w:rFonts w:cstheme="minorHAnsi"/>
          <w:szCs w:val="20"/>
        </w:rPr>
        <w:t xml:space="preserve"> to include appropriate recommendation on the treatment of contingent liabilities in the annual financial statement in its discussion paper.”</w:t>
      </w:r>
      <w:r w:rsidR="002C21EF">
        <w:rPr>
          <w:rStyle w:val="EndnoteReference"/>
          <w:rFonts w:cstheme="minorHAnsi"/>
          <w:szCs w:val="20"/>
        </w:rPr>
        <w:endnoteReference w:id="206"/>
      </w:r>
    </w:p>
    <w:p w:rsidR="002C21EF" w:rsidRPr="00191F44" w:rsidRDefault="00A60076" w:rsidP="00A60076">
      <w:pPr>
        <w:rPr>
          <w:rFonts w:cstheme="minorHAnsi"/>
          <w:b/>
          <w:szCs w:val="20"/>
        </w:rPr>
      </w:pPr>
      <w:r w:rsidRPr="00191F44">
        <w:rPr>
          <w:rFonts w:cstheme="minorHAnsi"/>
          <w:b/>
          <w:szCs w:val="20"/>
        </w:rPr>
        <w:t xml:space="preserve">Rail: </w:t>
      </w:r>
    </w:p>
    <w:p w:rsidR="00A60076" w:rsidRPr="00216A71" w:rsidRDefault="002C21EF" w:rsidP="00A60076">
      <w:pPr>
        <w:rPr>
          <w:rFonts w:cstheme="minorHAnsi"/>
          <w:szCs w:val="20"/>
        </w:rPr>
      </w:pPr>
      <w:r>
        <w:rPr>
          <w:rFonts w:cstheme="minorHAnsi"/>
          <w:szCs w:val="20"/>
        </w:rPr>
        <w:t>T</w:t>
      </w:r>
      <w:r w:rsidR="00A60076" w:rsidRPr="00216A71">
        <w:rPr>
          <w:rFonts w:cstheme="minorHAnsi"/>
          <w:szCs w:val="20"/>
        </w:rPr>
        <w:t>he Reliance Infrastructure Group has abandoned its PPP to operate the Delhi Airport Metro express</w:t>
      </w:r>
      <w:r>
        <w:rPr>
          <w:rFonts w:cstheme="minorHAnsi"/>
          <w:szCs w:val="20"/>
        </w:rPr>
        <w:t>.</w:t>
      </w:r>
    </w:p>
    <w:p w:rsidR="000C629A" w:rsidRDefault="00A60076" w:rsidP="00A60076">
      <w:pPr>
        <w:rPr>
          <w:rFonts w:cstheme="minorHAnsi"/>
          <w:szCs w:val="20"/>
        </w:rPr>
      </w:pPr>
      <w:r w:rsidRPr="00216A71">
        <w:rPr>
          <w:rFonts w:cstheme="minorHAnsi"/>
          <w:szCs w:val="20"/>
        </w:rPr>
        <w:t>The public authority, Delhi Metro Rail Corporation (DMRC), has taken over the running of the line. This was the major public transport PPP in India, but the company is now demanding huge compensation.</w:t>
      </w:r>
      <w:r w:rsidR="004045AD">
        <w:rPr>
          <w:rFonts w:cstheme="minorHAnsi"/>
          <w:szCs w:val="20"/>
        </w:rPr>
        <w:t xml:space="preserve"> </w:t>
      </w:r>
      <w:r w:rsidRPr="00216A71">
        <w:rPr>
          <w:rFonts w:cstheme="minorHAnsi"/>
          <w:szCs w:val="20"/>
        </w:rPr>
        <w:t xml:space="preserve">India’s </w:t>
      </w:r>
      <w:r w:rsidR="005D438D">
        <w:rPr>
          <w:rFonts w:cstheme="minorHAnsi"/>
          <w:szCs w:val="20"/>
        </w:rPr>
        <w:t>five</w:t>
      </w:r>
      <w:r w:rsidRPr="00216A71">
        <w:rPr>
          <w:rFonts w:cstheme="minorHAnsi"/>
          <w:szCs w:val="20"/>
        </w:rPr>
        <w:t xml:space="preserve"> year plan calls for Metro systems in all large cities, and encourages the use of PPPs, but “</w:t>
      </w:r>
      <w:r w:rsidR="005D438D">
        <w:rPr>
          <w:rFonts w:cstheme="minorHAnsi"/>
          <w:szCs w:val="20"/>
        </w:rPr>
        <w:t>t</w:t>
      </w:r>
      <w:r w:rsidRPr="00216A71">
        <w:rPr>
          <w:rFonts w:cstheme="minorHAnsi"/>
          <w:szCs w:val="20"/>
        </w:rPr>
        <w:t>he experience with Reliance Infra shows PPP agreements are making governments and public agencies vulnerable to serious financial risks at an enormous public cost.” There were very familiar problems with the PPP</w:t>
      </w:r>
      <w:r w:rsidR="005D438D">
        <w:rPr>
          <w:rFonts w:cstheme="minorHAnsi"/>
          <w:szCs w:val="20"/>
        </w:rPr>
        <w:t>.</w:t>
      </w:r>
      <w:r w:rsidRPr="00216A71">
        <w:rPr>
          <w:rFonts w:cstheme="minorHAnsi"/>
          <w:szCs w:val="20"/>
        </w:rPr>
        <w:t xml:space="preserve"> </w:t>
      </w:r>
      <w:r w:rsidR="005D438D">
        <w:rPr>
          <w:rFonts w:cstheme="minorHAnsi"/>
          <w:szCs w:val="20"/>
        </w:rPr>
        <w:t>T</w:t>
      </w:r>
      <w:r w:rsidRPr="00216A71">
        <w:rPr>
          <w:rFonts w:cstheme="minorHAnsi"/>
          <w:szCs w:val="20"/>
        </w:rPr>
        <w:t>he passenger forecast was for 40,000 people per day, but in practice there were only 10,000. Reliance had promised to use 30</w:t>
      </w:r>
      <w:r w:rsidR="00A42FDE">
        <w:rPr>
          <w:rFonts w:cstheme="minorHAnsi"/>
          <w:szCs w:val="20"/>
        </w:rPr>
        <w:t xml:space="preserve"> per cent</w:t>
      </w:r>
      <w:r w:rsidRPr="00216A71">
        <w:rPr>
          <w:rFonts w:cstheme="minorHAnsi"/>
          <w:szCs w:val="20"/>
        </w:rPr>
        <w:t xml:space="preserve"> equity and 70</w:t>
      </w:r>
      <w:r w:rsidR="00A42FDE">
        <w:rPr>
          <w:rFonts w:cstheme="minorHAnsi"/>
          <w:szCs w:val="20"/>
        </w:rPr>
        <w:t xml:space="preserve"> per cent</w:t>
      </w:r>
      <w:r w:rsidRPr="00216A71">
        <w:rPr>
          <w:rFonts w:cstheme="minorHAnsi"/>
          <w:szCs w:val="20"/>
        </w:rPr>
        <w:t xml:space="preserve"> debt finance, but in practice the government auditor reported that for every one rupee that Reliance Infra raised from shareholders in 2009-10, it incurred debts of Rs 43,218, and this increased to Rs 275,205 for every rupee in 2011-12.</w:t>
      </w:r>
      <w:r w:rsidR="004045AD">
        <w:rPr>
          <w:rFonts w:cstheme="minorHAnsi"/>
          <w:szCs w:val="20"/>
        </w:rPr>
        <w:t xml:space="preserve"> </w:t>
      </w:r>
      <w:r w:rsidRPr="00216A71">
        <w:rPr>
          <w:rFonts w:cstheme="minorHAnsi"/>
          <w:szCs w:val="20"/>
        </w:rPr>
        <w:t>And overall, more than half the finance for investment (54</w:t>
      </w:r>
      <w:r w:rsidR="00A42FDE">
        <w:rPr>
          <w:rFonts w:cstheme="minorHAnsi"/>
          <w:szCs w:val="20"/>
        </w:rPr>
        <w:t xml:space="preserve"> per cent</w:t>
      </w:r>
      <w:r w:rsidRPr="00216A71">
        <w:rPr>
          <w:rFonts w:cstheme="minorHAnsi"/>
          <w:szCs w:val="20"/>
        </w:rPr>
        <w:t>) came from government, not from the company.</w:t>
      </w:r>
      <w:r w:rsidRPr="00216A71">
        <w:rPr>
          <w:rFonts w:cstheme="minorHAnsi"/>
          <w:szCs w:val="20"/>
          <w:vertAlign w:val="superscript"/>
        </w:rPr>
        <w:endnoteReference w:id="207"/>
      </w:r>
      <w:r w:rsidRPr="00216A71">
        <w:rPr>
          <w:rFonts w:cstheme="minorHAnsi"/>
          <w:szCs w:val="20"/>
        </w:rPr>
        <w:t xml:space="preserve"> </w:t>
      </w:r>
    </w:p>
    <w:p w:rsidR="005D438D" w:rsidRPr="00191F44" w:rsidRDefault="00A60076" w:rsidP="00A60076">
      <w:pPr>
        <w:rPr>
          <w:rFonts w:cstheme="minorHAnsi"/>
          <w:b/>
          <w:szCs w:val="20"/>
        </w:rPr>
      </w:pPr>
      <w:r w:rsidRPr="00191F44">
        <w:rPr>
          <w:rFonts w:cstheme="minorHAnsi"/>
          <w:b/>
          <w:szCs w:val="20"/>
        </w:rPr>
        <w:t>Healthcare:</w:t>
      </w:r>
      <w:r w:rsidR="004045AD" w:rsidRPr="00191F44">
        <w:rPr>
          <w:rFonts w:cstheme="minorHAnsi"/>
          <w:b/>
          <w:szCs w:val="20"/>
        </w:rPr>
        <w:t xml:space="preserve"> </w:t>
      </w:r>
    </w:p>
    <w:p w:rsidR="005D438D" w:rsidRDefault="00A60076" w:rsidP="00A60076">
      <w:pPr>
        <w:rPr>
          <w:rFonts w:cstheme="minorHAnsi"/>
          <w:szCs w:val="20"/>
        </w:rPr>
      </w:pPr>
      <w:r w:rsidRPr="00216A71">
        <w:rPr>
          <w:rFonts w:cstheme="minorHAnsi"/>
          <w:szCs w:val="20"/>
        </w:rPr>
        <w:t>At the 9</w:t>
      </w:r>
      <w:r w:rsidRPr="00216A71">
        <w:rPr>
          <w:rFonts w:cstheme="minorHAnsi"/>
          <w:szCs w:val="20"/>
          <w:vertAlign w:val="superscript"/>
        </w:rPr>
        <w:t>th</w:t>
      </w:r>
      <w:r w:rsidRPr="00216A71">
        <w:rPr>
          <w:rFonts w:cstheme="minorHAnsi"/>
          <w:szCs w:val="20"/>
        </w:rPr>
        <w:t xml:space="preserve"> India Health Summit in December 2012, India’s health minister Ghulam Nabi Aza</w:t>
      </w:r>
      <w:r w:rsidR="005A2E06" w:rsidRPr="00216A71">
        <w:rPr>
          <w:rFonts w:cstheme="minorHAnsi"/>
          <w:szCs w:val="20"/>
        </w:rPr>
        <w:t>d launched a report by McKinsey</w:t>
      </w:r>
      <w:r w:rsidRPr="00216A71">
        <w:rPr>
          <w:rFonts w:cstheme="minorHAnsi"/>
          <w:szCs w:val="20"/>
        </w:rPr>
        <w:t xml:space="preserve"> advocating PPPs as the route for improving healthcare delivery.</w:t>
      </w:r>
      <w:r w:rsidR="004045AD">
        <w:rPr>
          <w:rFonts w:cstheme="minorHAnsi"/>
          <w:szCs w:val="20"/>
        </w:rPr>
        <w:t xml:space="preserve"> </w:t>
      </w:r>
      <w:r w:rsidRPr="00216A71">
        <w:rPr>
          <w:rFonts w:cstheme="minorHAnsi"/>
          <w:szCs w:val="20"/>
        </w:rPr>
        <w:t>It argued that “the government has to make a choice between its role as a provider or a payer</w:t>
      </w:r>
      <w:r w:rsidR="005D438D">
        <w:rPr>
          <w:rFonts w:cstheme="minorHAnsi"/>
          <w:szCs w:val="20"/>
        </w:rPr>
        <w:t xml:space="preserve"> </w:t>
      </w:r>
      <w:r w:rsidRPr="00216A71">
        <w:rPr>
          <w:rFonts w:cstheme="minorHAnsi"/>
          <w:szCs w:val="20"/>
        </w:rPr>
        <w:t>—</w:t>
      </w:r>
      <w:r w:rsidR="005D438D">
        <w:rPr>
          <w:rFonts w:cstheme="minorHAnsi"/>
          <w:szCs w:val="20"/>
        </w:rPr>
        <w:t xml:space="preserve"> </w:t>
      </w:r>
      <w:r w:rsidRPr="00216A71">
        <w:rPr>
          <w:rFonts w:cstheme="minorHAnsi"/>
          <w:szCs w:val="20"/>
        </w:rPr>
        <w:t>whether it wants to contribute in building infrastructure and managing operations of hospitals and diagnostics or it wants to be the principal payer for healthcare with services provided by the private sector. Adopting the provider role would slow down social insurance growth and private provision in the absence of any government incentivisation. Adopting the payer role would slow down growth of public beds but that can be resolved by adopting PPP models because private provision is predicted to show strong growth, according to the report.”</w:t>
      </w:r>
      <w:r w:rsidRPr="00216A71">
        <w:rPr>
          <w:rFonts w:cstheme="minorHAnsi"/>
          <w:szCs w:val="20"/>
          <w:vertAlign w:val="superscript"/>
        </w:rPr>
        <w:endnoteReference w:id="208"/>
      </w:r>
      <w:r w:rsidRPr="00216A71">
        <w:rPr>
          <w:rFonts w:cstheme="minorHAnsi"/>
          <w:szCs w:val="20"/>
        </w:rPr>
        <w:t xml:space="preserve"> </w:t>
      </w:r>
    </w:p>
    <w:p w:rsidR="00A60076" w:rsidRPr="00216A71" w:rsidRDefault="00A60076" w:rsidP="00A60076">
      <w:pPr>
        <w:rPr>
          <w:rFonts w:cstheme="minorHAnsi"/>
          <w:szCs w:val="20"/>
        </w:rPr>
      </w:pPr>
      <w:r w:rsidRPr="00216A71">
        <w:rPr>
          <w:rFonts w:cstheme="minorHAnsi"/>
          <w:szCs w:val="20"/>
        </w:rPr>
        <w:t>But there are already problems with current PPPs and private provision of healthcare in India:</w:t>
      </w:r>
    </w:p>
    <w:p w:rsidR="00A60076" w:rsidRPr="00216A71" w:rsidRDefault="00A60076" w:rsidP="00781FBC">
      <w:pPr>
        <w:numPr>
          <w:ilvl w:val="0"/>
          <w:numId w:val="26"/>
        </w:numPr>
        <w:rPr>
          <w:rFonts w:cstheme="minorHAnsi"/>
          <w:szCs w:val="20"/>
        </w:rPr>
      </w:pPr>
      <w:r w:rsidRPr="00216A71">
        <w:rPr>
          <w:rFonts w:cstheme="minorHAnsi"/>
          <w:szCs w:val="20"/>
        </w:rPr>
        <w:t>The state of Chhattisgarh has halted a PPP</w:t>
      </w:r>
      <w:r w:rsidR="004045AD">
        <w:rPr>
          <w:rFonts w:cstheme="minorHAnsi"/>
          <w:szCs w:val="20"/>
        </w:rPr>
        <w:t xml:space="preserve"> </w:t>
      </w:r>
      <w:r w:rsidRPr="00216A71">
        <w:rPr>
          <w:rFonts w:cstheme="minorHAnsi"/>
          <w:szCs w:val="20"/>
        </w:rPr>
        <w:t xml:space="preserve">project to outsource diagnostic services, following months of opposition. A review team from central government “found that there are many problems in implementing the plan and that outsourcing diagnostic facilities is not the best </w:t>
      </w:r>
      <w:r w:rsidRPr="00216A71">
        <w:rPr>
          <w:rFonts w:cstheme="minorHAnsi"/>
          <w:szCs w:val="20"/>
        </w:rPr>
        <w:lastRenderedPageBreak/>
        <w:t>option</w:t>
      </w:r>
      <w:r w:rsidR="005D438D">
        <w:rPr>
          <w:rFonts w:cstheme="minorHAnsi"/>
          <w:szCs w:val="20"/>
        </w:rPr>
        <w:t>…</w:t>
      </w:r>
      <w:r w:rsidRPr="00216A71">
        <w:rPr>
          <w:rFonts w:cstheme="minorHAnsi"/>
          <w:szCs w:val="20"/>
        </w:rPr>
        <w:t>. The team observed that the PPP model has a possible risk of false claims, denial of services and unfair intervention… [and] also carries the possible risk prescription of unnecessary tests</w:t>
      </w:r>
      <w:r w:rsidR="005D438D">
        <w:rPr>
          <w:rFonts w:cstheme="minorHAnsi"/>
          <w:szCs w:val="20"/>
        </w:rPr>
        <w:t>.</w:t>
      </w:r>
      <w:r w:rsidRPr="00216A71">
        <w:rPr>
          <w:rFonts w:cstheme="minorHAnsi"/>
          <w:szCs w:val="20"/>
        </w:rPr>
        <w:t>”</w:t>
      </w:r>
      <w:r w:rsidRPr="00216A71">
        <w:rPr>
          <w:rFonts w:cstheme="minorHAnsi"/>
          <w:szCs w:val="20"/>
          <w:vertAlign w:val="superscript"/>
        </w:rPr>
        <w:endnoteReference w:id="209"/>
      </w:r>
    </w:p>
    <w:p w:rsidR="00A60076" w:rsidRPr="00216A71" w:rsidRDefault="00A60076" w:rsidP="00781FBC">
      <w:pPr>
        <w:numPr>
          <w:ilvl w:val="0"/>
          <w:numId w:val="26"/>
        </w:numPr>
        <w:rPr>
          <w:rFonts w:cstheme="minorHAnsi"/>
          <w:szCs w:val="20"/>
        </w:rPr>
      </w:pPr>
      <w:r w:rsidRPr="00216A71">
        <w:rPr>
          <w:rFonts w:cstheme="minorHAnsi"/>
          <w:szCs w:val="20"/>
        </w:rPr>
        <w:t>Nearly 1 million cases of TB are missed every year in India, mainly because private ho</w:t>
      </w:r>
      <w:r w:rsidR="002A17DD" w:rsidRPr="00216A71">
        <w:rPr>
          <w:rFonts w:cstheme="minorHAnsi"/>
          <w:szCs w:val="20"/>
        </w:rPr>
        <w:t>spitals fail to carry out the pr</w:t>
      </w:r>
      <w:r w:rsidRPr="00216A71">
        <w:rPr>
          <w:rFonts w:cstheme="minorHAnsi"/>
          <w:szCs w:val="20"/>
        </w:rPr>
        <w:t>ocedures recommended by the WHO and endorsed by the Indian government. This “undermines efforts to control the disease” which causes 270,000 deaths per year in India alone.</w:t>
      </w:r>
      <w:r w:rsidRPr="00216A71">
        <w:rPr>
          <w:rFonts w:cstheme="minorHAnsi"/>
          <w:szCs w:val="20"/>
          <w:vertAlign w:val="superscript"/>
        </w:rPr>
        <w:endnoteReference w:id="210"/>
      </w:r>
    </w:p>
    <w:p w:rsidR="000C629A" w:rsidRDefault="00A60076" w:rsidP="00781FBC">
      <w:pPr>
        <w:numPr>
          <w:ilvl w:val="0"/>
          <w:numId w:val="26"/>
        </w:numPr>
        <w:rPr>
          <w:rFonts w:cstheme="minorHAnsi"/>
          <w:szCs w:val="20"/>
        </w:rPr>
      </w:pPr>
      <w:r w:rsidRPr="00216A71">
        <w:rPr>
          <w:rFonts w:cstheme="minorHAnsi"/>
          <w:szCs w:val="20"/>
        </w:rPr>
        <w:t>The health minister has hailed a new anti-encephalitis vaccine developed in India as “historic and an outstanding example of public private partnership (PPP)</w:t>
      </w:r>
      <w:r w:rsidR="005D438D">
        <w:rPr>
          <w:rFonts w:cstheme="minorHAnsi"/>
          <w:szCs w:val="20"/>
        </w:rPr>
        <w:t>.</w:t>
      </w:r>
      <w:r w:rsidRPr="00216A71">
        <w:rPr>
          <w:rFonts w:cstheme="minorHAnsi"/>
          <w:szCs w:val="20"/>
        </w:rPr>
        <w:t xml:space="preserve">” </w:t>
      </w:r>
      <w:r w:rsidR="005D438D">
        <w:rPr>
          <w:rFonts w:cstheme="minorHAnsi"/>
          <w:szCs w:val="20"/>
        </w:rPr>
        <w:t>I</w:t>
      </w:r>
      <w:r w:rsidRPr="00216A71">
        <w:rPr>
          <w:rFonts w:cstheme="minorHAnsi"/>
          <w:szCs w:val="20"/>
        </w:rPr>
        <w:t>t was developed with drug company Bharat Biotech. But current medical research questions whether it deals with all causes of acute encephalitis; and the new vaccine costs 70 rupees as compared with a Chinese vaccine which costs 14 rupees.</w:t>
      </w:r>
      <w:r w:rsidRPr="00216A71">
        <w:rPr>
          <w:rFonts w:cstheme="minorHAnsi"/>
          <w:szCs w:val="20"/>
          <w:vertAlign w:val="superscript"/>
        </w:rPr>
        <w:endnoteReference w:id="211"/>
      </w:r>
    </w:p>
    <w:p w:rsidR="005D438D" w:rsidRPr="00191F44" w:rsidRDefault="00A60076" w:rsidP="00A60076">
      <w:pPr>
        <w:rPr>
          <w:rFonts w:cstheme="minorHAnsi"/>
          <w:b/>
          <w:szCs w:val="20"/>
        </w:rPr>
      </w:pPr>
      <w:r w:rsidRPr="00191F44">
        <w:rPr>
          <w:rFonts w:cstheme="minorHAnsi"/>
          <w:b/>
          <w:szCs w:val="20"/>
        </w:rPr>
        <w:t xml:space="preserve">Education: </w:t>
      </w:r>
    </w:p>
    <w:p w:rsidR="000C629A" w:rsidRDefault="00A60076" w:rsidP="00A60076">
      <w:pPr>
        <w:rPr>
          <w:rFonts w:cstheme="minorHAnsi"/>
          <w:szCs w:val="20"/>
        </w:rPr>
      </w:pPr>
      <w:r w:rsidRPr="00216A71">
        <w:rPr>
          <w:rFonts w:cstheme="minorHAnsi"/>
          <w:szCs w:val="20"/>
        </w:rPr>
        <w:t>India has introduced a new legally enforceable universal ‘Right to Education’ for all children, intended to deliver universal elementary education by the end of March 2013.</w:t>
      </w:r>
      <w:r w:rsidR="004045AD">
        <w:rPr>
          <w:rFonts w:cstheme="minorHAnsi"/>
          <w:szCs w:val="20"/>
        </w:rPr>
        <w:t xml:space="preserve"> </w:t>
      </w:r>
      <w:r w:rsidRPr="00216A71">
        <w:rPr>
          <w:rFonts w:cstheme="minorHAnsi"/>
          <w:szCs w:val="20"/>
        </w:rPr>
        <w:t>This requires considerable resources, and the government wants to encourage PPPs for such schools. But private schools are already refusing to comply with the new law, which requires them to reserve 25</w:t>
      </w:r>
      <w:r w:rsidR="00A42FDE">
        <w:rPr>
          <w:rFonts w:cstheme="minorHAnsi"/>
          <w:szCs w:val="20"/>
        </w:rPr>
        <w:t xml:space="preserve"> per cent</w:t>
      </w:r>
      <w:r w:rsidRPr="00216A71">
        <w:rPr>
          <w:rFonts w:cstheme="minorHAnsi"/>
          <w:szCs w:val="20"/>
        </w:rPr>
        <w:t xml:space="preserve"> of their places for children from ‘economically weaker sections of society</w:t>
      </w:r>
      <w:r w:rsidR="005D438D">
        <w:rPr>
          <w:rFonts w:cstheme="minorHAnsi"/>
          <w:szCs w:val="20"/>
        </w:rPr>
        <w:t>’</w:t>
      </w:r>
      <w:r w:rsidRPr="00216A71">
        <w:rPr>
          <w:rFonts w:cstheme="minorHAnsi"/>
          <w:szCs w:val="20"/>
        </w:rPr>
        <w:t xml:space="preserve"> and face court cases brought by parents. </w:t>
      </w:r>
      <w:r w:rsidRPr="00216A71">
        <w:rPr>
          <w:rFonts w:cstheme="minorHAnsi"/>
          <w:szCs w:val="20"/>
          <w:vertAlign w:val="superscript"/>
        </w:rPr>
        <w:endnoteReference w:id="212"/>
      </w:r>
    </w:p>
    <w:p w:rsidR="005D438D" w:rsidRPr="00191F44" w:rsidRDefault="00673B04" w:rsidP="00673B04">
      <w:pPr>
        <w:rPr>
          <w:rFonts w:cstheme="minorHAnsi"/>
          <w:b/>
          <w:szCs w:val="20"/>
        </w:rPr>
      </w:pPr>
      <w:r w:rsidRPr="00191F44">
        <w:rPr>
          <w:rFonts w:cstheme="minorHAnsi"/>
          <w:b/>
          <w:szCs w:val="20"/>
        </w:rPr>
        <w:t xml:space="preserve">Electricity: </w:t>
      </w:r>
    </w:p>
    <w:p w:rsidR="005D438D" w:rsidRDefault="00673B04" w:rsidP="00673B04">
      <w:pPr>
        <w:rPr>
          <w:rFonts w:cstheme="minorHAnsi"/>
          <w:szCs w:val="20"/>
        </w:rPr>
      </w:pPr>
      <w:r w:rsidRPr="00216A71">
        <w:rPr>
          <w:rFonts w:cstheme="minorHAnsi"/>
          <w:szCs w:val="20"/>
        </w:rPr>
        <w:t>The new Aam Aadmi Party</w:t>
      </w:r>
      <w:r w:rsidR="004045AD">
        <w:rPr>
          <w:rFonts w:cstheme="minorHAnsi"/>
          <w:szCs w:val="20"/>
        </w:rPr>
        <w:t xml:space="preserve"> </w:t>
      </w:r>
      <w:r w:rsidRPr="00216A71">
        <w:rPr>
          <w:rFonts w:cstheme="minorHAnsi"/>
          <w:szCs w:val="20"/>
        </w:rPr>
        <w:t>(AAP: means ‘common man party’ in India</w:t>
      </w:r>
      <w:r w:rsidR="005D438D">
        <w:rPr>
          <w:rFonts w:cstheme="minorHAnsi"/>
          <w:szCs w:val="20"/>
        </w:rPr>
        <w:t>)</w:t>
      </w:r>
      <w:r w:rsidRPr="00216A71">
        <w:rPr>
          <w:rFonts w:cstheme="minorHAnsi"/>
          <w:szCs w:val="20"/>
        </w:rPr>
        <w:t xml:space="preserve">, which campaigns primarily as an anti-corruption party, won control of Delhi in municipal elections in </w:t>
      </w:r>
      <w:r w:rsidR="005A2E06" w:rsidRPr="00216A71">
        <w:rPr>
          <w:rFonts w:cstheme="minorHAnsi"/>
          <w:szCs w:val="20"/>
        </w:rPr>
        <w:t xml:space="preserve">December </w:t>
      </w:r>
      <w:r w:rsidRPr="00216A71">
        <w:rPr>
          <w:rFonts w:cstheme="minorHAnsi"/>
          <w:szCs w:val="20"/>
        </w:rPr>
        <w:t>2013.</w:t>
      </w:r>
      <w:r w:rsidR="004045AD">
        <w:rPr>
          <w:rFonts w:cstheme="minorHAnsi"/>
          <w:szCs w:val="20"/>
        </w:rPr>
        <w:t xml:space="preserve"> </w:t>
      </w:r>
      <w:r w:rsidRPr="00216A71">
        <w:rPr>
          <w:rFonts w:cstheme="minorHAnsi"/>
          <w:szCs w:val="20"/>
        </w:rPr>
        <w:t>The AAP launched its electoral campaign by attacking the previous administration, led by chief minister Sheila Dikshit, for corruption in relation to the electricity distribution system of Delhi. The AAP said</w:t>
      </w:r>
      <w:r w:rsidR="005D438D">
        <w:rPr>
          <w:rFonts w:cstheme="minorHAnsi"/>
          <w:szCs w:val="20"/>
        </w:rPr>
        <w:t>,</w:t>
      </w:r>
      <w:r w:rsidRPr="00216A71">
        <w:rPr>
          <w:rFonts w:cstheme="minorHAnsi"/>
          <w:szCs w:val="20"/>
        </w:rPr>
        <w:t xml:space="preserve"> “After this privatisation of electricity distribution in Delhi and the creation of private monopolies in the guise of public private partnerships (PPPs)… this whole model is functioning in a manner where there are frauds, fabrications, forgeries at multiple levels which have the effect of cheating their consumers to the extent of half of the electricity bills they are paying.” </w:t>
      </w:r>
    </w:p>
    <w:p w:rsidR="005D438D" w:rsidRDefault="00673B04" w:rsidP="00673B04">
      <w:pPr>
        <w:rPr>
          <w:rFonts w:cstheme="minorHAnsi"/>
          <w:szCs w:val="20"/>
        </w:rPr>
      </w:pPr>
      <w:r w:rsidRPr="00216A71">
        <w:rPr>
          <w:rFonts w:cstheme="minorHAnsi"/>
          <w:szCs w:val="20"/>
        </w:rPr>
        <w:t>The AAP went on to question whether the PPP model was in public interest at all</w:t>
      </w:r>
      <w:r w:rsidR="005D438D">
        <w:rPr>
          <w:rFonts w:cstheme="minorHAnsi"/>
          <w:szCs w:val="20"/>
        </w:rPr>
        <w:t>.</w:t>
      </w:r>
      <w:r w:rsidRPr="00216A71">
        <w:rPr>
          <w:rFonts w:cstheme="minorHAnsi"/>
          <w:szCs w:val="20"/>
        </w:rPr>
        <w:t xml:space="preserve"> “I think a more fundamental issue arises out of this whole thing: Is this model in public interest at all, where you have a private monopoly, a state-created private monopoly, which is supposedly regulated by a regulator. This model has created in-built incentives for corruption and this is what is happening. Consumers are being made to pay more and more because they have no choice</w:t>
      </w:r>
      <w:r w:rsidR="005D438D">
        <w:rPr>
          <w:rFonts w:cstheme="minorHAnsi"/>
          <w:szCs w:val="20"/>
        </w:rPr>
        <w:t>.</w:t>
      </w:r>
      <w:r w:rsidRPr="00216A71">
        <w:rPr>
          <w:rFonts w:cstheme="minorHAnsi"/>
          <w:szCs w:val="20"/>
        </w:rPr>
        <w:t>”</w:t>
      </w:r>
    </w:p>
    <w:p w:rsidR="000C629A" w:rsidRDefault="00DC2B15" w:rsidP="00673B04">
      <w:pPr>
        <w:rPr>
          <w:rFonts w:cstheme="minorHAnsi"/>
          <w:szCs w:val="20"/>
        </w:rPr>
      </w:pPr>
      <w:r w:rsidRPr="00216A71">
        <w:rPr>
          <w:rFonts w:cstheme="minorHAnsi"/>
          <w:szCs w:val="20"/>
        </w:rPr>
        <w:t>D</w:t>
      </w:r>
      <w:r w:rsidR="00673B04" w:rsidRPr="00216A71">
        <w:rPr>
          <w:rFonts w:cstheme="minorHAnsi"/>
          <w:szCs w:val="20"/>
        </w:rPr>
        <w:t xml:space="preserve">istribution losses </w:t>
      </w:r>
      <w:r w:rsidRPr="00216A71">
        <w:rPr>
          <w:rFonts w:cstheme="minorHAnsi"/>
          <w:szCs w:val="20"/>
        </w:rPr>
        <w:t>came down</w:t>
      </w:r>
      <w:r w:rsidR="00673B04" w:rsidRPr="00216A71">
        <w:rPr>
          <w:rFonts w:cstheme="minorHAnsi"/>
          <w:szCs w:val="20"/>
        </w:rPr>
        <w:t xml:space="preserve"> from 55 per cent to 15 per cent</w:t>
      </w:r>
      <w:r w:rsidRPr="00216A71">
        <w:rPr>
          <w:rFonts w:cstheme="minorHAnsi"/>
          <w:szCs w:val="20"/>
        </w:rPr>
        <w:t>, but there were no price reductions</w:t>
      </w:r>
      <w:r w:rsidR="004045AD">
        <w:rPr>
          <w:rFonts w:cstheme="minorHAnsi"/>
          <w:szCs w:val="20"/>
        </w:rPr>
        <w:t xml:space="preserve"> – </w:t>
      </w:r>
      <w:r w:rsidR="00673B04" w:rsidRPr="00216A71">
        <w:rPr>
          <w:rFonts w:cstheme="minorHAnsi"/>
          <w:szCs w:val="20"/>
        </w:rPr>
        <w:t xml:space="preserve">the entire gains </w:t>
      </w:r>
      <w:r w:rsidRPr="00216A71">
        <w:rPr>
          <w:rFonts w:cstheme="minorHAnsi"/>
          <w:szCs w:val="20"/>
        </w:rPr>
        <w:t>were</w:t>
      </w:r>
      <w:r w:rsidR="00673B04" w:rsidRPr="00216A71">
        <w:rPr>
          <w:rFonts w:cstheme="minorHAnsi"/>
          <w:szCs w:val="20"/>
        </w:rPr>
        <w:t xml:space="preserve"> cornered by the electricity companies</w:t>
      </w:r>
      <w:r w:rsidRPr="00216A71">
        <w:rPr>
          <w:rFonts w:cstheme="minorHAnsi"/>
          <w:szCs w:val="20"/>
        </w:rPr>
        <w:t>. The chief minister was so corruptly concerned with the interests of the electricity compan</w:t>
      </w:r>
      <w:r w:rsidR="00134E25" w:rsidRPr="00216A71">
        <w:rPr>
          <w:rFonts w:cstheme="minorHAnsi"/>
          <w:szCs w:val="20"/>
        </w:rPr>
        <w:t>ies</w:t>
      </w:r>
      <w:r w:rsidRPr="00216A71">
        <w:rPr>
          <w:rFonts w:cstheme="minorHAnsi"/>
          <w:szCs w:val="20"/>
        </w:rPr>
        <w:t xml:space="preserve"> that she prevented the regulator from order</w:t>
      </w:r>
      <w:r w:rsidR="005A2E06" w:rsidRPr="00216A71">
        <w:rPr>
          <w:rFonts w:cstheme="minorHAnsi"/>
          <w:szCs w:val="20"/>
        </w:rPr>
        <w:t>ing</w:t>
      </w:r>
      <w:r w:rsidRPr="00216A71">
        <w:rPr>
          <w:rFonts w:cstheme="minorHAnsi"/>
          <w:szCs w:val="20"/>
        </w:rPr>
        <w:t xml:space="preserve"> a reduction in the price of electricity.</w:t>
      </w:r>
      <w:r w:rsidR="004045AD">
        <w:rPr>
          <w:rFonts w:cstheme="minorHAnsi"/>
          <w:szCs w:val="20"/>
        </w:rPr>
        <w:t xml:space="preserve"> </w:t>
      </w:r>
      <w:r w:rsidR="00134E25" w:rsidRPr="00216A71">
        <w:rPr>
          <w:rFonts w:cstheme="minorHAnsi"/>
          <w:szCs w:val="20"/>
        </w:rPr>
        <w:t xml:space="preserve">Since the AAP won the election, it has ordered that the accounts of the </w:t>
      </w:r>
      <w:r w:rsidR="005D438D">
        <w:rPr>
          <w:rFonts w:cstheme="minorHAnsi"/>
          <w:szCs w:val="20"/>
        </w:rPr>
        <w:t>three</w:t>
      </w:r>
      <w:r w:rsidR="00134E25" w:rsidRPr="00216A71">
        <w:rPr>
          <w:rFonts w:cstheme="minorHAnsi"/>
          <w:szCs w:val="20"/>
        </w:rPr>
        <w:t xml:space="preserve"> private companies for the entire period of privatisation should be audited by the public auditor, the CAG.</w:t>
      </w:r>
      <w:r w:rsidR="005D438D">
        <w:rPr>
          <w:rStyle w:val="EndnoteReference"/>
          <w:rFonts w:cstheme="minorHAnsi"/>
          <w:szCs w:val="20"/>
        </w:rPr>
        <w:endnoteReference w:id="213"/>
      </w:r>
      <w:r w:rsidR="00673B04" w:rsidRPr="00216A71">
        <w:rPr>
          <w:rFonts w:cstheme="minorHAnsi"/>
          <w:szCs w:val="20"/>
        </w:rPr>
        <w:br/>
      </w:r>
    </w:p>
    <w:p w:rsidR="005D438D" w:rsidRPr="00191F44" w:rsidRDefault="00A60076" w:rsidP="00A60076">
      <w:pPr>
        <w:rPr>
          <w:rFonts w:cstheme="minorHAnsi"/>
          <w:b/>
          <w:szCs w:val="20"/>
        </w:rPr>
      </w:pPr>
      <w:r w:rsidRPr="00191F44">
        <w:rPr>
          <w:rFonts w:cstheme="minorHAnsi"/>
          <w:b/>
          <w:szCs w:val="20"/>
        </w:rPr>
        <w:t xml:space="preserve">Disaster risks: </w:t>
      </w:r>
    </w:p>
    <w:p w:rsidR="000C629A" w:rsidRDefault="005D438D" w:rsidP="00A60076">
      <w:pPr>
        <w:rPr>
          <w:rFonts w:cstheme="minorHAnsi"/>
          <w:szCs w:val="20"/>
        </w:rPr>
      </w:pPr>
      <w:r>
        <w:rPr>
          <w:rFonts w:cstheme="minorHAnsi"/>
          <w:szCs w:val="20"/>
        </w:rPr>
        <w:t>T</w:t>
      </w:r>
      <w:r w:rsidR="00A60076" w:rsidRPr="00216A71">
        <w:rPr>
          <w:rFonts w:cstheme="minorHAnsi"/>
          <w:szCs w:val="20"/>
        </w:rPr>
        <w:t>he UN 2013 report on reducing risks of disasters warns that private partners in infrastructure PPPs have commercial incentives to play down risks to avoid extra costs. As a result, “these partnerships do not nec</w:t>
      </w:r>
      <w:r w:rsidR="00A60076" w:rsidRPr="00216A71">
        <w:rPr>
          <w:rFonts w:cstheme="minorHAnsi"/>
          <w:szCs w:val="20"/>
        </w:rPr>
        <w:softHyphen/>
        <w:t>essarily lead to improved disaster risk assessment and management, and may underplay disaster risks or lead to their transfer as shared costs to the public sector or to city residents</w:t>
      </w:r>
      <w:r>
        <w:rPr>
          <w:rFonts w:cstheme="minorHAnsi"/>
          <w:szCs w:val="20"/>
        </w:rPr>
        <w:t>.</w:t>
      </w:r>
      <w:r w:rsidR="00A60076" w:rsidRPr="00216A71">
        <w:rPr>
          <w:rFonts w:cstheme="minorHAnsi"/>
          <w:szCs w:val="20"/>
        </w:rPr>
        <w:t>” It gives the example of the Delhi metro PPP, where more than 50 stations have been built in areas of high earthquake or flood hazard, despite the risks being well known and identified on municipal maps.</w:t>
      </w:r>
      <w:r w:rsidR="004045AD">
        <w:rPr>
          <w:rFonts w:cstheme="minorHAnsi"/>
          <w:szCs w:val="20"/>
        </w:rPr>
        <w:t xml:space="preserve"> </w:t>
      </w:r>
      <w:r w:rsidR="00A60076" w:rsidRPr="00216A71">
        <w:rPr>
          <w:rFonts w:cstheme="minorHAnsi"/>
          <w:szCs w:val="20"/>
        </w:rPr>
        <w:t>The metro itself is exposed to significantly greater risks, and further commer</w:t>
      </w:r>
      <w:r w:rsidR="00A60076" w:rsidRPr="00216A71">
        <w:rPr>
          <w:rFonts w:cstheme="minorHAnsi"/>
          <w:szCs w:val="20"/>
        </w:rPr>
        <w:softHyphen/>
        <w:t>cial expansion in the area extends the risks to future residents.</w:t>
      </w:r>
      <w:r w:rsidR="00A60076" w:rsidRPr="00216A71">
        <w:rPr>
          <w:rFonts w:cstheme="minorHAnsi"/>
          <w:szCs w:val="20"/>
          <w:vertAlign w:val="superscript"/>
        </w:rPr>
        <w:endnoteReference w:id="214"/>
      </w:r>
    </w:p>
    <w:p w:rsidR="00A60076" w:rsidRPr="00216A71" w:rsidRDefault="00A60076" w:rsidP="00CE3EAF">
      <w:pPr>
        <w:rPr>
          <w:rFonts w:cstheme="minorHAnsi"/>
          <w:b/>
          <w:iCs/>
          <w:szCs w:val="20"/>
        </w:rPr>
      </w:pPr>
      <w:r w:rsidRPr="00216A71">
        <w:rPr>
          <w:rFonts w:cstheme="minorHAnsi"/>
          <w:b/>
          <w:iCs/>
          <w:szCs w:val="20"/>
        </w:rPr>
        <w:t>Disaster risks: the Delhi metro</w:t>
      </w:r>
    </w:p>
    <w:p w:rsidR="00A60076" w:rsidRPr="00216A71" w:rsidRDefault="00A60076" w:rsidP="00A60076">
      <w:pPr>
        <w:jc w:val="center"/>
        <w:rPr>
          <w:rFonts w:cstheme="minorHAnsi"/>
          <w:szCs w:val="20"/>
        </w:rPr>
      </w:pPr>
      <w:r w:rsidRPr="00216A71">
        <w:rPr>
          <w:rFonts w:cstheme="minorHAnsi"/>
          <w:noProof/>
          <w:szCs w:val="20"/>
          <w:lang w:eastAsia="en-GB"/>
        </w:rPr>
        <w:lastRenderedPageBreak/>
        <w:drawing>
          <wp:inline distT="0" distB="0" distL="0" distR="0" wp14:anchorId="0CB5B6FA" wp14:editId="32393ABC">
            <wp:extent cx="3327187" cy="2212957"/>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34604" cy="2217890"/>
                    </a:xfrm>
                    <a:prstGeom prst="rect">
                      <a:avLst/>
                    </a:prstGeom>
                    <a:noFill/>
                    <a:ln>
                      <a:noFill/>
                    </a:ln>
                  </pic:spPr>
                </pic:pic>
              </a:graphicData>
            </a:graphic>
          </wp:inline>
        </w:drawing>
      </w:r>
    </w:p>
    <w:p w:rsidR="005D438D" w:rsidRPr="00191F44" w:rsidRDefault="001C6B5A" w:rsidP="001D0C18">
      <w:pPr>
        <w:spacing w:before="100" w:beforeAutospacing="1" w:after="100" w:afterAutospacing="1"/>
        <w:rPr>
          <w:rFonts w:cstheme="minorHAnsi"/>
          <w:b/>
          <w:szCs w:val="20"/>
        </w:rPr>
      </w:pPr>
      <w:r w:rsidRPr="00191F44">
        <w:rPr>
          <w:rFonts w:cstheme="minorHAnsi"/>
          <w:b/>
          <w:szCs w:val="20"/>
        </w:rPr>
        <w:t xml:space="preserve">Agriculture: </w:t>
      </w:r>
    </w:p>
    <w:p w:rsidR="00A60076" w:rsidRPr="00216A71" w:rsidRDefault="001C6B5A" w:rsidP="001D0C18">
      <w:pPr>
        <w:spacing w:before="100" w:beforeAutospacing="1" w:after="100" w:afterAutospacing="1"/>
        <w:rPr>
          <w:rFonts w:cstheme="minorHAnsi"/>
          <w:szCs w:val="20"/>
        </w:rPr>
      </w:pPr>
      <w:r w:rsidRPr="00216A71">
        <w:rPr>
          <w:rFonts w:cstheme="minorHAnsi"/>
          <w:szCs w:val="20"/>
        </w:rPr>
        <w:t>Many Indian farmers have been stressed by declining incomes, the need to grow crops using less water, and the need for assured markets for their products.</w:t>
      </w:r>
      <w:r w:rsidR="004045AD">
        <w:rPr>
          <w:rFonts w:cstheme="minorHAnsi"/>
          <w:szCs w:val="20"/>
        </w:rPr>
        <w:t xml:space="preserve"> </w:t>
      </w:r>
      <w:r w:rsidRPr="00216A71">
        <w:rPr>
          <w:rFonts w:cstheme="minorHAnsi"/>
          <w:szCs w:val="20"/>
        </w:rPr>
        <w:t>Global companies which make seeds, agrochemicals and other agricultural inputs presented a PPP as a solution to all the problems, and in 2011 Maharashtra state duly agreed such a PPP.</w:t>
      </w:r>
      <w:r w:rsidR="004045AD">
        <w:rPr>
          <w:rFonts w:cstheme="minorHAnsi"/>
          <w:szCs w:val="20"/>
        </w:rPr>
        <w:t xml:space="preserve"> </w:t>
      </w:r>
      <w:r w:rsidRPr="00216A71">
        <w:rPr>
          <w:rFonts w:cstheme="minorHAnsi"/>
          <w:szCs w:val="20"/>
        </w:rPr>
        <w:t>To improve yields and water efficiency, the farmers were encouraged to buy high yield hybrid seeds together with technical assistance on water usage, from the companies in the PPP</w:t>
      </w:r>
      <w:r w:rsidR="005D438D">
        <w:rPr>
          <w:rFonts w:cstheme="minorHAnsi"/>
          <w:szCs w:val="20"/>
        </w:rPr>
        <w:t>.</w:t>
      </w:r>
      <w:r w:rsidRPr="00216A71">
        <w:rPr>
          <w:rFonts w:cstheme="minorHAnsi"/>
          <w:szCs w:val="20"/>
        </w:rPr>
        <w:t xml:space="preserve"> </w:t>
      </w:r>
      <w:r w:rsidR="005D438D">
        <w:rPr>
          <w:rFonts w:cstheme="minorHAnsi"/>
          <w:szCs w:val="20"/>
        </w:rPr>
        <w:t>T</w:t>
      </w:r>
      <w:r w:rsidRPr="00216A71">
        <w:rPr>
          <w:rFonts w:cstheme="minorHAnsi"/>
          <w:szCs w:val="20"/>
        </w:rPr>
        <w:t>he central and state governments provide subsidies worth Rs 18 crore [=USD</w:t>
      </w:r>
      <w:r w:rsidR="005D438D">
        <w:rPr>
          <w:rFonts w:cstheme="minorHAnsi"/>
          <w:szCs w:val="20"/>
        </w:rPr>
        <w:t xml:space="preserve"> </w:t>
      </w:r>
      <w:r w:rsidRPr="00216A71">
        <w:rPr>
          <w:rFonts w:cstheme="minorHAnsi"/>
          <w:szCs w:val="20"/>
        </w:rPr>
        <w:t>$1.4</w:t>
      </w:r>
      <w:r w:rsidR="005D438D">
        <w:rPr>
          <w:rFonts w:cstheme="minorHAnsi"/>
          <w:szCs w:val="20"/>
        </w:rPr>
        <w:t xml:space="preserve"> </w:t>
      </w:r>
      <w:r w:rsidRPr="00216A71">
        <w:rPr>
          <w:rFonts w:cstheme="minorHAnsi"/>
          <w:szCs w:val="20"/>
        </w:rPr>
        <w:t>million), the farmers invested the same amount, and the companies invested only Rs 9 crore [=USD</w:t>
      </w:r>
      <w:r w:rsidR="005D438D">
        <w:rPr>
          <w:rFonts w:cstheme="minorHAnsi"/>
          <w:szCs w:val="20"/>
        </w:rPr>
        <w:t xml:space="preserve"> </w:t>
      </w:r>
      <w:r w:rsidRPr="00216A71">
        <w:rPr>
          <w:rFonts w:cstheme="minorHAnsi"/>
          <w:szCs w:val="20"/>
        </w:rPr>
        <w:t>$0.7</w:t>
      </w:r>
      <w:r w:rsidR="005D438D">
        <w:rPr>
          <w:rFonts w:cstheme="minorHAnsi"/>
          <w:szCs w:val="20"/>
        </w:rPr>
        <w:t xml:space="preserve"> </w:t>
      </w:r>
      <w:r w:rsidRPr="00216A71">
        <w:rPr>
          <w:rFonts w:cstheme="minorHAnsi"/>
          <w:szCs w:val="20"/>
        </w:rPr>
        <w:t>million] – but gained Rs 60 crore [USD</w:t>
      </w:r>
      <w:r w:rsidR="005D438D">
        <w:rPr>
          <w:rFonts w:cstheme="minorHAnsi"/>
          <w:szCs w:val="20"/>
        </w:rPr>
        <w:t xml:space="preserve"> </w:t>
      </w:r>
      <w:r w:rsidRPr="00216A71">
        <w:rPr>
          <w:rFonts w:cstheme="minorHAnsi"/>
          <w:szCs w:val="20"/>
        </w:rPr>
        <w:t>$9.6</w:t>
      </w:r>
      <w:r w:rsidR="005D438D">
        <w:rPr>
          <w:rFonts w:cstheme="minorHAnsi"/>
          <w:szCs w:val="20"/>
        </w:rPr>
        <w:t xml:space="preserve"> </w:t>
      </w:r>
      <w:r w:rsidRPr="00216A71">
        <w:rPr>
          <w:rFonts w:cstheme="minorHAnsi"/>
          <w:szCs w:val="20"/>
        </w:rPr>
        <w:t>million] of business.</w:t>
      </w:r>
      <w:r w:rsidR="004045AD">
        <w:rPr>
          <w:rFonts w:cstheme="minorHAnsi"/>
          <w:szCs w:val="20"/>
        </w:rPr>
        <w:t xml:space="preserve"> </w:t>
      </w:r>
      <w:r w:rsidRPr="00216A71">
        <w:rPr>
          <w:rFonts w:cstheme="minorHAnsi"/>
          <w:szCs w:val="20"/>
        </w:rPr>
        <w:t>Then the companies guaranteed to find a market for the farmers’ end produce, with the prices decided by ‘mutual agreement</w:t>
      </w:r>
      <w:r w:rsidR="005D438D">
        <w:rPr>
          <w:rFonts w:cstheme="minorHAnsi"/>
          <w:szCs w:val="20"/>
        </w:rPr>
        <w:t>.</w:t>
      </w:r>
      <w:r w:rsidRPr="00216A71">
        <w:rPr>
          <w:rFonts w:cstheme="minorHAnsi"/>
          <w:szCs w:val="20"/>
        </w:rPr>
        <w:t xml:space="preserve">’ </w:t>
      </w:r>
      <w:r w:rsidR="005D438D">
        <w:rPr>
          <w:rFonts w:cstheme="minorHAnsi"/>
          <w:szCs w:val="20"/>
        </w:rPr>
        <w:t>I</w:t>
      </w:r>
      <w:r w:rsidRPr="00216A71">
        <w:rPr>
          <w:rFonts w:cstheme="minorHAnsi"/>
          <w:szCs w:val="20"/>
        </w:rPr>
        <w:t xml:space="preserve">n practice </w:t>
      </w:r>
      <w:r w:rsidR="005D438D">
        <w:rPr>
          <w:rFonts w:cstheme="minorHAnsi"/>
          <w:szCs w:val="20"/>
        </w:rPr>
        <w:t xml:space="preserve">this means </w:t>
      </w:r>
      <w:r w:rsidRPr="00216A71">
        <w:rPr>
          <w:rFonts w:cstheme="minorHAnsi"/>
          <w:szCs w:val="20"/>
        </w:rPr>
        <w:t>that the companies dictate to farmers the prices they must accept.</w:t>
      </w:r>
      <w:r w:rsidR="00A60076" w:rsidRPr="00216A71">
        <w:rPr>
          <w:rFonts w:cstheme="minorHAnsi"/>
          <w:szCs w:val="20"/>
          <w:vertAlign w:val="superscript"/>
        </w:rPr>
        <w:endnoteReference w:id="215"/>
      </w:r>
      <w:r w:rsidR="005A2E06" w:rsidRPr="00216A71">
        <w:rPr>
          <w:rFonts w:cstheme="minorHAnsi"/>
          <w:szCs w:val="20"/>
        </w:rPr>
        <w:t xml:space="preserve"> </w:t>
      </w:r>
    </w:p>
    <w:p w:rsidR="00A60076" w:rsidRPr="00216A71" w:rsidRDefault="00A60076" w:rsidP="000C77D5">
      <w:pPr>
        <w:pStyle w:val="Heading2"/>
        <w:rPr>
          <w:rFonts w:asciiTheme="minorHAnsi" w:hAnsiTheme="minorHAnsi" w:cstheme="minorHAnsi"/>
          <w:szCs w:val="20"/>
        </w:rPr>
      </w:pPr>
      <w:bookmarkStart w:id="202" w:name="_Toc392857553"/>
      <w:r w:rsidRPr="00216A71">
        <w:rPr>
          <w:rFonts w:asciiTheme="minorHAnsi" w:hAnsiTheme="minorHAnsi" w:cstheme="minorHAnsi"/>
          <w:szCs w:val="20"/>
        </w:rPr>
        <w:t>Case study: corruption and renegotiation in Chile and Colombia</w:t>
      </w:r>
      <w:bookmarkEnd w:id="202"/>
      <w:r w:rsidR="004045AD">
        <w:rPr>
          <w:rFonts w:asciiTheme="minorHAnsi" w:hAnsiTheme="minorHAnsi" w:cstheme="minorHAnsi"/>
          <w:szCs w:val="20"/>
        </w:rPr>
        <w:t xml:space="preserve"> </w:t>
      </w:r>
    </w:p>
    <w:p w:rsidR="000C629A" w:rsidRDefault="00A60076" w:rsidP="00A60076">
      <w:pPr>
        <w:rPr>
          <w:rFonts w:cstheme="minorHAnsi"/>
          <w:szCs w:val="20"/>
        </w:rPr>
      </w:pPr>
      <w:r w:rsidRPr="00216A71">
        <w:rPr>
          <w:rFonts w:cstheme="minorHAnsi"/>
          <w:szCs w:val="20"/>
        </w:rPr>
        <w:t>In the 1990s, Chile started using PPPs for roads, ports and airports, as well as liberalising the electricity system using IPPs and privatising its regional water authorities.</w:t>
      </w:r>
      <w:r w:rsidR="004045AD">
        <w:rPr>
          <w:rFonts w:cstheme="minorHAnsi"/>
          <w:szCs w:val="20"/>
        </w:rPr>
        <w:t xml:space="preserve"> </w:t>
      </w:r>
      <w:r w:rsidRPr="00216A71">
        <w:rPr>
          <w:rFonts w:cstheme="minorHAnsi"/>
          <w:szCs w:val="20"/>
        </w:rPr>
        <w:t xml:space="preserve">However, there was widespread and systematic corruption in the Ministry of Public Works (Ministerio de Obras Publicas </w:t>
      </w:r>
      <w:r w:rsidR="005D438D">
        <w:rPr>
          <w:rFonts w:cstheme="minorHAnsi"/>
          <w:szCs w:val="20"/>
        </w:rPr>
        <w:t>(</w:t>
      </w:r>
      <w:r w:rsidRPr="00216A71">
        <w:rPr>
          <w:rFonts w:cstheme="minorHAnsi"/>
          <w:szCs w:val="20"/>
        </w:rPr>
        <w:t>MOP)</w:t>
      </w:r>
      <w:r w:rsidR="005D438D">
        <w:rPr>
          <w:rFonts w:cstheme="minorHAnsi"/>
          <w:szCs w:val="20"/>
        </w:rPr>
        <w:t>.</w:t>
      </w:r>
      <w:r w:rsidRPr="00216A71">
        <w:rPr>
          <w:rFonts w:cstheme="minorHAnsi"/>
          <w:szCs w:val="20"/>
        </w:rPr>
        <w:t xml:space="preserve"> The PPPs programme was halted for several years.</w:t>
      </w:r>
      <w:r w:rsidRPr="00216A71">
        <w:rPr>
          <w:rFonts w:cstheme="minorHAnsi"/>
          <w:szCs w:val="20"/>
          <w:vertAlign w:val="superscript"/>
        </w:rPr>
        <w:endnoteReference w:id="216"/>
      </w:r>
    </w:p>
    <w:p w:rsidR="000C629A" w:rsidRDefault="00A60076" w:rsidP="00A60076">
      <w:pPr>
        <w:rPr>
          <w:rFonts w:cstheme="minorHAnsi"/>
          <w:szCs w:val="20"/>
        </w:rPr>
      </w:pPr>
      <w:r w:rsidRPr="00216A71">
        <w:rPr>
          <w:rFonts w:cstheme="minorHAnsi"/>
          <w:szCs w:val="20"/>
        </w:rPr>
        <w:t>In Colombia, a new president halted the roads construction programme in 2010 because of corruption, and created a new government agency to oversee the process. He then appointed as head of this new agency Luis Fernando Andrade, the former head of McKinsey in Colombia. Under Andrade the total amount of government spending on roads will triple, and he has suggested the government borrow $23</w:t>
      </w:r>
      <w:r w:rsidR="001D0C18" w:rsidRPr="00216A71">
        <w:rPr>
          <w:rFonts w:cstheme="minorHAnsi"/>
          <w:szCs w:val="20"/>
        </w:rPr>
        <w:t xml:space="preserve"> </w:t>
      </w:r>
      <w:r w:rsidRPr="00216A71">
        <w:rPr>
          <w:rFonts w:cstheme="minorHAnsi"/>
          <w:szCs w:val="20"/>
        </w:rPr>
        <w:t xml:space="preserve">billion by issuing bonds, because private companies are unable to raise such cheap long-term finance themselves. </w:t>
      </w:r>
      <w:r w:rsidRPr="00216A71">
        <w:rPr>
          <w:rFonts w:cstheme="minorHAnsi"/>
          <w:szCs w:val="20"/>
          <w:vertAlign w:val="superscript"/>
        </w:rPr>
        <w:endnoteReference w:id="217"/>
      </w:r>
    </w:p>
    <w:p w:rsidR="00A60076" w:rsidRPr="00216A71" w:rsidRDefault="00A60076" w:rsidP="00A60076">
      <w:pPr>
        <w:rPr>
          <w:rFonts w:cstheme="minorHAnsi"/>
          <w:szCs w:val="20"/>
        </w:rPr>
      </w:pPr>
      <w:r w:rsidRPr="00216A71">
        <w:rPr>
          <w:rFonts w:cstheme="minorHAnsi"/>
          <w:szCs w:val="20"/>
        </w:rPr>
        <w:t xml:space="preserve">An analysis of road concessions in Chile, Colombia and Peru found that the great majority of these PPPs were renegotiated within the first </w:t>
      </w:r>
      <w:r w:rsidR="005D438D">
        <w:rPr>
          <w:rFonts w:cstheme="minorHAnsi"/>
          <w:szCs w:val="20"/>
        </w:rPr>
        <w:t>three</w:t>
      </w:r>
      <w:r w:rsidRPr="00216A71">
        <w:rPr>
          <w:rFonts w:cstheme="minorHAnsi"/>
          <w:szCs w:val="20"/>
        </w:rPr>
        <w:t xml:space="preserve"> years, leading to cost increases of between 20</w:t>
      </w:r>
      <w:r w:rsidR="00A42FDE">
        <w:rPr>
          <w:rFonts w:cstheme="minorHAnsi"/>
          <w:szCs w:val="20"/>
        </w:rPr>
        <w:t xml:space="preserve"> per cent</w:t>
      </w:r>
      <w:r w:rsidRPr="00216A71">
        <w:rPr>
          <w:rFonts w:cstheme="minorHAnsi"/>
          <w:szCs w:val="20"/>
        </w:rPr>
        <w:t xml:space="preserve"> and 100</w:t>
      </w:r>
      <w:r w:rsidR="00A42FDE">
        <w:rPr>
          <w:rFonts w:cstheme="minorHAnsi"/>
          <w:szCs w:val="20"/>
        </w:rPr>
        <w:t xml:space="preserve"> per cent</w:t>
      </w:r>
      <w:r w:rsidRPr="00216A71">
        <w:rPr>
          <w:rFonts w:cstheme="minorHAnsi"/>
          <w:szCs w:val="20"/>
        </w:rPr>
        <w:t>. The best option would have been to use public finance and improve the efficiency of the public sector operations.</w:t>
      </w:r>
      <w:r w:rsidRPr="00216A71">
        <w:rPr>
          <w:rFonts w:cstheme="minorHAnsi"/>
          <w:szCs w:val="20"/>
          <w:vertAlign w:val="superscript"/>
          <w:lang w:val="fr-FR"/>
        </w:rPr>
        <w:endnoteReference w:id="218"/>
      </w: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5D438D" w:rsidRPr="005D438D" w:rsidRDefault="005D438D" w:rsidP="00781FBC">
      <w:pPr>
        <w:pStyle w:val="ListParagraph"/>
        <w:numPr>
          <w:ilvl w:val="0"/>
          <w:numId w:val="53"/>
        </w:numPr>
        <w:spacing w:before="240" w:after="60"/>
        <w:contextualSpacing w:val="0"/>
        <w:outlineLvl w:val="6"/>
        <w:rPr>
          <w:rFonts w:cstheme="minorHAnsi"/>
          <w:b/>
          <w:vanish/>
          <w:szCs w:val="20"/>
        </w:rPr>
      </w:pPr>
    </w:p>
    <w:p w:rsidR="00A60076" w:rsidRPr="00216A71" w:rsidRDefault="00A60076" w:rsidP="00781FBC">
      <w:pPr>
        <w:numPr>
          <w:ilvl w:val="0"/>
          <w:numId w:val="53"/>
        </w:numPr>
        <w:spacing w:before="240" w:after="60"/>
        <w:outlineLvl w:val="6"/>
        <w:rPr>
          <w:rFonts w:cstheme="minorHAnsi"/>
          <w:b/>
          <w:szCs w:val="20"/>
        </w:rPr>
      </w:pPr>
      <w:r w:rsidRPr="00216A71">
        <w:rPr>
          <w:rFonts w:cstheme="minorHAnsi"/>
          <w:b/>
          <w:szCs w:val="20"/>
        </w:rPr>
        <w:t>The costs of renegotiation of PPPs: Chile, Colombia, Peru</w:t>
      </w:r>
    </w:p>
    <w:tbl>
      <w:tblPr>
        <w:tblStyle w:val="TableGrid"/>
        <w:tblW w:w="0" w:type="auto"/>
        <w:tblLook w:val="04A0" w:firstRow="1" w:lastRow="0" w:firstColumn="1" w:lastColumn="0" w:noHBand="0" w:noVBand="1"/>
      </w:tblPr>
      <w:tblGrid>
        <w:gridCol w:w="675"/>
        <w:gridCol w:w="3266"/>
        <w:gridCol w:w="1971"/>
        <w:gridCol w:w="1971"/>
        <w:gridCol w:w="1971"/>
      </w:tblGrid>
      <w:tr w:rsidR="00A60076" w:rsidRPr="00216A71" w:rsidTr="00AF66B3">
        <w:tc>
          <w:tcPr>
            <w:tcW w:w="675" w:type="dxa"/>
          </w:tcPr>
          <w:p w:rsidR="00A60076" w:rsidRPr="00216A71" w:rsidRDefault="00A60076" w:rsidP="00A60076">
            <w:pPr>
              <w:rPr>
                <w:rFonts w:cstheme="minorHAnsi"/>
                <w:szCs w:val="20"/>
              </w:rPr>
            </w:pPr>
          </w:p>
        </w:tc>
        <w:tc>
          <w:tcPr>
            <w:tcW w:w="3266" w:type="dxa"/>
          </w:tcPr>
          <w:p w:rsidR="00A60076" w:rsidRPr="00216A71" w:rsidRDefault="00A60076" w:rsidP="00A60076">
            <w:pPr>
              <w:rPr>
                <w:rFonts w:cstheme="minorHAnsi"/>
                <w:szCs w:val="20"/>
              </w:rPr>
            </w:pPr>
          </w:p>
        </w:tc>
        <w:tc>
          <w:tcPr>
            <w:tcW w:w="1971" w:type="dxa"/>
          </w:tcPr>
          <w:p w:rsidR="00A60076" w:rsidRPr="00216A71" w:rsidRDefault="00A60076" w:rsidP="00A60076">
            <w:pPr>
              <w:jc w:val="center"/>
              <w:rPr>
                <w:rFonts w:cstheme="minorHAnsi"/>
                <w:szCs w:val="20"/>
              </w:rPr>
            </w:pPr>
            <w:r w:rsidRPr="00216A71">
              <w:rPr>
                <w:rFonts w:cstheme="minorHAnsi"/>
                <w:szCs w:val="20"/>
              </w:rPr>
              <w:t>Chile</w:t>
            </w:r>
          </w:p>
        </w:tc>
        <w:tc>
          <w:tcPr>
            <w:tcW w:w="1971" w:type="dxa"/>
          </w:tcPr>
          <w:p w:rsidR="00A60076" w:rsidRPr="00216A71" w:rsidRDefault="00A60076" w:rsidP="00A60076">
            <w:pPr>
              <w:jc w:val="center"/>
              <w:rPr>
                <w:rFonts w:cstheme="minorHAnsi"/>
                <w:szCs w:val="20"/>
              </w:rPr>
            </w:pPr>
            <w:r w:rsidRPr="00216A71">
              <w:rPr>
                <w:rFonts w:cstheme="minorHAnsi"/>
                <w:szCs w:val="20"/>
              </w:rPr>
              <w:t>Colombia</w:t>
            </w:r>
          </w:p>
        </w:tc>
        <w:tc>
          <w:tcPr>
            <w:tcW w:w="1971" w:type="dxa"/>
          </w:tcPr>
          <w:p w:rsidR="00A60076" w:rsidRPr="00216A71" w:rsidRDefault="00A60076" w:rsidP="00A60076">
            <w:pPr>
              <w:jc w:val="center"/>
              <w:rPr>
                <w:rFonts w:cstheme="minorHAnsi"/>
                <w:szCs w:val="20"/>
              </w:rPr>
            </w:pPr>
            <w:r w:rsidRPr="00216A71">
              <w:rPr>
                <w:rFonts w:cstheme="minorHAnsi"/>
                <w:szCs w:val="20"/>
              </w:rPr>
              <w:t>Peru</w:t>
            </w:r>
          </w:p>
        </w:tc>
      </w:tr>
      <w:tr w:rsidR="00A60076" w:rsidRPr="00216A71" w:rsidTr="00AF66B3">
        <w:tc>
          <w:tcPr>
            <w:tcW w:w="675" w:type="dxa"/>
          </w:tcPr>
          <w:p w:rsidR="00A60076" w:rsidRPr="00216A71" w:rsidRDefault="00A60076" w:rsidP="00A60076">
            <w:pPr>
              <w:rPr>
                <w:rFonts w:cstheme="minorHAnsi"/>
                <w:szCs w:val="20"/>
              </w:rPr>
            </w:pPr>
          </w:p>
        </w:tc>
        <w:tc>
          <w:tcPr>
            <w:tcW w:w="3266" w:type="dxa"/>
          </w:tcPr>
          <w:p w:rsidR="00A60076" w:rsidRPr="00216A71" w:rsidRDefault="00A60076" w:rsidP="00A60076">
            <w:pPr>
              <w:rPr>
                <w:rFonts w:cstheme="minorHAnsi"/>
                <w:szCs w:val="20"/>
              </w:rPr>
            </w:pPr>
          </w:p>
        </w:tc>
        <w:tc>
          <w:tcPr>
            <w:tcW w:w="1971" w:type="dxa"/>
          </w:tcPr>
          <w:p w:rsidR="00A60076" w:rsidRPr="00216A71" w:rsidRDefault="00A60076" w:rsidP="00A60076">
            <w:pPr>
              <w:jc w:val="right"/>
              <w:rPr>
                <w:rFonts w:cstheme="minorHAnsi"/>
                <w:szCs w:val="20"/>
              </w:rPr>
            </w:pPr>
          </w:p>
        </w:tc>
        <w:tc>
          <w:tcPr>
            <w:tcW w:w="1971" w:type="dxa"/>
          </w:tcPr>
          <w:p w:rsidR="00A60076" w:rsidRPr="00216A71" w:rsidRDefault="00A60076" w:rsidP="00A60076">
            <w:pPr>
              <w:jc w:val="right"/>
              <w:rPr>
                <w:rFonts w:cstheme="minorHAnsi"/>
                <w:szCs w:val="20"/>
              </w:rPr>
            </w:pPr>
          </w:p>
        </w:tc>
        <w:tc>
          <w:tcPr>
            <w:tcW w:w="1971" w:type="dxa"/>
          </w:tcPr>
          <w:p w:rsidR="00A60076" w:rsidRPr="00216A71" w:rsidRDefault="00A60076" w:rsidP="00A60076">
            <w:pPr>
              <w:jc w:val="right"/>
              <w:rPr>
                <w:rFonts w:cstheme="minorHAnsi"/>
                <w:szCs w:val="20"/>
              </w:rPr>
            </w:pPr>
          </w:p>
        </w:tc>
      </w:tr>
      <w:tr w:rsidR="00A60076" w:rsidRPr="00216A71" w:rsidTr="00AF66B3">
        <w:tc>
          <w:tcPr>
            <w:tcW w:w="675" w:type="dxa"/>
          </w:tcPr>
          <w:p w:rsidR="00A60076" w:rsidRPr="00216A71" w:rsidRDefault="00A60076" w:rsidP="00A60076">
            <w:pPr>
              <w:rPr>
                <w:rFonts w:cstheme="minorHAnsi"/>
                <w:szCs w:val="20"/>
              </w:rPr>
            </w:pPr>
          </w:p>
        </w:tc>
        <w:tc>
          <w:tcPr>
            <w:tcW w:w="3266" w:type="dxa"/>
          </w:tcPr>
          <w:p w:rsidR="00A60076" w:rsidRPr="00216A71" w:rsidRDefault="00A60076" w:rsidP="00A60076">
            <w:pPr>
              <w:rPr>
                <w:rFonts w:cstheme="minorHAnsi"/>
                <w:szCs w:val="20"/>
              </w:rPr>
            </w:pPr>
            <w:r w:rsidRPr="00216A71">
              <w:rPr>
                <w:rFonts w:cstheme="minorHAnsi"/>
                <w:szCs w:val="20"/>
              </w:rPr>
              <w:t>Number</w:t>
            </w:r>
          </w:p>
        </w:tc>
        <w:tc>
          <w:tcPr>
            <w:tcW w:w="1971" w:type="dxa"/>
          </w:tcPr>
          <w:p w:rsidR="00A60076" w:rsidRPr="00216A71" w:rsidRDefault="00A60076" w:rsidP="00A60076">
            <w:pPr>
              <w:jc w:val="right"/>
              <w:rPr>
                <w:rFonts w:cstheme="minorHAnsi"/>
                <w:szCs w:val="20"/>
              </w:rPr>
            </w:pPr>
            <w:r w:rsidRPr="00216A71">
              <w:rPr>
                <w:rFonts w:cstheme="minorHAnsi"/>
                <w:szCs w:val="20"/>
              </w:rPr>
              <w:t>21</w:t>
            </w:r>
          </w:p>
        </w:tc>
        <w:tc>
          <w:tcPr>
            <w:tcW w:w="1971" w:type="dxa"/>
          </w:tcPr>
          <w:p w:rsidR="00A60076" w:rsidRPr="00216A71" w:rsidRDefault="00A60076" w:rsidP="00A60076">
            <w:pPr>
              <w:jc w:val="right"/>
              <w:rPr>
                <w:rFonts w:cstheme="minorHAnsi"/>
                <w:szCs w:val="20"/>
              </w:rPr>
            </w:pPr>
            <w:r w:rsidRPr="00216A71">
              <w:rPr>
                <w:rFonts w:cstheme="minorHAnsi"/>
                <w:szCs w:val="20"/>
              </w:rPr>
              <w:t>25</w:t>
            </w:r>
          </w:p>
        </w:tc>
        <w:tc>
          <w:tcPr>
            <w:tcW w:w="1971" w:type="dxa"/>
          </w:tcPr>
          <w:p w:rsidR="00A60076" w:rsidRPr="00216A71" w:rsidRDefault="00A60076" w:rsidP="00A60076">
            <w:pPr>
              <w:jc w:val="right"/>
              <w:rPr>
                <w:rFonts w:cstheme="minorHAnsi"/>
                <w:szCs w:val="20"/>
              </w:rPr>
            </w:pPr>
            <w:r w:rsidRPr="00216A71">
              <w:rPr>
                <w:rFonts w:cstheme="minorHAnsi"/>
                <w:szCs w:val="20"/>
              </w:rPr>
              <w:t>15</w:t>
            </w:r>
          </w:p>
        </w:tc>
      </w:tr>
      <w:tr w:rsidR="00A60076" w:rsidRPr="00216A71" w:rsidTr="00AF66B3">
        <w:tc>
          <w:tcPr>
            <w:tcW w:w="675" w:type="dxa"/>
          </w:tcPr>
          <w:p w:rsidR="00A60076" w:rsidRPr="00216A71" w:rsidRDefault="00A60076" w:rsidP="00A60076">
            <w:pPr>
              <w:rPr>
                <w:rFonts w:cstheme="minorHAnsi"/>
                <w:szCs w:val="20"/>
              </w:rPr>
            </w:pPr>
          </w:p>
        </w:tc>
        <w:tc>
          <w:tcPr>
            <w:tcW w:w="3266" w:type="dxa"/>
          </w:tcPr>
          <w:p w:rsidR="00A60076" w:rsidRPr="00216A71" w:rsidRDefault="00A60076" w:rsidP="00A60076">
            <w:pPr>
              <w:rPr>
                <w:rFonts w:cstheme="minorHAnsi"/>
                <w:szCs w:val="20"/>
              </w:rPr>
            </w:pPr>
            <w:r w:rsidRPr="00216A71">
              <w:rPr>
                <w:rFonts w:cstheme="minorHAnsi"/>
                <w:szCs w:val="20"/>
              </w:rPr>
              <w:t>Original value (USD $ million)</w:t>
            </w:r>
          </w:p>
        </w:tc>
        <w:tc>
          <w:tcPr>
            <w:tcW w:w="1971" w:type="dxa"/>
          </w:tcPr>
          <w:p w:rsidR="00A60076" w:rsidRPr="00216A71" w:rsidRDefault="00A60076" w:rsidP="005D438D">
            <w:pPr>
              <w:jc w:val="right"/>
              <w:rPr>
                <w:rFonts w:cstheme="minorHAnsi"/>
                <w:szCs w:val="20"/>
              </w:rPr>
            </w:pPr>
            <w:r w:rsidRPr="00216A71">
              <w:rPr>
                <w:rFonts w:cstheme="minorHAnsi"/>
                <w:szCs w:val="20"/>
              </w:rPr>
              <w:t>$281.3</w:t>
            </w:r>
          </w:p>
        </w:tc>
        <w:tc>
          <w:tcPr>
            <w:tcW w:w="1971" w:type="dxa"/>
          </w:tcPr>
          <w:p w:rsidR="00A60076" w:rsidRPr="00216A71" w:rsidRDefault="00A60076" w:rsidP="005D438D">
            <w:pPr>
              <w:jc w:val="right"/>
              <w:rPr>
                <w:rFonts w:cstheme="minorHAnsi"/>
                <w:szCs w:val="20"/>
              </w:rPr>
            </w:pPr>
            <w:r w:rsidRPr="00216A71">
              <w:rPr>
                <w:rFonts w:cstheme="minorHAnsi"/>
                <w:szCs w:val="20"/>
              </w:rPr>
              <w:t>$263.2</w:t>
            </w:r>
          </w:p>
        </w:tc>
        <w:tc>
          <w:tcPr>
            <w:tcW w:w="1971" w:type="dxa"/>
          </w:tcPr>
          <w:p w:rsidR="00A60076" w:rsidRPr="00216A71" w:rsidRDefault="00A60076" w:rsidP="005D438D">
            <w:pPr>
              <w:jc w:val="right"/>
              <w:rPr>
                <w:rFonts w:cstheme="minorHAnsi"/>
                <w:szCs w:val="20"/>
              </w:rPr>
            </w:pPr>
            <w:r w:rsidRPr="00216A71">
              <w:rPr>
                <w:rFonts w:cstheme="minorHAnsi"/>
                <w:szCs w:val="20"/>
              </w:rPr>
              <w:t>$155.2</w:t>
            </w:r>
          </w:p>
        </w:tc>
      </w:tr>
      <w:tr w:rsidR="00A60076" w:rsidRPr="00216A71" w:rsidTr="00AF66B3">
        <w:tc>
          <w:tcPr>
            <w:tcW w:w="675" w:type="dxa"/>
          </w:tcPr>
          <w:p w:rsidR="00A60076" w:rsidRPr="00216A71" w:rsidRDefault="00A60076" w:rsidP="00A60076">
            <w:pPr>
              <w:rPr>
                <w:rFonts w:cstheme="minorHAnsi"/>
                <w:szCs w:val="20"/>
              </w:rPr>
            </w:pPr>
          </w:p>
        </w:tc>
        <w:tc>
          <w:tcPr>
            <w:tcW w:w="3266" w:type="dxa"/>
          </w:tcPr>
          <w:p w:rsidR="00A60076" w:rsidRPr="00216A71" w:rsidRDefault="00A60076" w:rsidP="00A60076">
            <w:pPr>
              <w:rPr>
                <w:rFonts w:cstheme="minorHAnsi"/>
                <w:szCs w:val="20"/>
              </w:rPr>
            </w:pPr>
            <w:r w:rsidRPr="00216A71">
              <w:rPr>
                <w:rFonts w:cstheme="minorHAnsi"/>
                <w:szCs w:val="20"/>
              </w:rPr>
              <w:t xml:space="preserve">Number renegotiated </w:t>
            </w:r>
          </w:p>
        </w:tc>
        <w:tc>
          <w:tcPr>
            <w:tcW w:w="1971" w:type="dxa"/>
          </w:tcPr>
          <w:p w:rsidR="00A60076" w:rsidRPr="00216A71" w:rsidRDefault="00A60076" w:rsidP="00A60076">
            <w:pPr>
              <w:jc w:val="right"/>
              <w:rPr>
                <w:rFonts w:cstheme="minorHAnsi"/>
                <w:szCs w:val="20"/>
              </w:rPr>
            </w:pPr>
            <w:r w:rsidRPr="00216A71">
              <w:rPr>
                <w:rFonts w:cstheme="minorHAnsi"/>
                <w:szCs w:val="20"/>
              </w:rPr>
              <w:t>18</w:t>
            </w:r>
          </w:p>
        </w:tc>
        <w:tc>
          <w:tcPr>
            <w:tcW w:w="1971" w:type="dxa"/>
          </w:tcPr>
          <w:p w:rsidR="00A60076" w:rsidRPr="00216A71" w:rsidRDefault="00A60076" w:rsidP="00A60076">
            <w:pPr>
              <w:jc w:val="right"/>
              <w:rPr>
                <w:rFonts w:cstheme="minorHAnsi"/>
                <w:szCs w:val="20"/>
              </w:rPr>
            </w:pPr>
            <w:r w:rsidRPr="00216A71">
              <w:rPr>
                <w:rFonts w:cstheme="minorHAnsi"/>
                <w:szCs w:val="20"/>
              </w:rPr>
              <w:t>21</w:t>
            </w:r>
          </w:p>
        </w:tc>
        <w:tc>
          <w:tcPr>
            <w:tcW w:w="1971" w:type="dxa"/>
          </w:tcPr>
          <w:p w:rsidR="00A60076" w:rsidRPr="00216A71" w:rsidRDefault="00A60076" w:rsidP="00A60076">
            <w:pPr>
              <w:jc w:val="right"/>
              <w:rPr>
                <w:rFonts w:cstheme="minorHAnsi"/>
                <w:szCs w:val="20"/>
              </w:rPr>
            </w:pPr>
            <w:r w:rsidRPr="00216A71">
              <w:rPr>
                <w:rFonts w:cstheme="minorHAnsi"/>
                <w:szCs w:val="20"/>
              </w:rPr>
              <w:t>11</w:t>
            </w:r>
          </w:p>
        </w:tc>
      </w:tr>
      <w:tr w:rsidR="00A60076" w:rsidRPr="00216A71" w:rsidTr="00AF66B3">
        <w:tc>
          <w:tcPr>
            <w:tcW w:w="675" w:type="dxa"/>
          </w:tcPr>
          <w:p w:rsidR="00A60076" w:rsidRPr="00216A71" w:rsidRDefault="00A60076" w:rsidP="00A60076">
            <w:pPr>
              <w:rPr>
                <w:rFonts w:cstheme="minorHAnsi"/>
                <w:szCs w:val="20"/>
              </w:rPr>
            </w:pPr>
          </w:p>
        </w:tc>
        <w:tc>
          <w:tcPr>
            <w:tcW w:w="3266" w:type="dxa"/>
          </w:tcPr>
          <w:p w:rsidR="00A60076" w:rsidRPr="00216A71" w:rsidRDefault="00A60076" w:rsidP="00A60076">
            <w:pPr>
              <w:rPr>
                <w:rFonts w:cstheme="minorHAnsi"/>
                <w:szCs w:val="20"/>
              </w:rPr>
            </w:pPr>
            <w:r w:rsidRPr="00216A71">
              <w:rPr>
                <w:rFonts w:cstheme="minorHAnsi"/>
                <w:szCs w:val="20"/>
              </w:rPr>
              <w:t>% of concessions renegotiated</w:t>
            </w:r>
          </w:p>
        </w:tc>
        <w:tc>
          <w:tcPr>
            <w:tcW w:w="1971" w:type="dxa"/>
          </w:tcPr>
          <w:p w:rsidR="00A60076" w:rsidRPr="00216A71" w:rsidRDefault="00A60076" w:rsidP="00A60076">
            <w:pPr>
              <w:jc w:val="right"/>
              <w:rPr>
                <w:rFonts w:cstheme="minorHAnsi"/>
                <w:szCs w:val="20"/>
              </w:rPr>
            </w:pPr>
            <w:r w:rsidRPr="00216A71">
              <w:rPr>
                <w:rFonts w:cstheme="minorHAnsi"/>
                <w:szCs w:val="20"/>
              </w:rPr>
              <w:t>86%</w:t>
            </w:r>
          </w:p>
        </w:tc>
        <w:tc>
          <w:tcPr>
            <w:tcW w:w="1971" w:type="dxa"/>
          </w:tcPr>
          <w:p w:rsidR="00A60076" w:rsidRPr="00216A71" w:rsidRDefault="00A60076" w:rsidP="00A60076">
            <w:pPr>
              <w:jc w:val="right"/>
              <w:rPr>
                <w:rFonts w:cstheme="minorHAnsi"/>
                <w:szCs w:val="20"/>
              </w:rPr>
            </w:pPr>
            <w:r w:rsidRPr="00216A71">
              <w:rPr>
                <w:rFonts w:cstheme="minorHAnsi"/>
                <w:szCs w:val="20"/>
              </w:rPr>
              <w:t>84%</w:t>
            </w:r>
          </w:p>
        </w:tc>
        <w:tc>
          <w:tcPr>
            <w:tcW w:w="1971" w:type="dxa"/>
          </w:tcPr>
          <w:p w:rsidR="00A60076" w:rsidRPr="00216A71" w:rsidRDefault="00A60076" w:rsidP="00A60076">
            <w:pPr>
              <w:jc w:val="right"/>
              <w:rPr>
                <w:rFonts w:cstheme="minorHAnsi"/>
                <w:szCs w:val="20"/>
              </w:rPr>
            </w:pPr>
            <w:r w:rsidRPr="00216A71">
              <w:rPr>
                <w:rFonts w:cstheme="minorHAnsi"/>
                <w:szCs w:val="20"/>
              </w:rPr>
              <w:t>73%</w:t>
            </w:r>
          </w:p>
        </w:tc>
      </w:tr>
      <w:tr w:rsidR="00A60076" w:rsidRPr="00216A71" w:rsidTr="00AF66B3">
        <w:tc>
          <w:tcPr>
            <w:tcW w:w="675" w:type="dxa"/>
          </w:tcPr>
          <w:p w:rsidR="00A60076" w:rsidRPr="00216A71" w:rsidRDefault="00A60076" w:rsidP="00A60076">
            <w:pPr>
              <w:rPr>
                <w:rFonts w:cstheme="minorHAnsi"/>
                <w:szCs w:val="20"/>
              </w:rPr>
            </w:pPr>
          </w:p>
        </w:tc>
        <w:tc>
          <w:tcPr>
            <w:tcW w:w="3266" w:type="dxa"/>
          </w:tcPr>
          <w:p w:rsidR="00A60076" w:rsidRPr="00216A71" w:rsidRDefault="00A60076" w:rsidP="00A60076">
            <w:pPr>
              <w:rPr>
                <w:rFonts w:cstheme="minorHAnsi"/>
                <w:szCs w:val="20"/>
              </w:rPr>
            </w:pPr>
            <w:r w:rsidRPr="00216A71">
              <w:rPr>
                <w:rFonts w:cstheme="minorHAnsi"/>
                <w:szCs w:val="20"/>
              </w:rPr>
              <w:t>Extra public cost</w:t>
            </w:r>
            <w:r w:rsidR="004045AD">
              <w:rPr>
                <w:rFonts w:cstheme="minorHAnsi"/>
                <w:szCs w:val="20"/>
              </w:rPr>
              <w:t xml:space="preserve"> </w:t>
            </w:r>
            <w:r w:rsidRPr="00216A71">
              <w:rPr>
                <w:rFonts w:cstheme="minorHAnsi"/>
                <w:szCs w:val="20"/>
              </w:rPr>
              <w:t>from renegotiations</w:t>
            </w:r>
            <w:r w:rsidR="004045AD">
              <w:rPr>
                <w:rFonts w:cstheme="minorHAnsi"/>
                <w:szCs w:val="20"/>
              </w:rPr>
              <w:t xml:space="preserve"> </w:t>
            </w:r>
            <w:r w:rsidRPr="00216A71">
              <w:rPr>
                <w:rFonts w:cstheme="minorHAnsi"/>
                <w:szCs w:val="20"/>
              </w:rPr>
              <w:t>(USD $ million)</w:t>
            </w:r>
          </w:p>
        </w:tc>
        <w:tc>
          <w:tcPr>
            <w:tcW w:w="1971" w:type="dxa"/>
          </w:tcPr>
          <w:p w:rsidR="00A60076" w:rsidRPr="00216A71" w:rsidRDefault="00A60076" w:rsidP="005531B9">
            <w:pPr>
              <w:jc w:val="right"/>
              <w:rPr>
                <w:rFonts w:cstheme="minorHAnsi"/>
                <w:szCs w:val="20"/>
              </w:rPr>
            </w:pPr>
            <w:r w:rsidRPr="00216A71">
              <w:rPr>
                <w:rFonts w:cstheme="minorHAnsi"/>
                <w:szCs w:val="20"/>
              </w:rPr>
              <w:t>$54.8</w:t>
            </w:r>
          </w:p>
        </w:tc>
        <w:tc>
          <w:tcPr>
            <w:tcW w:w="1971" w:type="dxa"/>
          </w:tcPr>
          <w:p w:rsidR="00A60076" w:rsidRPr="00216A71" w:rsidRDefault="00A60076" w:rsidP="005531B9">
            <w:pPr>
              <w:jc w:val="right"/>
              <w:rPr>
                <w:rFonts w:cstheme="minorHAnsi"/>
                <w:szCs w:val="20"/>
              </w:rPr>
            </w:pPr>
            <w:r w:rsidRPr="00216A71">
              <w:rPr>
                <w:rFonts w:cstheme="minorHAnsi"/>
                <w:szCs w:val="20"/>
              </w:rPr>
              <w:t>$262.5</w:t>
            </w:r>
          </w:p>
        </w:tc>
        <w:tc>
          <w:tcPr>
            <w:tcW w:w="1971" w:type="dxa"/>
          </w:tcPr>
          <w:p w:rsidR="00A60076" w:rsidRPr="00216A71" w:rsidRDefault="00A60076" w:rsidP="005531B9">
            <w:pPr>
              <w:jc w:val="right"/>
              <w:rPr>
                <w:rFonts w:cstheme="minorHAnsi"/>
                <w:szCs w:val="20"/>
              </w:rPr>
            </w:pPr>
            <w:r w:rsidRPr="00216A71">
              <w:rPr>
                <w:rFonts w:cstheme="minorHAnsi"/>
                <w:szCs w:val="20"/>
              </w:rPr>
              <w:t>$223.0</w:t>
            </w:r>
          </w:p>
        </w:tc>
      </w:tr>
      <w:tr w:rsidR="00A60076" w:rsidRPr="00216A71" w:rsidTr="00AF66B3">
        <w:tc>
          <w:tcPr>
            <w:tcW w:w="675" w:type="dxa"/>
          </w:tcPr>
          <w:p w:rsidR="00A60076" w:rsidRPr="00216A71" w:rsidRDefault="00A60076" w:rsidP="00A60076">
            <w:pPr>
              <w:rPr>
                <w:rFonts w:cstheme="minorHAnsi"/>
                <w:szCs w:val="20"/>
              </w:rPr>
            </w:pPr>
          </w:p>
        </w:tc>
        <w:tc>
          <w:tcPr>
            <w:tcW w:w="3266" w:type="dxa"/>
          </w:tcPr>
          <w:p w:rsidR="00A60076" w:rsidRPr="00216A71" w:rsidRDefault="00A60076" w:rsidP="00A60076">
            <w:pPr>
              <w:rPr>
                <w:rFonts w:cstheme="minorHAnsi"/>
                <w:szCs w:val="20"/>
              </w:rPr>
            </w:pPr>
            <w:r w:rsidRPr="00216A71">
              <w:rPr>
                <w:rFonts w:cstheme="minorHAnsi"/>
                <w:szCs w:val="20"/>
              </w:rPr>
              <w:t>Extra cost as % of original value</w:t>
            </w:r>
          </w:p>
        </w:tc>
        <w:tc>
          <w:tcPr>
            <w:tcW w:w="1971" w:type="dxa"/>
          </w:tcPr>
          <w:p w:rsidR="00A60076" w:rsidRPr="00216A71" w:rsidRDefault="00A60076" w:rsidP="00A60076">
            <w:pPr>
              <w:jc w:val="right"/>
              <w:rPr>
                <w:rFonts w:cstheme="minorHAnsi"/>
                <w:szCs w:val="20"/>
              </w:rPr>
            </w:pPr>
            <w:r w:rsidRPr="00216A71">
              <w:rPr>
                <w:rFonts w:cstheme="minorHAnsi"/>
                <w:szCs w:val="20"/>
              </w:rPr>
              <w:t>+19.5%</w:t>
            </w:r>
          </w:p>
        </w:tc>
        <w:tc>
          <w:tcPr>
            <w:tcW w:w="1971" w:type="dxa"/>
          </w:tcPr>
          <w:p w:rsidR="00A60076" w:rsidRPr="00216A71" w:rsidRDefault="00A60076" w:rsidP="00A60076">
            <w:pPr>
              <w:jc w:val="right"/>
              <w:rPr>
                <w:rFonts w:cstheme="minorHAnsi"/>
                <w:szCs w:val="20"/>
              </w:rPr>
            </w:pPr>
            <w:r w:rsidRPr="00216A71">
              <w:rPr>
                <w:rFonts w:cstheme="minorHAnsi"/>
                <w:szCs w:val="20"/>
              </w:rPr>
              <w:t>+99.7%</w:t>
            </w:r>
          </w:p>
        </w:tc>
        <w:tc>
          <w:tcPr>
            <w:tcW w:w="1971" w:type="dxa"/>
          </w:tcPr>
          <w:p w:rsidR="00A60076" w:rsidRPr="00216A71" w:rsidRDefault="00A60076" w:rsidP="00A60076">
            <w:pPr>
              <w:jc w:val="right"/>
              <w:rPr>
                <w:rFonts w:cstheme="minorHAnsi"/>
                <w:szCs w:val="20"/>
              </w:rPr>
            </w:pPr>
            <w:r w:rsidRPr="00216A71">
              <w:rPr>
                <w:rFonts w:cstheme="minorHAnsi"/>
                <w:szCs w:val="20"/>
              </w:rPr>
              <w:t>+143.7%</w:t>
            </w:r>
          </w:p>
        </w:tc>
      </w:tr>
    </w:tbl>
    <w:p w:rsidR="00A60076" w:rsidRPr="00216A71" w:rsidRDefault="00A60076" w:rsidP="00A60076">
      <w:pPr>
        <w:rPr>
          <w:rFonts w:cstheme="minorHAnsi"/>
          <w:szCs w:val="20"/>
          <w:lang w:val="fr-FR"/>
        </w:rPr>
      </w:pPr>
      <w:r w:rsidRPr="00216A71">
        <w:rPr>
          <w:rFonts w:cstheme="minorHAnsi"/>
          <w:szCs w:val="20"/>
          <w:lang w:val="fr-FR"/>
        </w:rPr>
        <w:lastRenderedPageBreak/>
        <w:t xml:space="preserve">Source: Bitran et al OECD 2013 </w:t>
      </w:r>
      <w:r w:rsidRPr="00216A71">
        <w:rPr>
          <w:rFonts w:cstheme="minorHAnsi"/>
          <w:szCs w:val="20"/>
          <w:vertAlign w:val="superscript"/>
          <w:lang w:val="fr-FR"/>
        </w:rPr>
        <w:endnoteReference w:id="219"/>
      </w:r>
    </w:p>
    <w:p w:rsidR="004D655B" w:rsidRPr="00216A71" w:rsidRDefault="004D655B" w:rsidP="000C77D5">
      <w:pPr>
        <w:pStyle w:val="Heading2"/>
        <w:rPr>
          <w:rFonts w:asciiTheme="minorHAnsi" w:hAnsiTheme="minorHAnsi" w:cstheme="minorHAnsi"/>
          <w:szCs w:val="20"/>
        </w:rPr>
      </w:pPr>
      <w:bookmarkStart w:id="203" w:name="_Toc392857554"/>
      <w:r w:rsidRPr="00216A71">
        <w:rPr>
          <w:rFonts w:asciiTheme="minorHAnsi" w:hAnsiTheme="minorHAnsi" w:cstheme="minorHAnsi"/>
          <w:szCs w:val="20"/>
        </w:rPr>
        <w:t>Case study: fiscal problems and PPPs in Portugal and Cyprus</w:t>
      </w:r>
      <w:bookmarkEnd w:id="203"/>
    </w:p>
    <w:p w:rsidR="004D655B" w:rsidRPr="00216A71" w:rsidRDefault="004D655B" w:rsidP="004D655B">
      <w:pPr>
        <w:pStyle w:val="Heading3"/>
        <w:rPr>
          <w:rFonts w:asciiTheme="minorHAnsi" w:hAnsiTheme="minorHAnsi" w:cstheme="minorHAnsi"/>
          <w:szCs w:val="20"/>
        </w:rPr>
      </w:pPr>
      <w:r w:rsidRPr="00216A71">
        <w:rPr>
          <w:rFonts w:asciiTheme="minorHAnsi" w:hAnsiTheme="minorHAnsi" w:cstheme="minorHAnsi"/>
          <w:szCs w:val="20"/>
        </w:rPr>
        <w:t>Portugal</w:t>
      </w:r>
    </w:p>
    <w:p w:rsidR="000C629A" w:rsidRDefault="004D655B" w:rsidP="004D655B">
      <w:pPr>
        <w:rPr>
          <w:rFonts w:cstheme="minorHAnsi"/>
          <w:szCs w:val="20"/>
        </w:rPr>
      </w:pPr>
      <w:r w:rsidRPr="00216A71">
        <w:rPr>
          <w:rFonts w:cstheme="minorHAnsi"/>
          <w:szCs w:val="20"/>
        </w:rPr>
        <w:t>Portugal had signed 86 PPPs, which created new liabilities for the government of over €25</w:t>
      </w:r>
      <w:r w:rsidR="005531B9">
        <w:rPr>
          <w:rFonts w:cstheme="minorHAnsi"/>
          <w:szCs w:val="20"/>
        </w:rPr>
        <w:t xml:space="preserve"> </w:t>
      </w:r>
      <w:r w:rsidRPr="00216A71">
        <w:rPr>
          <w:rFonts w:cstheme="minorHAnsi"/>
          <w:szCs w:val="20"/>
        </w:rPr>
        <w:t>billion – 14</w:t>
      </w:r>
      <w:r w:rsidR="00A42FDE">
        <w:rPr>
          <w:rFonts w:cstheme="minorHAnsi"/>
          <w:szCs w:val="20"/>
        </w:rPr>
        <w:t xml:space="preserve"> per cent</w:t>
      </w:r>
      <w:r w:rsidRPr="00216A71">
        <w:rPr>
          <w:rFonts w:cstheme="minorHAnsi"/>
          <w:szCs w:val="20"/>
        </w:rPr>
        <w:t xml:space="preserve"> of GDP –</w:t>
      </w:r>
      <w:r w:rsidR="004045AD">
        <w:rPr>
          <w:rFonts w:cstheme="minorHAnsi"/>
          <w:szCs w:val="20"/>
        </w:rPr>
        <w:t xml:space="preserve"> </w:t>
      </w:r>
      <w:r w:rsidRPr="00216A71">
        <w:rPr>
          <w:rFonts w:cstheme="minorHAnsi"/>
          <w:szCs w:val="20"/>
        </w:rPr>
        <w:t>and annual payments of about $2</w:t>
      </w:r>
      <w:r w:rsidR="005531B9">
        <w:rPr>
          <w:rFonts w:cstheme="minorHAnsi"/>
          <w:szCs w:val="20"/>
        </w:rPr>
        <w:t xml:space="preserve"> </w:t>
      </w:r>
      <w:r w:rsidRPr="00216A71">
        <w:rPr>
          <w:rFonts w:cstheme="minorHAnsi"/>
          <w:szCs w:val="20"/>
        </w:rPr>
        <w:t>billion, or 1.24</w:t>
      </w:r>
      <w:r w:rsidR="00A42FDE">
        <w:rPr>
          <w:rFonts w:cstheme="minorHAnsi"/>
          <w:szCs w:val="20"/>
        </w:rPr>
        <w:t xml:space="preserve"> per cent</w:t>
      </w:r>
      <w:r w:rsidRPr="00216A71">
        <w:rPr>
          <w:rFonts w:cstheme="minorHAnsi"/>
          <w:szCs w:val="20"/>
        </w:rPr>
        <w:t xml:space="preserve"> of its GDP, every year.</w:t>
      </w:r>
      <w:r w:rsidRPr="00216A71">
        <w:rPr>
          <w:rFonts w:cstheme="minorHAnsi"/>
          <w:szCs w:val="20"/>
          <w:vertAlign w:val="superscript"/>
        </w:rPr>
        <w:endnoteReference w:id="220"/>
      </w:r>
      <w:r w:rsidR="004045AD">
        <w:rPr>
          <w:rFonts w:cstheme="minorHAnsi"/>
          <w:szCs w:val="20"/>
        </w:rPr>
        <w:t xml:space="preserve"> </w:t>
      </w:r>
      <w:r w:rsidRPr="00216A71">
        <w:rPr>
          <w:rFonts w:cstheme="minorHAnsi"/>
          <w:szCs w:val="20"/>
        </w:rPr>
        <w:t xml:space="preserve">The Troika package in 2011 required Portugal to review and renegotiate existing PPPs and not to enter into any new PPPs until a new framework was introduced: </w:t>
      </w:r>
      <w:r w:rsidRPr="00216A71">
        <w:rPr>
          <w:rFonts w:cstheme="minorHAnsi"/>
          <w:szCs w:val="20"/>
          <w:lang w:val="en-US"/>
        </w:rPr>
        <w:t>“We will undertake a comprehensive review of PPPs and concessions to reduce the government’s financial exposure. The PPPs have exposed the government to significant financial obligations</w:t>
      </w:r>
      <w:r w:rsidR="005531B9">
        <w:rPr>
          <w:rFonts w:cstheme="minorHAnsi"/>
          <w:szCs w:val="20"/>
          <w:lang w:val="en-US"/>
        </w:rPr>
        <w:t>.</w:t>
      </w:r>
      <w:r w:rsidRPr="00216A71">
        <w:rPr>
          <w:rFonts w:cstheme="minorHAnsi"/>
          <w:szCs w:val="20"/>
          <w:lang w:val="en-US"/>
        </w:rPr>
        <w:t>”</w:t>
      </w:r>
      <w:r w:rsidRPr="00216A71">
        <w:rPr>
          <w:rFonts w:cstheme="minorHAnsi"/>
          <w:szCs w:val="20"/>
          <w:vertAlign w:val="superscript"/>
          <w:lang w:val="en-US"/>
        </w:rPr>
        <w:endnoteReference w:id="221"/>
      </w:r>
      <w:r w:rsidR="004045AD">
        <w:rPr>
          <w:rFonts w:cstheme="minorHAnsi"/>
          <w:szCs w:val="20"/>
          <w:lang w:val="en-US"/>
        </w:rPr>
        <w:t xml:space="preserve"> </w:t>
      </w:r>
      <w:r w:rsidRPr="00216A71">
        <w:rPr>
          <w:rFonts w:cstheme="minorHAnsi"/>
          <w:szCs w:val="20"/>
          <w:lang w:val="en-US"/>
        </w:rPr>
        <w:t xml:space="preserve">By November 2012 </w:t>
      </w:r>
      <w:r w:rsidRPr="00216A71">
        <w:rPr>
          <w:rFonts w:cstheme="minorHAnsi"/>
          <w:szCs w:val="20"/>
        </w:rPr>
        <w:t xml:space="preserve">the </w:t>
      </w:r>
      <w:r w:rsidRPr="00216A71">
        <w:rPr>
          <w:rFonts w:cstheme="minorHAnsi"/>
          <w:bCs/>
          <w:szCs w:val="20"/>
        </w:rPr>
        <w:t>renegotiation had started, focusing on the roads PPPs which represented about 74</w:t>
      </w:r>
      <w:r w:rsidR="00A42FDE">
        <w:rPr>
          <w:rFonts w:cstheme="minorHAnsi"/>
          <w:bCs/>
          <w:szCs w:val="20"/>
        </w:rPr>
        <w:t xml:space="preserve"> per cent</w:t>
      </w:r>
      <w:r w:rsidRPr="00216A71">
        <w:rPr>
          <w:rFonts w:cstheme="minorHAnsi"/>
          <w:bCs/>
          <w:szCs w:val="20"/>
        </w:rPr>
        <w:t xml:space="preserve"> of the total, and ‘significant savings’ were expected in 2013 and later years</w:t>
      </w:r>
      <w:r w:rsidRPr="00216A71">
        <w:rPr>
          <w:rFonts w:cstheme="minorHAnsi"/>
          <w:szCs w:val="20"/>
        </w:rPr>
        <w:t>.</w:t>
      </w:r>
      <w:r w:rsidR="004045AD">
        <w:rPr>
          <w:rFonts w:cstheme="minorHAnsi"/>
          <w:szCs w:val="20"/>
        </w:rPr>
        <w:t xml:space="preserve"> </w:t>
      </w:r>
      <w:r w:rsidRPr="00216A71">
        <w:rPr>
          <w:rFonts w:cstheme="minorHAnsi"/>
          <w:szCs w:val="20"/>
          <w:vertAlign w:val="superscript"/>
        </w:rPr>
        <w:endnoteReference w:id="222"/>
      </w:r>
    </w:p>
    <w:p w:rsidR="000C629A" w:rsidRDefault="004D655B" w:rsidP="004D655B">
      <w:pPr>
        <w:rPr>
          <w:rFonts w:cstheme="minorHAnsi"/>
          <w:szCs w:val="20"/>
        </w:rPr>
      </w:pPr>
      <w:r w:rsidRPr="00216A71">
        <w:rPr>
          <w:rFonts w:cstheme="minorHAnsi"/>
          <w:szCs w:val="20"/>
        </w:rPr>
        <w:t xml:space="preserve">The problems of PPPs were well-known in Portugal, but ignored. In 1996 the Hospital Amadora-Sintra was subject of a PPP with the Mello Group Health, which was finally terminated in 2008 after the company was exposed for charging the state for fictitious medical tests and </w:t>
      </w:r>
      <w:r w:rsidR="005A2E06" w:rsidRPr="00216A71">
        <w:rPr>
          <w:rFonts w:cstheme="minorHAnsi"/>
          <w:szCs w:val="20"/>
        </w:rPr>
        <w:t>treatments</w:t>
      </w:r>
      <w:r w:rsidR="005531B9">
        <w:rPr>
          <w:rFonts w:cstheme="minorHAnsi"/>
          <w:szCs w:val="20"/>
        </w:rPr>
        <w:t>.</w:t>
      </w:r>
      <w:r w:rsidR="004045AD">
        <w:rPr>
          <w:rFonts w:cstheme="minorHAnsi"/>
          <w:szCs w:val="20"/>
        </w:rPr>
        <w:t xml:space="preserve"> </w:t>
      </w:r>
      <w:r w:rsidR="005531B9">
        <w:rPr>
          <w:rFonts w:cstheme="minorHAnsi"/>
          <w:szCs w:val="20"/>
        </w:rPr>
        <w:t>T</w:t>
      </w:r>
      <w:r w:rsidR="005A2E06" w:rsidRPr="00216A71">
        <w:rPr>
          <w:rFonts w:cstheme="minorHAnsi"/>
          <w:szCs w:val="20"/>
        </w:rPr>
        <w:t>he same group was</w:t>
      </w:r>
      <w:r w:rsidRPr="00216A71">
        <w:rPr>
          <w:rFonts w:cstheme="minorHAnsi"/>
          <w:szCs w:val="20"/>
        </w:rPr>
        <w:t xml:space="preserve"> nevertheless subsequently given PPPs for two other hospitals, and has already been fined for fraudulent submissions. </w:t>
      </w:r>
      <w:r w:rsidRPr="00216A71">
        <w:rPr>
          <w:rFonts w:cstheme="minorHAnsi"/>
          <w:szCs w:val="20"/>
          <w:vertAlign w:val="superscript"/>
        </w:rPr>
        <w:endnoteReference w:id="223"/>
      </w:r>
    </w:p>
    <w:p w:rsidR="000C629A" w:rsidRDefault="004D655B" w:rsidP="004D655B">
      <w:pPr>
        <w:rPr>
          <w:rFonts w:cstheme="minorHAnsi"/>
          <w:szCs w:val="20"/>
        </w:rPr>
      </w:pPr>
      <w:r w:rsidRPr="00216A71">
        <w:rPr>
          <w:rFonts w:cstheme="minorHAnsi"/>
          <w:szCs w:val="20"/>
        </w:rPr>
        <w:t>Most criticism has been directed at the cost of the roads PPPs, but a public audit project in 2012 summarised major problems with all the healthcare PPPs, including:</w:t>
      </w:r>
    </w:p>
    <w:p w:rsidR="004D655B" w:rsidRPr="00216A71" w:rsidRDefault="004D655B" w:rsidP="00781FBC">
      <w:pPr>
        <w:numPr>
          <w:ilvl w:val="0"/>
          <w:numId w:val="27"/>
        </w:numPr>
        <w:rPr>
          <w:rFonts w:cstheme="minorHAnsi"/>
          <w:szCs w:val="20"/>
        </w:rPr>
      </w:pPr>
      <w:r w:rsidRPr="00216A71">
        <w:rPr>
          <w:rFonts w:cstheme="minorHAnsi"/>
          <w:szCs w:val="20"/>
        </w:rPr>
        <w:t>High transaction costs including consultancy fees</w:t>
      </w:r>
      <w:r w:rsidR="005531B9">
        <w:rPr>
          <w:rFonts w:cstheme="minorHAnsi"/>
          <w:szCs w:val="20"/>
        </w:rPr>
        <w:t>.</w:t>
      </w:r>
    </w:p>
    <w:p w:rsidR="004D655B" w:rsidRPr="00216A71" w:rsidRDefault="004D655B" w:rsidP="00781FBC">
      <w:pPr>
        <w:numPr>
          <w:ilvl w:val="0"/>
          <w:numId w:val="27"/>
        </w:numPr>
        <w:rPr>
          <w:rFonts w:cstheme="minorHAnsi"/>
          <w:szCs w:val="20"/>
        </w:rPr>
      </w:pPr>
      <w:r w:rsidRPr="00216A71">
        <w:rPr>
          <w:rFonts w:cstheme="minorHAnsi"/>
          <w:szCs w:val="20"/>
        </w:rPr>
        <w:t>Great majority of risks are carried by the public authorities</w:t>
      </w:r>
      <w:r w:rsidR="005531B9">
        <w:rPr>
          <w:rFonts w:cstheme="minorHAnsi"/>
          <w:szCs w:val="20"/>
        </w:rPr>
        <w:t>.</w:t>
      </w:r>
      <w:r w:rsidRPr="00216A71">
        <w:rPr>
          <w:rFonts w:cstheme="minorHAnsi"/>
          <w:szCs w:val="20"/>
        </w:rPr>
        <w:t xml:space="preserve"> </w:t>
      </w:r>
    </w:p>
    <w:p w:rsidR="004D655B" w:rsidRPr="00216A71" w:rsidRDefault="004D655B" w:rsidP="00781FBC">
      <w:pPr>
        <w:numPr>
          <w:ilvl w:val="0"/>
          <w:numId w:val="27"/>
        </w:numPr>
        <w:rPr>
          <w:rFonts w:cstheme="minorHAnsi"/>
          <w:szCs w:val="20"/>
        </w:rPr>
      </w:pPr>
      <w:r w:rsidRPr="00216A71">
        <w:rPr>
          <w:rFonts w:cstheme="minorHAnsi"/>
          <w:szCs w:val="20"/>
        </w:rPr>
        <w:t>PPP contracts renegotiated after signing to reduce the number of beds and level of services</w:t>
      </w:r>
      <w:r w:rsidR="005531B9">
        <w:rPr>
          <w:rFonts w:cstheme="minorHAnsi"/>
          <w:szCs w:val="20"/>
        </w:rPr>
        <w:t>.</w:t>
      </w:r>
    </w:p>
    <w:p w:rsidR="004D655B" w:rsidRPr="00216A71" w:rsidRDefault="004D655B" w:rsidP="00781FBC">
      <w:pPr>
        <w:numPr>
          <w:ilvl w:val="0"/>
          <w:numId w:val="27"/>
        </w:numPr>
        <w:rPr>
          <w:rFonts w:cstheme="minorHAnsi"/>
          <w:szCs w:val="20"/>
        </w:rPr>
      </w:pPr>
      <w:r w:rsidRPr="00216A71">
        <w:rPr>
          <w:rFonts w:cstheme="minorHAnsi"/>
          <w:szCs w:val="20"/>
        </w:rPr>
        <w:t>Outsourcing work to other subsidiaries of the same groups</w:t>
      </w:r>
      <w:r w:rsidR="005531B9">
        <w:rPr>
          <w:rFonts w:cstheme="minorHAnsi"/>
          <w:szCs w:val="20"/>
        </w:rPr>
        <w:t>.</w:t>
      </w:r>
      <w:r w:rsidRPr="00216A71">
        <w:rPr>
          <w:rFonts w:cstheme="minorHAnsi"/>
          <w:szCs w:val="20"/>
        </w:rPr>
        <w:t xml:space="preserve"> </w:t>
      </w:r>
    </w:p>
    <w:p w:rsidR="000C629A" w:rsidRDefault="004D655B" w:rsidP="00781FBC">
      <w:pPr>
        <w:numPr>
          <w:ilvl w:val="0"/>
          <w:numId w:val="27"/>
        </w:numPr>
        <w:rPr>
          <w:rFonts w:cstheme="minorHAnsi"/>
          <w:szCs w:val="20"/>
        </w:rPr>
      </w:pPr>
      <w:r w:rsidRPr="00216A71">
        <w:rPr>
          <w:rFonts w:cstheme="minorHAnsi"/>
          <w:szCs w:val="20"/>
        </w:rPr>
        <w:t>Corruption and conflicts of interest</w:t>
      </w:r>
      <w:r w:rsidR="005531B9">
        <w:rPr>
          <w:rFonts w:cstheme="minorHAnsi"/>
          <w:szCs w:val="20"/>
        </w:rPr>
        <w:t>.</w:t>
      </w:r>
      <w:r w:rsidRPr="00216A71">
        <w:rPr>
          <w:rFonts w:cstheme="minorHAnsi"/>
          <w:szCs w:val="20"/>
          <w:vertAlign w:val="superscript"/>
        </w:rPr>
        <w:endnoteReference w:id="224"/>
      </w:r>
    </w:p>
    <w:p w:rsidR="004D655B" w:rsidRPr="00216A71" w:rsidRDefault="004D655B" w:rsidP="004D655B">
      <w:pPr>
        <w:rPr>
          <w:rFonts w:cstheme="minorHAnsi"/>
          <w:szCs w:val="20"/>
        </w:rPr>
      </w:pPr>
      <w:r w:rsidRPr="00216A71">
        <w:rPr>
          <w:rFonts w:cstheme="minorHAnsi"/>
          <w:szCs w:val="20"/>
        </w:rPr>
        <w:t>For example, in Cascais hospital</w:t>
      </w:r>
      <w:r w:rsidR="005531B9">
        <w:rPr>
          <w:rFonts w:cstheme="minorHAnsi"/>
          <w:szCs w:val="20"/>
        </w:rPr>
        <w:t>,</w:t>
      </w:r>
      <w:r w:rsidRPr="00216A71">
        <w:rPr>
          <w:rFonts w:cstheme="minorHAnsi"/>
          <w:szCs w:val="20"/>
        </w:rPr>
        <w:t xml:space="preserve"> “the private company refused to bear the cost of</w:t>
      </w:r>
      <w:r w:rsidR="004045AD">
        <w:rPr>
          <w:rFonts w:cstheme="minorHAnsi"/>
          <w:szCs w:val="20"/>
        </w:rPr>
        <w:t xml:space="preserve"> </w:t>
      </w:r>
      <w:r w:rsidRPr="00216A71">
        <w:rPr>
          <w:rFonts w:cstheme="minorHAnsi"/>
          <w:szCs w:val="20"/>
        </w:rPr>
        <w:t>medicines for cancer treatments</w:t>
      </w:r>
      <w:r w:rsidR="005531B9">
        <w:rPr>
          <w:rFonts w:cstheme="minorHAnsi"/>
          <w:szCs w:val="20"/>
        </w:rPr>
        <w:t>.</w:t>
      </w:r>
      <w:r w:rsidRPr="00216A71">
        <w:rPr>
          <w:rFonts w:cstheme="minorHAnsi"/>
          <w:szCs w:val="20"/>
        </w:rPr>
        <w:t>… The number of beds was cut and the hospital is permanently overcrowded. Several health workers have brought legal cases for unpaid overtime. In addition, the hospital closed its clinical laboratory and instead contracted the work to Clinical Pathology, a private unit run by the same group as the PPP</w:t>
      </w:r>
      <w:r w:rsidR="005531B9">
        <w:rPr>
          <w:rFonts w:cstheme="minorHAnsi"/>
          <w:szCs w:val="20"/>
        </w:rPr>
        <w:t>.</w:t>
      </w:r>
      <w:r w:rsidRPr="00216A71">
        <w:rPr>
          <w:rFonts w:cstheme="minorHAnsi"/>
          <w:szCs w:val="20"/>
        </w:rPr>
        <w:t>”</w:t>
      </w:r>
      <w:r w:rsidRPr="00216A71">
        <w:rPr>
          <w:rFonts w:cstheme="minorHAnsi"/>
          <w:szCs w:val="20"/>
          <w:vertAlign w:val="superscript"/>
        </w:rPr>
        <w:t xml:space="preserve"> </w:t>
      </w:r>
      <w:r w:rsidRPr="00216A71">
        <w:rPr>
          <w:rFonts w:cstheme="minorHAnsi"/>
          <w:szCs w:val="20"/>
          <w:vertAlign w:val="superscript"/>
        </w:rPr>
        <w:endnoteReference w:id="225"/>
      </w:r>
    </w:p>
    <w:p w:rsidR="004D655B" w:rsidRPr="00216A71" w:rsidRDefault="004D655B" w:rsidP="004D655B">
      <w:pPr>
        <w:pStyle w:val="Heading3"/>
        <w:rPr>
          <w:rFonts w:asciiTheme="minorHAnsi" w:hAnsiTheme="minorHAnsi" w:cstheme="minorHAnsi"/>
          <w:szCs w:val="20"/>
        </w:rPr>
      </w:pPr>
      <w:r w:rsidRPr="00216A71">
        <w:rPr>
          <w:rFonts w:asciiTheme="minorHAnsi" w:hAnsiTheme="minorHAnsi" w:cstheme="minorHAnsi"/>
          <w:szCs w:val="20"/>
        </w:rPr>
        <w:t>Cyprus</w:t>
      </w:r>
    </w:p>
    <w:p w:rsidR="000C629A" w:rsidRDefault="004D655B" w:rsidP="004D655B">
      <w:pPr>
        <w:rPr>
          <w:rFonts w:cstheme="minorHAnsi"/>
          <w:szCs w:val="20"/>
        </w:rPr>
      </w:pPr>
      <w:r w:rsidRPr="00216A71">
        <w:rPr>
          <w:rFonts w:cstheme="minorHAnsi"/>
          <w:szCs w:val="20"/>
        </w:rPr>
        <w:t>In 2011, the IMF warned Cyprus that its PPPs were “insufficiently evaluated financial risks” to the government budget.</w:t>
      </w:r>
      <w:r w:rsidRPr="00216A71">
        <w:rPr>
          <w:rFonts w:cstheme="minorHAnsi"/>
          <w:szCs w:val="20"/>
          <w:vertAlign w:val="superscript"/>
        </w:rPr>
        <w:endnoteReference w:id="226"/>
      </w:r>
      <w:r w:rsidRPr="00216A71">
        <w:rPr>
          <w:rFonts w:cstheme="minorHAnsi"/>
          <w:szCs w:val="20"/>
        </w:rPr>
        <w:t xml:space="preserve"> In 2013, when the Troika package was imposed as a condition of rescuing Cyprus, the conditions also identified PPPs as secret, unaccounted for government liabilities, and demanded an audit and a freeze</w:t>
      </w:r>
      <w:r w:rsidR="005531B9">
        <w:rPr>
          <w:rFonts w:cstheme="minorHAnsi"/>
          <w:szCs w:val="20"/>
        </w:rPr>
        <w:t>.</w:t>
      </w:r>
      <w:r w:rsidRPr="00216A71">
        <w:rPr>
          <w:rFonts w:cstheme="minorHAnsi"/>
          <w:szCs w:val="20"/>
          <w:vertAlign w:val="superscript"/>
        </w:rPr>
        <w:endnoteReference w:id="227"/>
      </w:r>
      <w:r w:rsidRPr="00216A71">
        <w:rPr>
          <w:rFonts w:cstheme="minorHAnsi"/>
          <w:szCs w:val="20"/>
        </w:rPr>
        <w:t xml:space="preserve"> </w:t>
      </w:r>
    </w:p>
    <w:p w:rsidR="004D655B" w:rsidRPr="00216A71" w:rsidRDefault="004D655B" w:rsidP="004D655B">
      <w:pPr>
        <w:rPr>
          <w:rFonts w:cstheme="minorHAnsi"/>
          <w:szCs w:val="20"/>
        </w:rPr>
      </w:pPr>
      <w:r w:rsidRPr="00216A71">
        <w:rPr>
          <w:rFonts w:cstheme="minorHAnsi"/>
          <w:szCs w:val="20"/>
        </w:rPr>
        <w:t>“The authorities will:</w:t>
      </w:r>
    </w:p>
    <w:p w:rsidR="004D655B" w:rsidRPr="00216A71" w:rsidRDefault="005531B9" w:rsidP="00781FBC">
      <w:pPr>
        <w:numPr>
          <w:ilvl w:val="0"/>
          <w:numId w:val="19"/>
        </w:numPr>
        <w:rPr>
          <w:rFonts w:cstheme="minorHAnsi"/>
          <w:szCs w:val="20"/>
        </w:rPr>
      </w:pPr>
      <w:r>
        <w:rPr>
          <w:rFonts w:cstheme="minorHAnsi"/>
          <w:szCs w:val="20"/>
        </w:rPr>
        <w:t>“C</w:t>
      </w:r>
      <w:r w:rsidR="004D655B" w:rsidRPr="00216A71">
        <w:rPr>
          <w:rFonts w:cstheme="minorHAnsi"/>
          <w:szCs w:val="20"/>
        </w:rPr>
        <w:t>reate an inventory of PPPs including information on the objectives of current and planned PPPs and more detailed information on signed contracts, including their nature, the private partner, capital value, future service payments, size and nature of contingent liabilities, amount and terms of financing. In addition, an inventory of contingent liabilities including information on the nature, intended purpose, beneficiaries, expected duration, payments made, reimbursements, recoveries, financial claims established against beneficiaries, waivers of such claims, guarantee fees or other revenues received, indication of amount and form of allowance made in the budget for expected calls, and forecast and explanation of new contingent liabilities entered into in the budget year will be compiled</w:t>
      </w:r>
      <w:r>
        <w:rPr>
          <w:rFonts w:cstheme="minorHAnsi"/>
          <w:szCs w:val="20"/>
        </w:rPr>
        <w:t>.</w:t>
      </w:r>
      <w:r w:rsidR="004D655B" w:rsidRPr="00216A71">
        <w:rPr>
          <w:rFonts w:cstheme="minorHAnsi"/>
          <w:szCs w:val="20"/>
        </w:rPr>
        <w:t>…</w:t>
      </w:r>
    </w:p>
    <w:p w:rsidR="004D655B" w:rsidRPr="00216A71" w:rsidRDefault="005531B9" w:rsidP="00781FBC">
      <w:pPr>
        <w:numPr>
          <w:ilvl w:val="0"/>
          <w:numId w:val="19"/>
        </w:numPr>
        <w:rPr>
          <w:rFonts w:cstheme="minorHAnsi"/>
          <w:szCs w:val="20"/>
        </w:rPr>
      </w:pPr>
      <w:r>
        <w:rPr>
          <w:rFonts w:cstheme="minorHAnsi"/>
          <w:szCs w:val="20"/>
        </w:rPr>
        <w:t>“C</w:t>
      </w:r>
      <w:r w:rsidR="004D655B" w:rsidRPr="00216A71">
        <w:rPr>
          <w:rFonts w:cstheme="minorHAnsi"/>
          <w:szCs w:val="20"/>
        </w:rPr>
        <w:t xml:space="preserve">ommit not to enter into any new tendering process and not to sign any new PPP contract before the implementation of [a new] legal and institutional PPP framework.” </w:t>
      </w:r>
    </w:p>
    <w:p w:rsidR="005F0608" w:rsidRPr="00216A71" w:rsidRDefault="004D655B" w:rsidP="00247522">
      <w:pPr>
        <w:rPr>
          <w:rFonts w:cstheme="minorHAnsi"/>
          <w:szCs w:val="20"/>
        </w:rPr>
      </w:pPr>
      <w:r w:rsidRPr="00216A71">
        <w:rPr>
          <w:rFonts w:cstheme="minorHAnsi"/>
          <w:szCs w:val="20"/>
        </w:rPr>
        <w:t>Yet the global companies promoting PPPs were delighted with Cyprus’ PPPs, in which PricewaterhouseCoopers (PWC)</w:t>
      </w:r>
      <w:r w:rsidR="004045AD">
        <w:rPr>
          <w:rFonts w:cstheme="minorHAnsi"/>
          <w:szCs w:val="20"/>
        </w:rPr>
        <w:t xml:space="preserve"> </w:t>
      </w:r>
      <w:r w:rsidRPr="00216A71">
        <w:rPr>
          <w:rFonts w:cstheme="minorHAnsi"/>
          <w:szCs w:val="20"/>
        </w:rPr>
        <w:t>played a leading role. Just three months earlier, in January 2013,</w:t>
      </w:r>
      <w:r w:rsidR="004045AD">
        <w:rPr>
          <w:rFonts w:cstheme="minorHAnsi"/>
          <w:szCs w:val="20"/>
        </w:rPr>
        <w:t xml:space="preserve"> </w:t>
      </w:r>
      <w:r w:rsidRPr="00216A71">
        <w:rPr>
          <w:rFonts w:cstheme="minorHAnsi"/>
          <w:szCs w:val="20"/>
        </w:rPr>
        <w:t>the project finance magazine World Finance gave its award for Best Transport Project in Europe</w:t>
      </w:r>
      <w:r w:rsidR="004045AD">
        <w:rPr>
          <w:rFonts w:cstheme="minorHAnsi"/>
          <w:szCs w:val="20"/>
        </w:rPr>
        <w:t xml:space="preserve"> </w:t>
      </w:r>
      <w:r w:rsidRPr="00216A71">
        <w:rPr>
          <w:rFonts w:cstheme="minorHAnsi"/>
          <w:szCs w:val="20"/>
        </w:rPr>
        <w:t>to the 25-year PPP for running of Larnaka and Pafos airports, signed in 2006. The magazine enthused</w:t>
      </w:r>
      <w:r w:rsidR="005531B9">
        <w:rPr>
          <w:rFonts w:cstheme="minorHAnsi"/>
          <w:szCs w:val="20"/>
        </w:rPr>
        <w:t>,</w:t>
      </w:r>
      <w:r w:rsidRPr="00216A71">
        <w:rPr>
          <w:rFonts w:cstheme="minorHAnsi"/>
          <w:szCs w:val="20"/>
        </w:rPr>
        <w:t xml:space="preserve"> “This deal is the first major PPP entered into by Cyprus’ government, and will lead the way for future PPPs in the continuing development of the country’s infrastructure….</w:t>
      </w:r>
      <w:r w:rsidR="005531B9">
        <w:rPr>
          <w:rFonts w:cstheme="minorHAnsi"/>
          <w:szCs w:val="20"/>
        </w:rPr>
        <w:t xml:space="preserve"> </w:t>
      </w:r>
      <w:r w:rsidRPr="00216A71">
        <w:rPr>
          <w:rFonts w:cstheme="minorHAnsi"/>
          <w:szCs w:val="20"/>
        </w:rPr>
        <w:t xml:space="preserve">The government was advised on the deal by </w:t>
      </w:r>
      <w:r w:rsidRPr="00216A71">
        <w:rPr>
          <w:rFonts w:cstheme="minorHAnsi"/>
          <w:szCs w:val="20"/>
        </w:rPr>
        <w:lastRenderedPageBreak/>
        <w:t>PricewaterhouseCoopers (PWC), a global leader in PPP advisory</w:t>
      </w:r>
      <w:r w:rsidR="005531B9">
        <w:rPr>
          <w:rFonts w:cstheme="minorHAnsi"/>
          <w:szCs w:val="20"/>
        </w:rPr>
        <w:t>.</w:t>
      </w:r>
      <w:r w:rsidRPr="00216A71">
        <w:rPr>
          <w:rFonts w:cstheme="minorHAnsi"/>
          <w:szCs w:val="20"/>
        </w:rPr>
        <w:t>”</w:t>
      </w:r>
      <w:r w:rsidRPr="00216A71">
        <w:rPr>
          <w:rFonts w:cstheme="minorHAnsi"/>
          <w:szCs w:val="20"/>
          <w:vertAlign w:val="superscript"/>
        </w:rPr>
        <w:endnoteReference w:id="228"/>
      </w:r>
      <w:r w:rsidR="004045AD">
        <w:rPr>
          <w:rFonts w:cstheme="minorHAnsi"/>
          <w:szCs w:val="20"/>
        </w:rPr>
        <w:t xml:space="preserve"> </w:t>
      </w:r>
      <w:r w:rsidRPr="00216A71">
        <w:rPr>
          <w:rFonts w:cstheme="minorHAnsi"/>
          <w:szCs w:val="20"/>
        </w:rPr>
        <w:t>This was despite one part of the deal being exposed as corrupt just a few months earlier, involving the old airport being leased under a secret deal to a Chinese company, already under scrutiny for corruption in China, as a result of which a presidential advisor was forced to resign.</w:t>
      </w:r>
      <w:r w:rsidRPr="00216A71">
        <w:rPr>
          <w:rFonts w:cstheme="minorHAnsi"/>
          <w:szCs w:val="20"/>
          <w:vertAlign w:val="superscript"/>
        </w:rPr>
        <w:endnoteReference w:id="229"/>
      </w:r>
    </w:p>
    <w:p w:rsidR="005F0608" w:rsidRPr="00216A71" w:rsidRDefault="005F0608" w:rsidP="000C77D5">
      <w:pPr>
        <w:pStyle w:val="Heading2"/>
        <w:rPr>
          <w:rFonts w:asciiTheme="minorHAnsi" w:hAnsiTheme="minorHAnsi" w:cstheme="minorHAnsi"/>
          <w:szCs w:val="20"/>
        </w:rPr>
      </w:pPr>
      <w:bookmarkStart w:id="204" w:name="_Toc392857555"/>
      <w:r w:rsidRPr="00216A71">
        <w:rPr>
          <w:rFonts w:asciiTheme="minorHAnsi" w:hAnsiTheme="minorHAnsi" w:cstheme="minorHAnsi"/>
          <w:szCs w:val="20"/>
        </w:rPr>
        <w:t>Case study: municipal funding agencies</w:t>
      </w:r>
      <w:bookmarkEnd w:id="204"/>
    </w:p>
    <w:p w:rsidR="000C629A" w:rsidRDefault="005F0608" w:rsidP="005F0608">
      <w:pPr>
        <w:rPr>
          <w:rFonts w:cstheme="minorHAnsi"/>
          <w:szCs w:val="20"/>
        </w:rPr>
      </w:pPr>
      <w:r w:rsidRPr="00216A71">
        <w:rPr>
          <w:rFonts w:cstheme="minorHAnsi"/>
          <w:szCs w:val="20"/>
        </w:rPr>
        <w:t xml:space="preserve">A number of countries have created, or are in the process of creating, public sector financial agencies which can raise money at very low rates and then provide low interest loans to municipalities and other public sector bodies for infrastructure and other major projects. In the USA, municipal bond banks </w:t>
      </w:r>
      <w:r w:rsidR="005531B9">
        <w:rPr>
          <w:rFonts w:cstheme="minorHAnsi"/>
          <w:szCs w:val="20"/>
        </w:rPr>
        <w:t>serve this purpose.</w:t>
      </w:r>
    </w:p>
    <w:p w:rsidR="000C629A" w:rsidRDefault="005F0608" w:rsidP="005F0608">
      <w:pPr>
        <w:rPr>
          <w:rFonts w:cstheme="minorHAnsi"/>
          <w:szCs w:val="20"/>
        </w:rPr>
      </w:pPr>
      <w:r w:rsidRPr="00216A71">
        <w:rPr>
          <w:rFonts w:cstheme="minorHAnsi"/>
          <w:szCs w:val="20"/>
        </w:rPr>
        <w:t>The Nordic countries have developed Local Government Funding Agencies (LGFAs), which now finance most local infrastructure. LGFAs are formed by groups of local authorities, sometimes with central government, which raise money by issuing bonds for various maturities. These achieve high credit ratings, and so are a much cheaper source of finance than bank loans. The LGFAs then lend on this money to municipalities to finance specific projects. They operate on a non-profit basis, and exclusively for local authorities, with no lending to private sector companies. The LGFAs have lowered</w:t>
      </w:r>
      <w:r w:rsidR="004045AD">
        <w:rPr>
          <w:rFonts w:cstheme="minorHAnsi"/>
          <w:szCs w:val="20"/>
        </w:rPr>
        <w:t xml:space="preserve"> </w:t>
      </w:r>
      <w:r w:rsidRPr="00216A71">
        <w:rPr>
          <w:rFonts w:cstheme="minorHAnsi"/>
          <w:szCs w:val="20"/>
        </w:rPr>
        <w:t>the cost of raising finance for all municipalities, and enabled municipalities to continue investing in infrastructure despite the financial crisis. Similar funding agencies have now been created in New Zealand (2011) and France (2012). In the Netherlands municipalities have created a similar institution, the</w:t>
      </w:r>
      <w:r w:rsidR="004045AD">
        <w:rPr>
          <w:rFonts w:cstheme="minorHAnsi"/>
          <w:szCs w:val="20"/>
        </w:rPr>
        <w:t xml:space="preserve"> </w:t>
      </w:r>
      <w:r w:rsidRPr="00216A71">
        <w:rPr>
          <w:rFonts w:cstheme="minorHAnsi"/>
          <w:szCs w:val="20"/>
        </w:rPr>
        <w:t>Nederlandse Waterschapsbank (NWB Bank).</w:t>
      </w:r>
      <w:r w:rsidRPr="00216A71">
        <w:rPr>
          <w:rStyle w:val="EndnoteReference"/>
          <w:rFonts w:cstheme="minorHAnsi"/>
          <w:szCs w:val="20"/>
        </w:rPr>
        <w:endnoteReference w:id="230"/>
      </w:r>
    </w:p>
    <w:p w:rsidR="005F0608" w:rsidRPr="00216A71" w:rsidRDefault="005F0608" w:rsidP="00781FBC">
      <w:pPr>
        <w:pStyle w:val="ListParagraph"/>
        <w:numPr>
          <w:ilvl w:val="0"/>
          <w:numId w:val="43"/>
        </w:numPr>
        <w:rPr>
          <w:rFonts w:cstheme="minorHAnsi"/>
          <w:szCs w:val="20"/>
        </w:rPr>
      </w:pPr>
      <w:r w:rsidRPr="00216A71">
        <w:rPr>
          <w:rFonts w:cstheme="minorHAnsi"/>
          <w:szCs w:val="20"/>
        </w:rPr>
        <w:t>The Swedish agency, Kommuninvest, covers 274 municipalities. It has a triple-A credit rating, and is also very efficient: administration costs are only 0.08</w:t>
      </w:r>
      <w:r w:rsidR="00A42FDE">
        <w:rPr>
          <w:rFonts w:cstheme="minorHAnsi"/>
          <w:szCs w:val="20"/>
        </w:rPr>
        <w:t xml:space="preserve"> per cent</w:t>
      </w:r>
      <w:r w:rsidRPr="00216A71">
        <w:rPr>
          <w:rFonts w:cstheme="minorHAnsi"/>
          <w:szCs w:val="20"/>
        </w:rPr>
        <w:t xml:space="preserve"> of loans.</w:t>
      </w:r>
      <w:r w:rsidR="004045AD">
        <w:rPr>
          <w:rFonts w:cstheme="minorHAnsi"/>
          <w:szCs w:val="20"/>
        </w:rPr>
        <w:t xml:space="preserve"> </w:t>
      </w:r>
      <w:r w:rsidRPr="00216A71">
        <w:rPr>
          <w:rFonts w:cstheme="minorHAnsi"/>
          <w:szCs w:val="20"/>
        </w:rPr>
        <w:t>Local councils have made increasing use of the fund since the financial crisis started, and in 2012 it provided nearly half of all the finance raised by municipalities (SEK 201</w:t>
      </w:r>
      <w:r w:rsidR="005531B9">
        <w:rPr>
          <w:rFonts w:cstheme="minorHAnsi"/>
          <w:szCs w:val="20"/>
        </w:rPr>
        <w:t xml:space="preserve"> </w:t>
      </w:r>
      <w:r w:rsidRPr="00216A71">
        <w:rPr>
          <w:rFonts w:cstheme="minorHAnsi"/>
          <w:szCs w:val="20"/>
        </w:rPr>
        <w:t>billion, about USD</w:t>
      </w:r>
      <w:r w:rsidR="005531B9">
        <w:rPr>
          <w:rFonts w:cstheme="minorHAnsi"/>
          <w:szCs w:val="20"/>
        </w:rPr>
        <w:t xml:space="preserve"> </w:t>
      </w:r>
      <w:r w:rsidRPr="00216A71">
        <w:rPr>
          <w:rFonts w:cstheme="minorHAnsi"/>
          <w:szCs w:val="20"/>
        </w:rPr>
        <w:t>$30</w:t>
      </w:r>
      <w:r w:rsidR="005531B9">
        <w:rPr>
          <w:rFonts w:cstheme="minorHAnsi"/>
          <w:szCs w:val="20"/>
        </w:rPr>
        <w:t xml:space="preserve"> </w:t>
      </w:r>
      <w:r w:rsidRPr="00216A71">
        <w:rPr>
          <w:rFonts w:cstheme="minorHAnsi"/>
          <w:szCs w:val="20"/>
        </w:rPr>
        <w:t>billion).</w:t>
      </w:r>
      <w:r w:rsidRPr="00216A71">
        <w:rPr>
          <w:rStyle w:val="EndnoteReference"/>
          <w:rFonts w:cstheme="minorHAnsi"/>
          <w:szCs w:val="20"/>
        </w:rPr>
        <w:endnoteReference w:id="231"/>
      </w:r>
    </w:p>
    <w:p w:rsidR="005F0608" w:rsidRPr="00216A71" w:rsidRDefault="005F0608" w:rsidP="005F0608">
      <w:pPr>
        <w:pStyle w:val="Heading8"/>
        <w:rPr>
          <w:rFonts w:asciiTheme="minorHAnsi" w:hAnsiTheme="minorHAnsi" w:cstheme="minorHAnsi"/>
          <w:szCs w:val="20"/>
        </w:rPr>
      </w:pPr>
      <w:r w:rsidRPr="00216A71">
        <w:rPr>
          <w:rFonts w:asciiTheme="minorHAnsi" w:hAnsiTheme="minorHAnsi" w:cstheme="minorHAnsi"/>
          <w:szCs w:val="20"/>
        </w:rPr>
        <w:t>Local government borrowing in Sweden 2002-2012, by source</w:t>
      </w:r>
    </w:p>
    <w:p w:rsidR="005F0608" w:rsidRPr="00216A71" w:rsidRDefault="005F0608" w:rsidP="005F0608">
      <w:pPr>
        <w:rPr>
          <w:rFonts w:cstheme="minorHAnsi"/>
          <w:szCs w:val="20"/>
        </w:rPr>
      </w:pPr>
      <w:r w:rsidRPr="00216A71">
        <w:rPr>
          <w:rFonts w:cstheme="minorHAnsi"/>
          <w:noProof/>
          <w:szCs w:val="20"/>
          <w:lang w:eastAsia="en-GB"/>
        </w:rPr>
        <w:drawing>
          <wp:inline distT="0" distB="0" distL="0" distR="0" wp14:anchorId="174AE15D" wp14:editId="2EB45F4A">
            <wp:extent cx="6045340" cy="2478405"/>
            <wp:effectExtent l="0" t="0" r="0" b="0"/>
            <wp:docPr id="30722" name="Picture 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lum bright="-25000" contrast="25000"/>
                      <a:extLst>
                        <a:ext uri="{28A0092B-C50C-407E-A947-70E740481C1C}">
                          <a14:useLocalDpi xmlns:a14="http://schemas.microsoft.com/office/drawing/2010/main" val="0"/>
                        </a:ext>
                      </a:extLst>
                    </a:blip>
                    <a:srcRect/>
                    <a:stretch>
                      <a:fillRect/>
                    </a:stretch>
                  </pic:blipFill>
                  <pic:spPr bwMode="auto">
                    <a:xfrm>
                      <a:off x="0" y="0"/>
                      <a:ext cx="6062507" cy="2485443"/>
                    </a:xfrm>
                    <a:prstGeom prst="rect">
                      <a:avLst/>
                    </a:prstGeom>
                    <a:noFill/>
                    <a:ln>
                      <a:noFill/>
                    </a:ln>
                  </pic:spPr>
                </pic:pic>
              </a:graphicData>
            </a:graphic>
          </wp:inline>
        </w:drawing>
      </w:r>
    </w:p>
    <w:p w:rsidR="000C629A" w:rsidRDefault="005F0608" w:rsidP="005F0608">
      <w:pPr>
        <w:rPr>
          <w:rFonts w:cstheme="minorHAnsi"/>
          <w:szCs w:val="20"/>
        </w:rPr>
      </w:pPr>
      <w:r w:rsidRPr="00216A71">
        <w:rPr>
          <w:rFonts w:cstheme="minorHAnsi"/>
          <w:szCs w:val="20"/>
        </w:rPr>
        <w:t xml:space="preserve">Source; Kommuninvest Annual report 2012 p.10 </w:t>
      </w:r>
      <w:hyperlink r:id="rId214" w:history="1">
        <w:r w:rsidRPr="00216A71">
          <w:rPr>
            <w:rStyle w:val="Hyperlink"/>
            <w:rFonts w:cstheme="minorHAnsi"/>
            <w:szCs w:val="20"/>
          </w:rPr>
          <w:t>http://www.kommuninvest.org/</w:t>
        </w:r>
      </w:hyperlink>
      <w:r w:rsidRPr="00216A71">
        <w:rPr>
          <w:rFonts w:cstheme="minorHAnsi"/>
          <w:szCs w:val="20"/>
        </w:rPr>
        <w:t xml:space="preserve"> </w:t>
      </w:r>
    </w:p>
    <w:p w:rsidR="000C629A" w:rsidRDefault="005F0608" w:rsidP="00781FBC">
      <w:pPr>
        <w:pStyle w:val="ListParagraph"/>
        <w:numPr>
          <w:ilvl w:val="0"/>
          <w:numId w:val="43"/>
        </w:numPr>
        <w:rPr>
          <w:rFonts w:cstheme="minorHAnsi"/>
          <w:szCs w:val="20"/>
        </w:rPr>
      </w:pPr>
      <w:r w:rsidRPr="00216A71">
        <w:rPr>
          <w:rFonts w:cstheme="minorHAnsi"/>
          <w:szCs w:val="20"/>
        </w:rPr>
        <w:t>The Nederlandse Waterschapsbank (NWB Bank), founded in 1954, is owned by Dutch local and regional governments, and lends only to the Dutch public sector. It has a triple A credit rating, and raised €12</w:t>
      </w:r>
      <w:r w:rsidR="005531B9">
        <w:rPr>
          <w:rFonts w:cstheme="minorHAnsi"/>
          <w:szCs w:val="20"/>
        </w:rPr>
        <w:t xml:space="preserve"> </w:t>
      </w:r>
      <w:r w:rsidRPr="00216A71">
        <w:rPr>
          <w:rFonts w:cstheme="minorHAnsi"/>
          <w:szCs w:val="20"/>
        </w:rPr>
        <w:t>billion in 2012. Its long-term loans to Dutch public authorities total €48</w:t>
      </w:r>
      <w:r w:rsidR="005531B9">
        <w:rPr>
          <w:rFonts w:cstheme="minorHAnsi"/>
          <w:szCs w:val="20"/>
        </w:rPr>
        <w:t xml:space="preserve"> </w:t>
      </w:r>
      <w:r w:rsidRPr="00216A71">
        <w:rPr>
          <w:rFonts w:cstheme="minorHAnsi"/>
          <w:szCs w:val="20"/>
        </w:rPr>
        <w:t>billion.</w:t>
      </w:r>
      <w:r w:rsidRPr="00216A71">
        <w:rPr>
          <w:rStyle w:val="EndnoteReference"/>
          <w:rFonts w:cstheme="minorHAnsi"/>
          <w:szCs w:val="20"/>
        </w:rPr>
        <w:endnoteReference w:id="232"/>
      </w:r>
    </w:p>
    <w:p w:rsidR="000C629A" w:rsidRDefault="005F0608" w:rsidP="00EC4A5D">
      <w:pPr>
        <w:pStyle w:val="ListParagraph"/>
        <w:numPr>
          <w:ilvl w:val="0"/>
          <w:numId w:val="43"/>
        </w:numPr>
        <w:rPr>
          <w:rFonts w:cstheme="minorHAnsi"/>
          <w:szCs w:val="20"/>
        </w:rPr>
      </w:pPr>
      <w:r w:rsidRPr="00216A71">
        <w:rPr>
          <w:rFonts w:cstheme="minorHAnsi"/>
          <w:szCs w:val="20"/>
        </w:rPr>
        <w:t xml:space="preserve">The Japan Finance Organization for Municipalities (JFM) </w:t>
      </w:r>
      <w:r w:rsidR="006350DB" w:rsidRPr="00216A71">
        <w:rPr>
          <w:rFonts w:cstheme="minorHAnsi"/>
          <w:szCs w:val="20"/>
        </w:rPr>
        <w:t xml:space="preserve">is wholly owned by Japanese local governments, and lends money only to local governments. </w:t>
      </w:r>
      <w:r w:rsidRPr="00216A71">
        <w:rPr>
          <w:rFonts w:cstheme="minorHAnsi"/>
          <w:szCs w:val="20"/>
        </w:rPr>
        <w:t>. In the aftermath of the earthquake and tsunami, JFM lent over USD</w:t>
      </w:r>
      <w:r w:rsidR="005531B9">
        <w:rPr>
          <w:rFonts w:cstheme="minorHAnsi"/>
          <w:szCs w:val="20"/>
        </w:rPr>
        <w:t xml:space="preserve"> </w:t>
      </w:r>
      <w:r w:rsidRPr="00216A71">
        <w:rPr>
          <w:rFonts w:cstheme="minorHAnsi"/>
          <w:szCs w:val="20"/>
        </w:rPr>
        <w:t>$18</w:t>
      </w:r>
      <w:r w:rsidR="005531B9">
        <w:rPr>
          <w:rFonts w:cstheme="minorHAnsi"/>
          <w:szCs w:val="20"/>
        </w:rPr>
        <w:t xml:space="preserve"> </w:t>
      </w:r>
      <w:r w:rsidRPr="00216A71">
        <w:rPr>
          <w:rFonts w:cstheme="minorHAnsi"/>
          <w:szCs w:val="20"/>
        </w:rPr>
        <w:t>billion to municipalities in 2011, and planned to lend a further USD</w:t>
      </w:r>
      <w:r w:rsidR="005531B9">
        <w:rPr>
          <w:rFonts w:cstheme="minorHAnsi"/>
          <w:szCs w:val="20"/>
        </w:rPr>
        <w:t xml:space="preserve"> </w:t>
      </w:r>
      <w:r w:rsidRPr="00216A71">
        <w:rPr>
          <w:rFonts w:cstheme="minorHAnsi"/>
          <w:szCs w:val="20"/>
        </w:rPr>
        <w:t>$22</w:t>
      </w:r>
      <w:r w:rsidR="005531B9">
        <w:rPr>
          <w:rFonts w:cstheme="minorHAnsi"/>
          <w:szCs w:val="20"/>
        </w:rPr>
        <w:t xml:space="preserve"> </w:t>
      </w:r>
      <w:r w:rsidRPr="00216A71">
        <w:rPr>
          <w:rFonts w:cstheme="minorHAnsi"/>
          <w:szCs w:val="20"/>
        </w:rPr>
        <w:t>billion in 2012.</w:t>
      </w:r>
      <w:r w:rsidRPr="00216A71">
        <w:rPr>
          <w:rStyle w:val="EndnoteReference"/>
          <w:rFonts w:cstheme="minorHAnsi"/>
          <w:szCs w:val="20"/>
        </w:rPr>
        <w:endnoteReference w:id="233"/>
      </w:r>
      <w:r w:rsidR="004045AD">
        <w:rPr>
          <w:rFonts w:cstheme="minorHAnsi"/>
          <w:szCs w:val="20"/>
        </w:rPr>
        <w:t xml:space="preserve"> </w:t>
      </w:r>
      <w:r w:rsidRPr="00216A71">
        <w:rPr>
          <w:rFonts w:cstheme="minorHAnsi"/>
          <w:b/>
          <w:szCs w:val="20"/>
        </w:rPr>
        <w:t>In both years, these amounts invested by this single public sector institution were greater than the value</w:t>
      </w:r>
      <w:r w:rsidR="004045AD">
        <w:rPr>
          <w:rFonts w:cstheme="minorHAnsi"/>
          <w:b/>
          <w:szCs w:val="20"/>
        </w:rPr>
        <w:t xml:space="preserve"> </w:t>
      </w:r>
      <w:r w:rsidRPr="00216A71">
        <w:rPr>
          <w:rFonts w:cstheme="minorHAnsi"/>
          <w:b/>
          <w:szCs w:val="20"/>
        </w:rPr>
        <w:t>of all the PPPs in Asia, Africa and the Middle East combined.</w:t>
      </w:r>
      <w:r w:rsidRPr="00216A71">
        <w:rPr>
          <w:rStyle w:val="EndnoteReference"/>
          <w:rFonts w:cstheme="minorHAnsi"/>
          <w:b/>
          <w:szCs w:val="20"/>
        </w:rPr>
        <w:endnoteReference w:id="234"/>
      </w:r>
      <w:r w:rsidRPr="00216A71">
        <w:rPr>
          <w:rFonts w:cstheme="minorHAnsi"/>
          <w:b/>
          <w:szCs w:val="20"/>
        </w:rPr>
        <w:t xml:space="preserve"> </w:t>
      </w:r>
      <w:r w:rsidRPr="00216A71">
        <w:rPr>
          <w:rFonts w:cstheme="minorHAnsi"/>
          <w:szCs w:val="20"/>
        </w:rPr>
        <w:t>It is also transferring USD</w:t>
      </w:r>
      <w:r w:rsidR="005531B9">
        <w:rPr>
          <w:rFonts w:cstheme="minorHAnsi"/>
          <w:szCs w:val="20"/>
        </w:rPr>
        <w:t xml:space="preserve"> </w:t>
      </w:r>
      <w:r w:rsidRPr="00216A71">
        <w:rPr>
          <w:rFonts w:cstheme="minorHAnsi"/>
          <w:szCs w:val="20"/>
        </w:rPr>
        <w:t>$10</w:t>
      </w:r>
      <w:r w:rsidR="005531B9">
        <w:rPr>
          <w:rFonts w:cstheme="minorHAnsi"/>
          <w:szCs w:val="20"/>
        </w:rPr>
        <w:t xml:space="preserve"> </w:t>
      </w:r>
      <w:r w:rsidRPr="00216A71">
        <w:rPr>
          <w:rFonts w:cstheme="minorHAnsi"/>
          <w:szCs w:val="20"/>
        </w:rPr>
        <w:t>billion of its reserves to central government, so that it can be distributed to municipalities.</w:t>
      </w:r>
      <w:r w:rsidR="006350DB" w:rsidRPr="00216A71">
        <w:rPr>
          <w:rFonts w:cstheme="minorHAnsi"/>
          <w:szCs w:val="20"/>
        </w:rPr>
        <w:t xml:space="preserve"> </w:t>
      </w:r>
      <w:r w:rsidRPr="00216A71">
        <w:rPr>
          <w:rFonts w:cstheme="minorHAnsi"/>
          <w:szCs w:val="20"/>
        </w:rPr>
        <w:t>Its loans to municipalities totalled Y22</w:t>
      </w:r>
      <w:r w:rsidR="005531B9">
        <w:rPr>
          <w:rFonts w:cstheme="minorHAnsi"/>
          <w:szCs w:val="20"/>
        </w:rPr>
        <w:t>,</w:t>
      </w:r>
      <w:r w:rsidRPr="00216A71">
        <w:rPr>
          <w:rFonts w:cstheme="minorHAnsi"/>
          <w:szCs w:val="20"/>
        </w:rPr>
        <w:t>387</w:t>
      </w:r>
      <w:r w:rsidR="005531B9">
        <w:rPr>
          <w:rFonts w:cstheme="minorHAnsi"/>
          <w:szCs w:val="20"/>
        </w:rPr>
        <w:t xml:space="preserve"> </w:t>
      </w:r>
      <w:r w:rsidRPr="00216A71">
        <w:rPr>
          <w:rFonts w:cstheme="minorHAnsi"/>
          <w:szCs w:val="20"/>
        </w:rPr>
        <w:t>billion (USD</w:t>
      </w:r>
      <w:r w:rsidR="005531B9">
        <w:rPr>
          <w:rFonts w:cstheme="minorHAnsi"/>
          <w:szCs w:val="20"/>
        </w:rPr>
        <w:t xml:space="preserve"> </w:t>
      </w:r>
      <w:r w:rsidRPr="00216A71">
        <w:rPr>
          <w:rFonts w:cstheme="minorHAnsi"/>
          <w:szCs w:val="20"/>
        </w:rPr>
        <w:t>$225</w:t>
      </w:r>
      <w:r w:rsidR="005531B9">
        <w:rPr>
          <w:rFonts w:cstheme="minorHAnsi"/>
          <w:szCs w:val="20"/>
        </w:rPr>
        <w:t xml:space="preserve"> </w:t>
      </w:r>
      <w:r w:rsidRPr="00216A71">
        <w:rPr>
          <w:rFonts w:cstheme="minorHAnsi"/>
          <w:szCs w:val="20"/>
        </w:rPr>
        <w:t>billion) in 2012</w:t>
      </w:r>
      <w:r w:rsidR="005A2E06" w:rsidRPr="00216A71">
        <w:rPr>
          <w:rFonts w:cstheme="minorHAnsi"/>
          <w:szCs w:val="20"/>
        </w:rPr>
        <w:t>.</w:t>
      </w:r>
    </w:p>
    <w:p w:rsidR="005F0608" w:rsidRPr="00216A71" w:rsidRDefault="005F0608" w:rsidP="005F0608">
      <w:pPr>
        <w:pStyle w:val="Heading8"/>
        <w:rPr>
          <w:rFonts w:asciiTheme="minorHAnsi" w:hAnsiTheme="minorHAnsi" w:cstheme="minorHAnsi"/>
          <w:szCs w:val="20"/>
        </w:rPr>
      </w:pPr>
      <w:r w:rsidRPr="00216A71">
        <w:rPr>
          <w:rFonts w:asciiTheme="minorHAnsi" w:hAnsiTheme="minorHAnsi" w:cstheme="minorHAnsi"/>
          <w:szCs w:val="20"/>
        </w:rPr>
        <w:lastRenderedPageBreak/>
        <w:t>Japan Finance Organization for Municipalities (JFM)</w:t>
      </w:r>
    </w:p>
    <w:p w:rsidR="000C629A" w:rsidRDefault="005F0608" w:rsidP="005F0608">
      <w:pPr>
        <w:rPr>
          <w:rFonts w:cstheme="minorHAnsi"/>
          <w:szCs w:val="20"/>
        </w:rPr>
      </w:pPr>
      <w:r w:rsidRPr="00216A71">
        <w:rPr>
          <w:rFonts w:cstheme="minorHAnsi"/>
          <w:noProof/>
          <w:szCs w:val="20"/>
          <w:lang w:eastAsia="en-GB"/>
        </w:rPr>
        <w:drawing>
          <wp:inline distT="0" distB="0" distL="0" distR="0" wp14:anchorId="13480459" wp14:editId="4CDB7DCF">
            <wp:extent cx="3680178" cy="3508810"/>
            <wp:effectExtent l="0" t="0" r="0" b="0"/>
            <wp:docPr id="30723" name="Picture 30723" descr="Basic Flow of Lending and Fund-Raising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Flow of Lending and Fund-Raising Operations"/>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680367" cy="3508990"/>
                    </a:xfrm>
                    <a:prstGeom prst="rect">
                      <a:avLst/>
                    </a:prstGeom>
                    <a:noFill/>
                    <a:ln>
                      <a:noFill/>
                    </a:ln>
                  </pic:spPr>
                </pic:pic>
              </a:graphicData>
            </a:graphic>
          </wp:inline>
        </w:drawing>
      </w:r>
    </w:p>
    <w:p w:rsidR="00215198" w:rsidRPr="00216A71" w:rsidRDefault="005F0608" w:rsidP="00781FBC">
      <w:pPr>
        <w:pStyle w:val="ListParagraph"/>
        <w:numPr>
          <w:ilvl w:val="0"/>
          <w:numId w:val="43"/>
        </w:numPr>
        <w:rPr>
          <w:rFonts w:cstheme="minorHAnsi"/>
          <w:szCs w:val="20"/>
        </w:rPr>
      </w:pPr>
      <w:r w:rsidRPr="00216A71">
        <w:rPr>
          <w:rFonts w:cstheme="minorHAnsi"/>
          <w:szCs w:val="20"/>
        </w:rPr>
        <w:t>The New Zealand agency, owned by 30 municipalities and the NZ government, raised over $1.5</w:t>
      </w:r>
      <w:r w:rsidR="005531B9">
        <w:rPr>
          <w:rFonts w:cstheme="minorHAnsi"/>
          <w:szCs w:val="20"/>
        </w:rPr>
        <w:t xml:space="preserve"> </w:t>
      </w:r>
      <w:r w:rsidRPr="00216A71">
        <w:rPr>
          <w:rFonts w:cstheme="minorHAnsi"/>
          <w:szCs w:val="20"/>
        </w:rPr>
        <w:t>billion through bonds in the first year of its existence, which was then loaned to local councils. Their cost of borrowing was reduced by up to 0.5</w:t>
      </w:r>
      <w:r w:rsidR="00A42FDE">
        <w:rPr>
          <w:rFonts w:cstheme="minorHAnsi"/>
          <w:szCs w:val="20"/>
        </w:rPr>
        <w:t xml:space="preserve"> per cent</w:t>
      </w:r>
      <w:r w:rsidRPr="00216A71">
        <w:rPr>
          <w:rFonts w:cstheme="minorHAnsi"/>
          <w:szCs w:val="20"/>
        </w:rPr>
        <w:t xml:space="preserve"> per year, a substantial saving.</w:t>
      </w:r>
      <w:r w:rsidRPr="00216A71">
        <w:rPr>
          <w:rStyle w:val="EndnoteReference"/>
          <w:rFonts w:cstheme="minorHAnsi"/>
          <w:szCs w:val="20"/>
        </w:rPr>
        <w:endnoteReference w:id="235"/>
      </w:r>
    </w:p>
    <w:p w:rsidR="00B9450C" w:rsidRPr="00216A71" w:rsidRDefault="00B9450C" w:rsidP="00215198">
      <w:pPr>
        <w:rPr>
          <w:rFonts w:cstheme="minorHAnsi"/>
          <w:szCs w:val="20"/>
        </w:rPr>
        <w:sectPr w:rsidR="00B9450C" w:rsidRPr="00216A71" w:rsidSect="0078087D">
          <w:headerReference w:type="default" r:id="rId216"/>
          <w:footerReference w:type="default" r:id="rId217"/>
          <w:headerReference w:type="first" r:id="rId218"/>
          <w:footerReference w:type="first" r:id="rId219"/>
          <w:endnotePr>
            <w:numFmt w:val="decimal"/>
          </w:endnotePr>
          <w:pgSz w:w="11906" w:h="16838" w:code="9"/>
          <w:pgMar w:top="1134" w:right="1134" w:bottom="1134" w:left="1134" w:header="567" w:footer="567" w:gutter="0"/>
          <w:cols w:space="708"/>
          <w:titlePg/>
          <w:docGrid w:linePitch="360"/>
        </w:sectPr>
      </w:pPr>
    </w:p>
    <w:p w:rsidR="00885545" w:rsidRPr="00216A71" w:rsidRDefault="006350DB" w:rsidP="00CE1FBB">
      <w:pPr>
        <w:pStyle w:val="Heading1"/>
      </w:pPr>
      <w:bookmarkStart w:id="205" w:name="_Toc392857556"/>
      <w:r w:rsidRPr="00216A71">
        <w:lastRenderedPageBreak/>
        <w:t xml:space="preserve">Annexe: </w:t>
      </w:r>
      <w:r w:rsidR="00CD69BF" w:rsidRPr="00216A71">
        <w:t>Challenging PPPs: a strategic framework</w:t>
      </w:r>
      <w:bookmarkEnd w:id="205"/>
    </w:p>
    <w:p w:rsidR="00EF78BD" w:rsidRPr="00EF78BD" w:rsidRDefault="00EF78BD" w:rsidP="00EF78BD">
      <w:pPr>
        <w:pStyle w:val="ListParagraph"/>
        <w:keepNext/>
        <w:numPr>
          <w:ilvl w:val="0"/>
          <w:numId w:val="16"/>
        </w:numPr>
        <w:spacing w:before="240" w:after="60"/>
        <w:contextualSpacing w:val="0"/>
        <w:outlineLvl w:val="1"/>
        <w:rPr>
          <w:rFonts w:cstheme="minorHAnsi"/>
          <w:b/>
          <w:bCs/>
          <w:iCs/>
          <w:vanish/>
          <w:szCs w:val="28"/>
        </w:rPr>
      </w:pPr>
    </w:p>
    <w:p w:rsidR="006350DB" w:rsidRPr="00216A71" w:rsidRDefault="006350DB" w:rsidP="00EF78BD">
      <w:pPr>
        <w:pStyle w:val="Heading2"/>
      </w:pPr>
      <w:bookmarkStart w:id="206" w:name="_Toc392857557"/>
      <w:r w:rsidRPr="00216A71">
        <w:t>Challenging the case for PPPs</w:t>
      </w:r>
      <w:bookmarkEnd w:id="206"/>
    </w:p>
    <w:tbl>
      <w:tblPr>
        <w:tblStyle w:val="TableGrid"/>
        <w:tblW w:w="14283" w:type="dxa"/>
        <w:tblLayout w:type="fixed"/>
        <w:tblLook w:val="04A0" w:firstRow="1" w:lastRow="0" w:firstColumn="1" w:lastColumn="0" w:noHBand="0" w:noVBand="1"/>
      </w:tblPr>
      <w:tblGrid>
        <w:gridCol w:w="4503"/>
        <w:gridCol w:w="5244"/>
        <w:gridCol w:w="4536"/>
      </w:tblGrid>
      <w:tr w:rsidR="00E441B8" w:rsidRPr="00216A71" w:rsidTr="00AF1820">
        <w:trPr>
          <w:tblHeader/>
        </w:trPr>
        <w:tc>
          <w:tcPr>
            <w:tcW w:w="4503" w:type="dxa"/>
            <w:shd w:val="clear" w:color="auto" w:fill="CCC0D9" w:themeFill="accent4" w:themeFillTint="66"/>
          </w:tcPr>
          <w:p w:rsidR="00E441B8" w:rsidRPr="00216A71" w:rsidRDefault="00E441B8" w:rsidP="0076727C">
            <w:pPr>
              <w:pStyle w:val="Subtitle"/>
              <w:rPr>
                <w:rFonts w:asciiTheme="minorHAnsi" w:hAnsiTheme="minorHAnsi" w:cstheme="minorHAnsi"/>
                <w:sz w:val="20"/>
                <w:szCs w:val="20"/>
              </w:rPr>
            </w:pPr>
          </w:p>
        </w:tc>
        <w:tc>
          <w:tcPr>
            <w:tcW w:w="5244" w:type="dxa"/>
            <w:shd w:val="clear" w:color="auto" w:fill="CCC0D9" w:themeFill="accent4" w:themeFillTint="66"/>
          </w:tcPr>
          <w:p w:rsidR="00E441B8" w:rsidRPr="00216A71" w:rsidRDefault="00E441B8" w:rsidP="0076727C">
            <w:pPr>
              <w:rPr>
                <w:rFonts w:cstheme="minorHAnsi"/>
                <w:szCs w:val="20"/>
              </w:rPr>
            </w:pPr>
            <w:r w:rsidRPr="00216A71">
              <w:rPr>
                <w:rFonts w:cstheme="minorHAnsi"/>
                <w:szCs w:val="20"/>
              </w:rPr>
              <w:t xml:space="preserve">OECD Recommendations </w:t>
            </w:r>
          </w:p>
        </w:tc>
        <w:tc>
          <w:tcPr>
            <w:tcW w:w="4536" w:type="dxa"/>
            <w:shd w:val="clear" w:color="auto" w:fill="CCC0D9" w:themeFill="accent4" w:themeFillTint="66"/>
          </w:tcPr>
          <w:p w:rsidR="00E441B8" w:rsidRPr="00216A71" w:rsidRDefault="00E441B8" w:rsidP="0076727C">
            <w:pPr>
              <w:rPr>
                <w:rFonts w:cstheme="minorHAnsi"/>
                <w:szCs w:val="20"/>
              </w:rPr>
            </w:pPr>
            <w:r w:rsidRPr="00216A71">
              <w:rPr>
                <w:rFonts w:cstheme="minorHAnsi"/>
                <w:szCs w:val="20"/>
              </w:rPr>
              <w:t>Other references</w:t>
            </w:r>
          </w:p>
        </w:tc>
      </w:tr>
      <w:tr w:rsidR="00E441B8" w:rsidRPr="00216A71" w:rsidTr="00AF1820">
        <w:tc>
          <w:tcPr>
            <w:tcW w:w="4503" w:type="dxa"/>
          </w:tcPr>
          <w:p w:rsidR="000C629A" w:rsidRDefault="00E441B8" w:rsidP="00781FBC">
            <w:pPr>
              <w:pStyle w:val="ListParagraph"/>
              <w:numPr>
                <w:ilvl w:val="0"/>
                <w:numId w:val="30"/>
              </w:numPr>
              <w:rPr>
                <w:rFonts w:cstheme="minorHAnsi"/>
                <w:szCs w:val="20"/>
              </w:rPr>
            </w:pPr>
            <w:r w:rsidRPr="00216A71">
              <w:rPr>
                <w:rFonts w:cstheme="minorHAnsi"/>
                <w:szCs w:val="20"/>
              </w:rPr>
              <w:t>Public debate</w:t>
            </w:r>
          </w:p>
          <w:p w:rsidR="000C629A" w:rsidRDefault="00E441B8" w:rsidP="0076727C">
            <w:pPr>
              <w:rPr>
                <w:rFonts w:cstheme="minorHAnsi"/>
                <w:szCs w:val="20"/>
              </w:rPr>
            </w:pPr>
            <w:r w:rsidRPr="00216A71">
              <w:rPr>
                <w:rFonts w:cstheme="minorHAnsi"/>
                <w:szCs w:val="20"/>
              </w:rPr>
              <w:t xml:space="preserve">Ensure there is a public debate, making full use of media. </w:t>
            </w:r>
          </w:p>
          <w:p w:rsidR="000C629A" w:rsidRDefault="00E441B8" w:rsidP="0076727C">
            <w:pPr>
              <w:rPr>
                <w:rFonts w:cstheme="minorHAnsi"/>
                <w:szCs w:val="20"/>
              </w:rPr>
            </w:pPr>
            <w:r w:rsidRPr="00216A71">
              <w:rPr>
                <w:rFonts w:cstheme="minorHAnsi"/>
                <w:szCs w:val="20"/>
              </w:rPr>
              <w:t>Governments should be formally and publicly consulting unions and other civil society organisations.</w:t>
            </w:r>
          </w:p>
          <w:p w:rsidR="00E441B8" w:rsidRPr="00216A71" w:rsidRDefault="00E441B8" w:rsidP="0076727C">
            <w:pPr>
              <w:rPr>
                <w:rFonts w:cstheme="minorHAnsi"/>
                <w:szCs w:val="20"/>
              </w:rPr>
            </w:pPr>
          </w:p>
        </w:tc>
        <w:tc>
          <w:tcPr>
            <w:tcW w:w="5244" w:type="dxa"/>
          </w:tcPr>
          <w:p w:rsidR="00E441B8" w:rsidRPr="00216A71" w:rsidRDefault="00E441B8" w:rsidP="005531B9">
            <w:pPr>
              <w:rPr>
                <w:rFonts w:cstheme="minorHAnsi"/>
                <w:szCs w:val="20"/>
              </w:rPr>
            </w:pPr>
            <w:r w:rsidRPr="00216A71">
              <w:rPr>
                <w:rFonts w:cstheme="minorHAnsi"/>
                <w:szCs w:val="20"/>
              </w:rPr>
              <w:t xml:space="preserve">OECD A1: </w:t>
            </w:r>
            <w:r w:rsidR="005531B9">
              <w:rPr>
                <w:rFonts w:cstheme="minorHAnsi"/>
                <w:szCs w:val="20"/>
              </w:rPr>
              <w:t>“</w:t>
            </w:r>
            <w:r w:rsidRPr="00216A71">
              <w:rPr>
                <w:rFonts w:cstheme="minorHAnsi"/>
                <w:szCs w:val="20"/>
              </w:rPr>
              <w:t>Active consultation and engagement with stakeholders should be an integral element of the process</w:t>
            </w:r>
            <w:r w:rsidR="005531B9">
              <w:rPr>
                <w:rFonts w:cstheme="minorHAnsi"/>
                <w:szCs w:val="20"/>
              </w:rPr>
              <w:t>….</w:t>
            </w:r>
            <w:r w:rsidRPr="00216A71">
              <w:rPr>
                <w:rFonts w:cstheme="minorHAnsi"/>
                <w:color w:val="211D1E"/>
                <w:szCs w:val="20"/>
              </w:rPr>
              <w:t xml:space="preserve"> </w:t>
            </w:r>
            <w:r w:rsidRPr="00216A71">
              <w:rPr>
                <w:rFonts w:cstheme="minorHAnsi"/>
                <w:szCs w:val="20"/>
              </w:rPr>
              <w:t>Labour unions consequently represent a key stakeholder group that can be substantially affected by the usage of PPPs. For PPPs to work and to be legitimate, labour should be actively involved. The same can be said for NGOs and other civil society groups which often have concerns that PPPs may have social and environmental consequences and impact the rights of minority groups. Active involvement of NGOs can create transparency about problematic issues that might otherwise be overlooked and become serious problems if not tackled at an early stage.</w:t>
            </w:r>
            <w:r w:rsidR="005531B9">
              <w:rPr>
                <w:rFonts w:cstheme="minorHAnsi"/>
                <w:szCs w:val="20"/>
              </w:rPr>
              <w:t>”</w:t>
            </w:r>
          </w:p>
        </w:tc>
        <w:tc>
          <w:tcPr>
            <w:tcW w:w="4536" w:type="dxa"/>
          </w:tcPr>
          <w:p w:rsidR="00E441B8" w:rsidRPr="00216A71" w:rsidRDefault="00E441B8" w:rsidP="0076727C">
            <w:pPr>
              <w:rPr>
                <w:rFonts w:cstheme="minorHAnsi"/>
                <w:b/>
                <w:szCs w:val="20"/>
              </w:rPr>
            </w:pPr>
          </w:p>
          <w:p w:rsidR="00E441B8" w:rsidRPr="00216A71" w:rsidRDefault="00E441B8" w:rsidP="0076727C">
            <w:pPr>
              <w:rPr>
                <w:rFonts w:cstheme="minorHAnsi"/>
                <w:szCs w:val="20"/>
              </w:rPr>
            </w:pPr>
          </w:p>
        </w:tc>
      </w:tr>
      <w:tr w:rsidR="00E441B8" w:rsidRPr="00216A71" w:rsidTr="00AF1820">
        <w:tc>
          <w:tcPr>
            <w:tcW w:w="4503" w:type="dxa"/>
          </w:tcPr>
          <w:p w:rsidR="00E441B8" w:rsidRPr="00216A71" w:rsidRDefault="00E441B8" w:rsidP="00781FBC">
            <w:pPr>
              <w:pStyle w:val="ListParagraph"/>
              <w:numPr>
                <w:ilvl w:val="0"/>
                <w:numId w:val="30"/>
              </w:numPr>
              <w:rPr>
                <w:rFonts w:cstheme="minorHAnsi"/>
                <w:szCs w:val="20"/>
              </w:rPr>
            </w:pPr>
            <w:r w:rsidRPr="00216A71">
              <w:rPr>
                <w:rFonts w:cstheme="minorHAnsi"/>
                <w:szCs w:val="20"/>
              </w:rPr>
              <w:t>More expensive borrowing</w:t>
            </w:r>
          </w:p>
          <w:p w:rsidR="00E441B8" w:rsidRPr="00216A71" w:rsidRDefault="00E441B8" w:rsidP="0076727C">
            <w:pPr>
              <w:rPr>
                <w:rFonts w:cstheme="minorHAnsi"/>
                <w:szCs w:val="20"/>
              </w:rPr>
            </w:pPr>
            <w:r w:rsidRPr="00216A71">
              <w:rPr>
                <w:rFonts w:cstheme="minorHAnsi"/>
                <w:szCs w:val="20"/>
              </w:rPr>
              <w:t xml:space="preserve">PPPs are a form of borrowing. It is always more expensive than government borrowing, because private companies have to pay higher interest. So it makes infrastructure more expensive than building it using public finance. </w:t>
            </w:r>
          </w:p>
          <w:p w:rsidR="00E441B8" w:rsidRPr="00216A71" w:rsidRDefault="00E441B8" w:rsidP="0076727C">
            <w:pPr>
              <w:rPr>
                <w:rFonts w:cstheme="minorHAnsi"/>
                <w:szCs w:val="20"/>
              </w:rPr>
            </w:pPr>
          </w:p>
        </w:tc>
        <w:tc>
          <w:tcPr>
            <w:tcW w:w="5244" w:type="dxa"/>
          </w:tcPr>
          <w:p w:rsidR="00E441B8" w:rsidRPr="00216A71" w:rsidRDefault="00E441B8" w:rsidP="0076727C">
            <w:pPr>
              <w:rPr>
                <w:rFonts w:cstheme="minorHAnsi"/>
                <w:szCs w:val="20"/>
              </w:rPr>
            </w:pPr>
          </w:p>
        </w:tc>
        <w:tc>
          <w:tcPr>
            <w:tcW w:w="4536" w:type="dxa"/>
          </w:tcPr>
          <w:p w:rsidR="000C629A" w:rsidRDefault="00E441B8" w:rsidP="0076727C">
            <w:pPr>
              <w:rPr>
                <w:rFonts w:cstheme="minorHAnsi"/>
                <w:szCs w:val="20"/>
              </w:rPr>
            </w:pPr>
            <w:r w:rsidRPr="00216A71">
              <w:rPr>
                <w:rFonts w:cstheme="minorHAnsi"/>
                <w:szCs w:val="20"/>
              </w:rPr>
              <w:t>IMF 2004 para 22. “</w:t>
            </w:r>
            <w:r w:rsidR="005531B9">
              <w:rPr>
                <w:rFonts w:cstheme="minorHAnsi"/>
                <w:szCs w:val="20"/>
              </w:rPr>
              <w:t>W</w:t>
            </w:r>
            <w:r w:rsidRPr="00216A71">
              <w:rPr>
                <w:rFonts w:cstheme="minorHAnsi"/>
                <w:szCs w:val="20"/>
              </w:rPr>
              <w:t>hen PPPs result in private borrowing being substituted for government borrowing, financing costs will in most cases rise</w:t>
            </w:r>
            <w:r w:rsidR="005531B9">
              <w:rPr>
                <w:rFonts w:cstheme="minorHAnsi"/>
                <w:szCs w:val="20"/>
              </w:rPr>
              <w:t>.</w:t>
            </w:r>
            <w:r w:rsidRPr="00216A71">
              <w:rPr>
                <w:rFonts w:cstheme="minorHAnsi"/>
                <w:szCs w:val="20"/>
              </w:rPr>
              <w:t xml:space="preserve">” </w:t>
            </w:r>
            <w:r w:rsidRPr="00216A71">
              <w:rPr>
                <w:rFonts w:cstheme="minorHAnsi"/>
                <w:szCs w:val="20"/>
                <w:vertAlign w:val="superscript"/>
              </w:rPr>
              <w:endnoteReference w:id="236"/>
            </w:r>
          </w:p>
          <w:p w:rsidR="00E441B8" w:rsidRPr="00216A71" w:rsidRDefault="00E441B8" w:rsidP="005531B9">
            <w:pPr>
              <w:rPr>
                <w:rFonts w:cstheme="minorHAnsi"/>
                <w:szCs w:val="20"/>
              </w:rPr>
            </w:pPr>
            <w:r w:rsidRPr="00216A71">
              <w:rPr>
                <w:rFonts w:cstheme="minorHAnsi"/>
                <w:szCs w:val="20"/>
              </w:rPr>
              <w:t>OECD 2008 3.2.1 “</w:t>
            </w:r>
            <w:r w:rsidR="005531B9">
              <w:rPr>
                <w:rFonts w:cstheme="minorHAnsi"/>
                <w:szCs w:val="20"/>
              </w:rPr>
              <w:t>T</w:t>
            </w:r>
            <w:r w:rsidRPr="00216A71">
              <w:rPr>
                <w:rFonts w:cstheme="minorHAnsi"/>
                <w:szCs w:val="20"/>
              </w:rPr>
              <w:t>he cost of capital of the private partner is usually higher than that of government, i.e. the interest rate on private sector loans usually exceed the interest rate on public sector loans.”</w:t>
            </w:r>
            <w:r w:rsidRPr="00216A71">
              <w:rPr>
                <w:rFonts w:cstheme="minorHAnsi"/>
                <w:szCs w:val="20"/>
                <w:vertAlign w:val="superscript"/>
              </w:rPr>
              <w:endnoteReference w:id="237"/>
            </w:r>
          </w:p>
        </w:tc>
      </w:tr>
      <w:tr w:rsidR="00E441B8" w:rsidRPr="00216A71" w:rsidTr="00AF1820">
        <w:tc>
          <w:tcPr>
            <w:tcW w:w="4503" w:type="dxa"/>
          </w:tcPr>
          <w:p w:rsidR="000C629A" w:rsidRDefault="00E441B8" w:rsidP="00781FBC">
            <w:pPr>
              <w:pStyle w:val="ListParagraph"/>
              <w:numPr>
                <w:ilvl w:val="0"/>
                <w:numId w:val="30"/>
              </w:numPr>
              <w:rPr>
                <w:rFonts w:cstheme="minorHAnsi"/>
                <w:szCs w:val="20"/>
              </w:rPr>
            </w:pPr>
            <w:r w:rsidRPr="00216A71">
              <w:rPr>
                <w:rFonts w:cstheme="minorHAnsi"/>
                <w:szCs w:val="20"/>
              </w:rPr>
              <w:t>Capturing public spending</w:t>
            </w:r>
          </w:p>
          <w:p w:rsidR="00E441B8" w:rsidRPr="00216A71" w:rsidRDefault="00E441B8" w:rsidP="0076727C">
            <w:pPr>
              <w:rPr>
                <w:rFonts w:cstheme="minorHAnsi"/>
                <w:szCs w:val="20"/>
              </w:rPr>
            </w:pPr>
            <w:r w:rsidRPr="00216A71">
              <w:rPr>
                <w:rFonts w:cstheme="minorHAnsi"/>
                <w:szCs w:val="20"/>
              </w:rPr>
              <w:t>PPPs do not provide additional spending by private companies.</w:t>
            </w:r>
            <w:r w:rsidR="004045AD">
              <w:rPr>
                <w:rFonts w:cstheme="minorHAnsi"/>
                <w:szCs w:val="20"/>
              </w:rPr>
              <w:t xml:space="preserve"> </w:t>
            </w:r>
            <w:r w:rsidRPr="00216A71">
              <w:rPr>
                <w:rFonts w:cstheme="minorHAnsi"/>
                <w:szCs w:val="20"/>
              </w:rPr>
              <w:t>They have the opposite effect – they create contracts which oblige governments to spend money on the private companies for 25 years or more.</w:t>
            </w:r>
            <w:r w:rsidR="004045AD">
              <w:rPr>
                <w:rFonts w:cstheme="minorHAnsi"/>
                <w:szCs w:val="20"/>
              </w:rPr>
              <w:t xml:space="preserve"> </w:t>
            </w:r>
            <w:r w:rsidRPr="00216A71">
              <w:rPr>
                <w:rFonts w:cstheme="minorHAnsi"/>
                <w:szCs w:val="20"/>
              </w:rPr>
              <w:t xml:space="preserve">They prevent flexibility – they may force cuts in other services in order to maintain the PPP payments. </w:t>
            </w:r>
          </w:p>
          <w:p w:rsidR="00335E66" w:rsidRPr="00216A71" w:rsidRDefault="00335E66" w:rsidP="0076727C">
            <w:pPr>
              <w:rPr>
                <w:rFonts w:cstheme="minorHAnsi"/>
                <w:szCs w:val="20"/>
              </w:rPr>
            </w:pPr>
          </w:p>
        </w:tc>
        <w:tc>
          <w:tcPr>
            <w:tcW w:w="5244" w:type="dxa"/>
          </w:tcPr>
          <w:p w:rsidR="00E441B8" w:rsidRPr="00216A71" w:rsidRDefault="00E441B8" w:rsidP="0076727C">
            <w:pPr>
              <w:rPr>
                <w:rFonts w:cstheme="minorHAnsi"/>
                <w:szCs w:val="20"/>
              </w:rPr>
            </w:pPr>
          </w:p>
        </w:tc>
        <w:tc>
          <w:tcPr>
            <w:tcW w:w="4536" w:type="dxa"/>
          </w:tcPr>
          <w:p w:rsidR="00E441B8" w:rsidRPr="00216A71" w:rsidRDefault="00A6465D" w:rsidP="005531B9">
            <w:pPr>
              <w:rPr>
                <w:rFonts w:cstheme="minorHAnsi"/>
                <w:szCs w:val="20"/>
              </w:rPr>
            </w:pPr>
            <w:r w:rsidRPr="00216A71">
              <w:rPr>
                <w:rFonts w:cstheme="minorHAnsi"/>
                <w:szCs w:val="20"/>
              </w:rPr>
              <w:t>NY</w:t>
            </w:r>
            <w:r w:rsidR="004045AD">
              <w:rPr>
                <w:rFonts w:cstheme="minorHAnsi"/>
                <w:szCs w:val="20"/>
              </w:rPr>
              <w:t xml:space="preserve"> </w:t>
            </w:r>
            <w:r w:rsidRPr="00216A71">
              <w:rPr>
                <w:rFonts w:cstheme="minorHAnsi"/>
                <w:szCs w:val="20"/>
              </w:rPr>
              <w:t>p.18 “Prohibit unfunded future obligations. The state should ban private financing agreements that require future payments by the public partner, unless such payments are included in…</w:t>
            </w:r>
            <w:r w:rsidR="005531B9">
              <w:rPr>
                <w:rFonts w:cstheme="minorHAnsi"/>
                <w:szCs w:val="20"/>
              </w:rPr>
              <w:t xml:space="preserve"> </w:t>
            </w:r>
            <w:r w:rsidRPr="00216A71">
              <w:rPr>
                <w:rFonts w:cstheme="minorHAnsi"/>
                <w:szCs w:val="20"/>
              </w:rPr>
              <w:t>the State’s Financial Plan [budget]</w:t>
            </w:r>
            <w:r w:rsidR="005531B9">
              <w:rPr>
                <w:rFonts w:cstheme="minorHAnsi"/>
                <w:szCs w:val="20"/>
              </w:rPr>
              <w:t>.”</w:t>
            </w:r>
          </w:p>
        </w:tc>
      </w:tr>
      <w:tr w:rsidR="00E441B8" w:rsidRPr="00216A71" w:rsidTr="00AF1820">
        <w:tc>
          <w:tcPr>
            <w:tcW w:w="4503" w:type="dxa"/>
          </w:tcPr>
          <w:p w:rsidR="000C629A" w:rsidRDefault="00E441B8" w:rsidP="00781FBC">
            <w:pPr>
              <w:pStyle w:val="ListParagraph"/>
              <w:numPr>
                <w:ilvl w:val="0"/>
                <w:numId w:val="30"/>
              </w:numPr>
              <w:rPr>
                <w:rFonts w:cstheme="minorHAnsi"/>
                <w:szCs w:val="20"/>
              </w:rPr>
            </w:pPr>
            <w:r w:rsidRPr="00216A71">
              <w:rPr>
                <w:rFonts w:cstheme="minorHAnsi"/>
                <w:szCs w:val="20"/>
              </w:rPr>
              <w:lastRenderedPageBreak/>
              <w:t>Democratic not corporate decisions on infrastructure</w:t>
            </w:r>
          </w:p>
          <w:p w:rsidR="00E441B8" w:rsidRPr="00216A71" w:rsidRDefault="00E441B8" w:rsidP="0076727C">
            <w:pPr>
              <w:rPr>
                <w:rFonts w:cstheme="minorHAnsi"/>
                <w:szCs w:val="20"/>
              </w:rPr>
            </w:pPr>
            <w:r w:rsidRPr="00216A71">
              <w:rPr>
                <w:rFonts w:cstheme="minorHAnsi"/>
                <w:szCs w:val="20"/>
              </w:rPr>
              <w:t>PPPs are promoted by corporations which select the projects which are the most profitable. But the decision about what to build should be taken through democratic participatory processes to decide what is best for the country. A PPPs programme distort</w:t>
            </w:r>
            <w:r w:rsidR="009551CF" w:rsidRPr="00216A71">
              <w:rPr>
                <w:rFonts w:cstheme="minorHAnsi"/>
                <w:szCs w:val="20"/>
              </w:rPr>
              <w:t>s</w:t>
            </w:r>
            <w:r w:rsidRPr="00216A71">
              <w:rPr>
                <w:rFonts w:cstheme="minorHAnsi"/>
                <w:szCs w:val="20"/>
              </w:rPr>
              <w:t xml:space="preserve"> decisions.</w:t>
            </w:r>
            <w:r w:rsidR="004045AD">
              <w:rPr>
                <w:rFonts w:cstheme="minorHAnsi"/>
                <w:szCs w:val="20"/>
              </w:rPr>
              <w:t xml:space="preserve"> </w:t>
            </w:r>
          </w:p>
          <w:p w:rsidR="00E441B8" w:rsidRPr="00216A71" w:rsidRDefault="00E441B8" w:rsidP="0076727C">
            <w:pPr>
              <w:rPr>
                <w:rFonts w:cstheme="minorHAnsi"/>
                <w:szCs w:val="20"/>
              </w:rPr>
            </w:pPr>
          </w:p>
        </w:tc>
        <w:tc>
          <w:tcPr>
            <w:tcW w:w="5244" w:type="dxa"/>
          </w:tcPr>
          <w:p w:rsidR="00E441B8" w:rsidRPr="00216A71" w:rsidRDefault="00E441B8" w:rsidP="0076727C">
            <w:pPr>
              <w:rPr>
                <w:rFonts w:cstheme="minorHAnsi"/>
                <w:szCs w:val="20"/>
              </w:rPr>
            </w:pPr>
            <w:r w:rsidRPr="00216A71">
              <w:rPr>
                <w:rFonts w:cstheme="minorHAnsi"/>
                <w:szCs w:val="20"/>
              </w:rPr>
              <w:t>OECD 4: “As there are many competing investment priorities, it is the responsibility of government to define and pursue strategic goals. The decision to invest should be based on a whole of government perspective and be separate from how to procure and finance the project. There should be no institutional, procedural or accounting bias either in favour of or against Public-Private Partnerships.”</w:t>
            </w:r>
          </w:p>
        </w:tc>
        <w:tc>
          <w:tcPr>
            <w:tcW w:w="4536" w:type="dxa"/>
          </w:tcPr>
          <w:p w:rsidR="00E441B8" w:rsidRPr="00216A71" w:rsidRDefault="00E441B8" w:rsidP="0076727C">
            <w:pPr>
              <w:rPr>
                <w:rFonts w:cstheme="minorHAnsi"/>
                <w:szCs w:val="20"/>
              </w:rPr>
            </w:pPr>
          </w:p>
        </w:tc>
      </w:tr>
      <w:tr w:rsidR="00E441B8" w:rsidRPr="00216A71" w:rsidTr="00AF1820">
        <w:tc>
          <w:tcPr>
            <w:tcW w:w="4503" w:type="dxa"/>
          </w:tcPr>
          <w:p w:rsidR="000C629A" w:rsidRDefault="0038480F" w:rsidP="00781FBC">
            <w:pPr>
              <w:pStyle w:val="ListParagraph"/>
              <w:numPr>
                <w:ilvl w:val="0"/>
                <w:numId w:val="30"/>
              </w:numPr>
              <w:rPr>
                <w:rFonts w:cstheme="minorHAnsi"/>
                <w:szCs w:val="20"/>
              </w:rPr>
            </w:pPr>
            <w:r w:rsidRPr="00216A71">
              <w:rPr>
                <w:rFonts w:cstheme="minorHAnsi"/>
                <w:szCs w:val="20"/>
              </w:rPr>
              <w:t>Insist on the evidence of experience</w:t>
            </w:r>
          </w:p>
          <w:p w:rsidR="00E441B8" w:rsidRPr="00216A71" w:rsidRDefault="000F6CAA" w:rsidP="0038480F">
            <w:pPr>
              <w:rPr>
                <w:rFonts w:cstheme="minorHAnsi"/>
                <w:szCs w:val="20"/>
              </w:rPr>
            </w:pPr>
            <w:r w:rsidRPr="00216A71">
              <w:rPr>
                <w:rFonts w:cstheme="minorHAnsi"/>
                <w:szCs w:val="20"/>
              </w:rPr>
              <w:t xml:space="preserve">The facts show a completely different picture to the evidence. </w:t>
            </w:r>
            <w:r w:rsidR="0038480F" w:rsidRPr="00216A71">
              <w:rPr>
                <w:rFonts w:cstheme="minorHAnsi"/>
                <w:szCs w:val="20"/>
              </w:rPr>
              <w:t>With PPPs, the cost of finance is always higher, construction costs are higher, the transaction costs are higher, and there are no efficiency gains. There is also a high risk of corruption, deliberately exaggerated forecasts, and damage to public services. And the UK has terminated</w:t>
            </w:r>
            <w:r w:rsidR="004045AD">
              <w:rPr>
                <w:rFonts w:cstheme="minorHAnsi"/>
                <w:szCs w:val="20"/>
              </w:rPr>
              <w:t xml:space="preserve"> </w:t>
            </w:r>
            <w:r w:rsidR="0038480F" w:rsidRPr="00216A71">
              <w:rPr>
                <w:rFonts w:cstheme="minorHAnsi"/>
                <w:szCs w:val="20"/>
              </w:rPr>
              <w:t xml:space="preserve">the largest PPPs programme in the world because of public and political opposition. </w:t>
            </w:r>
          </w:p>
        </w:tc>
        <w:tc>
          <w:tcPr>
            <w:tcW w:w="5244" w:type="dxa"/>
          </w:tcPr>
          <w:p w:rsidR="00E441B8" w:rsidRPr="00216A71" w:rsidRDefault="00E441B8" w:rsidP="0076727C">
            <w:pPr>
              <w:rPr>
                <w:rFonts w:cstheme="minorHAnsi"/>
                <w:szCs w:val="20"/>
              </w:rPr>
            </w:pPr>
          </w:p>
        </w:tc>
        <w:tc>
          <w:tcPr>
            <w:tcW w:w="4536" w:type="dxa"/>
          </w:tcPr>
          <w:p w:rsidR="00E441B8" w:rsidRPr="00216A71" w:rsidRDefault="00E441B8" w:rsidP="0076727C">
            <w:pPr>
              <w:rPr>
                <w:rFonts w:cstheme="minorHAnsi"/>
                <w:szCs w:val="20"/>
              </w:rPr>
            </w:pPr>
          </w:p>
        </w:tc>
      </w:tr>
      <w:tr w:rsidR="00E441B8" w:rsidRPr="00216A71" w:rsidTr="00AF1820">
        <w:tc>
          <w:tcPr>
            <w:tcW w:w="4503" w:type="dxa"/>
          </w:tcPr>
          <w:p w:rsidR="000C629A" w:rsidRDefault="00E441B8" w:rsidP="00781FBC">
            <w:pPr>
              <w:pStyle w:val="ListParagraph"/>
              <w:numPr>
                <w:ilvl w:val="0"/>
                <w:numId w:val="30"/>
              </w:numPr>
              <w:rPr>
                <w:rFonts w:cstheme="minorHAnsi"/>
                <w:szCs w:val="20"/>
              </w:rPr>
            </w:pPr>
            <w:r w:rsidRPr="00216A71">
              <w:rPr>
                <w:rFonts w:cstheme="minorHAnsi"/>
                <w:szCs w:val="20"/>
              </w:rPr>
              <w:t>Alternatives</w:t>
            </w:r>
          </w:p>
          <w:p w:rsidR="00E441B8" w:rsidRPr="00216A71" w:rsidRDefault="000F6CAA" w:rsidP="0076727C">
            <w:pPr>
              <w:rPr>
                <w:rFonts w:cstheme="minorHAnsi"/>
                <w:szCs w:val="20"/>
              </w:rPr>
            </w:pPr>
            <w:r w:rsidRPr="00216A71">
              <w:rPr>
                <w:rFonts w:cstheme="minorHAnsi"/>
                <w:szCs w:val="20"/>
              </w:rPr>
              <w:t xml:space="preserve">There is always a public sector alternative. </w:t>
            </w:r>
            <w:r w:rsidR="00E441B8" w:rsidRPr="00216A71">
              <w:rPr>
                <w:rFonts w:cstheme="minorHAnsi"/>
                <w:szCs w:val="20"/>
              </w:rPr>
              <w:t xml:space="preserve">Public finance </w:t>
            </w:r>
            <w:r w:rsidR="005531B9">
              <w:rPr>
                <w:rFonts w:cstheme="minorHAnsi"/>
                <w:szCs w:val="20"/>
              </w:rPr>
              <w:t xml:space="preserve">is </w:t>
            </w:r>
            <w:r w:rsidR="00E441B8" w:rsidRPr="00216A71">
              <w:rPr>
                <w:rFonts w:cstheme="minorHAnsi"/>
                <w:szCs w:val="20"/>
              </w:rPr>
              <w:t xml:space="preserve">cheaper, </w:t>
            </w:r>
            <w:r w:rsidR="005531B9">
              <w:rPr>
                <w:rFonts w:cstheme="minorHAnsi"/>
                <w:szCs w:val="20"/>
              </w:rPr>
              <w:t xml:space="preserve">and the </w:t>
            </w:r>
            <w:r w:rsidR="00E441B8" w:rsidRPr="00216A71">
              <w:rPr>
                <w:rFonts w:cstheme="minorHAnsi"/>
                <w:szCs w:val="20"/>
              </w:rPr>
              <w:t xml:space="preserve">public sector </w:t>
            </w:r>
            <w:r w:rsidR="005531B9">
              <w:rPr>
                <w:rFonts w:cstheme="minorHAnsi"/>
                <w:szCs w:val="20"/>
              </w:rPr>
              <w:t xml:space="preserve">is </w:t>
            </w:r>
            <w:r w:rsidR="00E441B8" w:rsidRPr="00216A71">
              <w:rPr>
                <w:rFonts w:cstheme="minorHAnsi"/>
                <w:szCs w:val="20"/>
              </w:rPr>
              <w:t>more flexible</w:t>
            </w:r>
            <w:r w:rsidR="005531B9">
              <w:rPr>
                <w:rFonts w:cstheme="minorHAnsi"/>
                <w:szCs w:val="20"/>
              </w:rPr>
              <w:t>.</w:t>
            </w:r>
          </w:p>
          <w:p w:rsidR="00E441B8" w:rsidRPr="00216A71" w:rsidRDefault="00E441B8" w:rsidP="0076727C">
            <w:pPr>
              <w:rPr>
                <w:rFonts w:cstheme="minorHAnsi"/>
                <w:szCs w:val="20"/>
              </w:rPr>
            </w:pPr>
          </w:p>
        </w:tc>
        <w:tc>
          <w:tcPr>
            <w:tcW w:w="5244" w:type="dxa"/>
          </w:tcPr>
          <w:p w:rsidR="00E441B8" w:rsidRPr="00216A71" w:rsidRDefault="00E441B8" w:rsidP="0076727C">
            <w:pPr>
              <w:rPr>
                <w:rFonts w:cstheme="minorHAnsi"/>
                <w:szCs w:val="20"/>
              </w:rPr>
            </w:pPr>
          </w:p>
        </w:tc>
        <w:tc>
          <w:tcPr>
            <w:tcW w:w="4536" w:type="dxa"/>
          </w:tcPr>
          <w:p w:rsidR="00E441B8" w:rsidRPr="00216A71" w:rsidRDefault="00E441B8" w:rsidP="001970DD">
            <w:pPr>
              <w:rPr>
                <w:rFonts w:cstheme="minorHAnsi"/>
                <w:szCs w:val="20"/>
              </w:rPr>
            </w:pPr>
          </w:p>
        </w:tc>
      </w:tr>
      <w:tr w:rsidR="00E441B8" w:rsidRPr="00216A71" w:rsidTr="00AF1820">
        <w:tc>
          <w:tcPr>
            <w:tcW w:w="4503" w:type="dxa"/>
          </w:tcPr>
          <w:p w:rsidR="000C629A" w:rsidRDefault="00E441B8" w:rsidP="00781FBC">
            <w:pPr>
              <w:pStyle w:val="ListParagraph"/>
              <w:numPr>
                <w:ilvl w:val="0"/>
                <w:numId w:val="30"/>
              </w:numPr>
              <w:rPr>
                <w:rFonts w:cstheme="minorHAnsi"/>
                <w:szCs w:val="20"/>
              </w:rPr>
            </w:pPr>
            <w:r w:rsidRPr="00216A71">
              <w:rPr>
                <w:rFonts w:cstheme="minorHAnsi"/>
                <w:szCs w:val="20"/>
              </w:rPr>
              <w:t>Long-term campaign and accountability</w:t>
            </w:r>
          </w:p>
          <w:p w:rsidR="00E441B8" w:rsidRPr="00216A71" w:rsidRDefault="00E441B8" w:rsidP="0076727C">
            <w:pPr>
              <w:rPr>
                <w:rFonts w:cstheme="minorHAnsi"/>
                <w:szCs w:val="20"/>
              </w:rPr>
            </w:pPr>
            <w:r w:rsidRPr="00216A71">
              <w:rPr>
                <w:rFonts w:cstheme="minorHAnsi"/>
                <w:szCs w:val="20"/>
              </w:rPr>
              <w:t>Make clear that political campaigns to scrutinise and overturn PPPs will continue, even if contracts are awarded. Politicians, officials, advisers and companies will be held accountable if there is evidence of misleading information or corruption. Auditors and courts</w:t>
            </w:r>
            <w:r w:rsidR="004045AD">
              <w:rPr>
                <w:rFonts w:cstheme="minorHAnsi"/>
                <w:szCs w:val="20"/>
              </w:rPr>
              <w:t xml:space="preserve"> </w:t>
            </w:r>
            <w:r w:rsidRPr="00216A71">
              <w:rPr>
                <w:rFonts w:cstheme="minorHAnsi"/>
                <w:szCs w:val="20"/>
              </w:rPr>
              <w:lastRenderedPageBreak/>
              <w:t>will be used to challenge of</w:t>
            </w:r>
            <w:r w:rsidR="004045AD">
              <w:rPr>
                <w:rFonts w:cstheme="minorHAnsi"/>
                <w:szCs w:val="20"/>
              </w:rPr>
              <w:t xml:space="preserve"> </w:t>
            </w:r>
            <w:r w:rsidRPr="00216A71">
              <w:rPr>
                <w:rFonts w:cstheme="minorHAnsi"/>
                <w:szCs w:val="20"/>
              </w:rPr>
              <w:t>legality of PPPs. Investors need to be aware that they will face these challenges.</w:t>
            </w:r>
          </w:p>
        </w:tc>
        <w:tc>
          <w:tcPr>
            <w:tcW w:w="5244" w:type="dxa"/>
          </w:tcPr>
          <w:p w:rsidR="00E441B8" w:rsidRPr="00216A71" w:rsidRDefault="00E441B8" w:rsidP="0076727C">
            <w:pPr>
              <w:rPr>
                <w:rFonts w:cstheme="minorHAnsi"/>
                <w:szCs w:val="20"/>
              </w:rPr>
            </w:pPr>
            <w:r w:rsidRPr="00216A71">
              <w:rPr>
                <w:rFonts w:cstheme="minorHAnsi"/>
                <w:szCs w:val="20"/>
              </w:rPr>
              <w:lastRenderedPageBreak/>
              <w:t xml:space="preserve">OECD 8: </w:t>
            </w:r>
            <w:r w:rsidR="005531B9">
              <w:rPr>
                <w:rFonts w:cstheme="minorHAnsi"/>
                <w:szCs w:val="20"/>
              </w:rPr>
              <w:t>“</w:t>
            </w:r>
            <w:r w:rsidRPr="00216A71">
              <w:rPr>
                <w:rFonts w:cstheme="minorHAnsi"/>
                <w:szCs w:val="20"/>
              </w:rPr>
              <w:t>Only if conditions change due to discretionary public policy actions should the government consider compensating the private sector. Any re-negotiation should be made transparently</w:t>
            </w:r>
            <w:r w:rsidR="005531B9">
              <w:rPr>
                <w:rFonts w:cstheme="minorHAnsi"/>
                <w:szCs w:val="20"/>
              </w:rPr>
              <w:t>.”</w:t>
            </w:r>
          </w:p>
        </w:tc>
        <w:tc>
          <w:tcPr>
            <w:tcW w:w="4536" w:type="dxa"/>
          </w:tcPr>
          <w:p w:rsidR="000C629A" w:rsidRDefault="00E441B8" w:rsidP="0076727C">
            <w:pPr>
              <w:rPr>
                <w:rFonts w:cstheme="minorHAnsi"/>
                <w:szCs w:val="20"/>
              </w:rPr>
            </w:pPr>
            <w:r w:rsidRPr="00216A71">
              <w:rPr>
                <w:rFonts w:cstheme="minorHAnsi"/>
                <w:szCs w:val="20"/>
              </w:rPr>
              <w:t>EPEC 2013 p.19: in most countries: “the government has full freedom to terminate the PPP contract, or voluntary termination is qualified by a ‘public interest’ test</w:t>
            </w:r>
            <w:r w:rsidR="005531B9">
              <w:rPr>
                <w:rFonts w:cstheme="minorHAnsi"/>
                <w:szCs w:val="20"/>
              </w:rPr>
              <w:t>.</w:t>
            </w:r>
            <w:r w:rsidRPr="00216A71">
              <w:rPr>
                <w:rFonts w:cstheme="minorHAnsi"/>
                <w:szCs w:val="20"/>
              </w:rPr>
              <w:t>”</w:t>
            </w:r>
            <w:r w:rsidRPr="00216A71">
              <w:rPr>
                <w:rStyle w:val="EndnoteReference"/>
                <w:rFonts w:cstheme="minorHAnsi"/>
                <w:szCs w:val="20"/>
              </w:rPr>
              <w:t xml:space="preserve"> </w:t>
            </w:r>
            <w:r w:rsidRPr="00216A71">
              <w:rPr>
                <w:rStyle w:val="EndnoteReference"/>
                <w:rFonts w:cstheme="minorHAnsi"/>
                <w:szCs w:val="20"/>
              </w:rPr>
              <w:endnoteReference w:id="238"/>
            </w:r>
            <w:r w:rsidRPr="00216A71">
              <w:rPr>
                <w:rFonts w:cstheme="minorHAnsi"/>
                <w:szCs w:val="20"/>
              </w:rPr>
              <w:t xml:space="preserve"> </w:t>
            </w:r>
          </w:p>
          <w:p w:rsidR="00E441B8" w:rsidRPr="00216A71" w:rsidRDefault="00E441B8" w:rsidP="00830512">
            <w:pPr>
              <w:rPr>
                <w:rFonts w:cstheme="minorHAnsi"/>
                <w:szCs w:val="20"/>
              </w:rPr>
            </w:pPr>
            <w:r w:rsidRPr="00216A71">
              <w:rPr>
                <w:rFonts w:cstheme="minorHAnsi"/>
                <w:szCs w:val="20"/>
              </w:rPr>
              <w:t xml:space="preserve">PSIRU 2008 5.7.3: “A number of PPPs have been ruled invalid because they breached basic competition rules, and even involved clear </w:t>
            </w:r>
            <w:r w:rsidRPr="00216A71">
              <w:rPr>
                <w:rFonts w:cstheme="minorHAnsi"/>
                <w:szCs w:val="20"/>
              </w:rPr>
              <w:lastRenderedPageBreak/>
              <w:t>corruption” (in Belgium, Denmark, France)</w:t>
            </w:r>
            <w:r w:rsidR="005531B9">
              <w:rPr>
                <w:rFonts w:cstheme="minorHAnsi"/>
                <w:szCs w:val="20"/>
              </w:rPr>
              <w:t>.</w:t>
            </w:r>
            <w:r w:rsidRPr="00216A71">
              <w:rPr>
                <w:rStyle w:val="EndnoteReference"/>
                <w:rFonts w:cstheme="minorHAnsi"/>
                <w:szCs w:val="20"/>
              </w:rPr>
              <w:endnoteReference w:id="239"/>
            </w:r>
          </w:p>
        </w:tc>
      </w:tr>
    </w:tbl>
    <w:p w:rsidR="00E441B8" w:rsidRPr="00216A71" w:rsidRDefault="00E441B8">
      <w:pPr>
        <w:rPr>
          <w:rFonts w:cstheme="minorHAnsi"/>
          <w:szCs w:val="20"/>
        </w:rPr>
      </w:pPr>
    </w:p>
    <w:p w:rsidR="00E441B8" w:rsidRPr="00216A71" w:rsidRDefault="006350DB" w:rsidP="00EC4A5D">
      <w:pPr>
        <w:pStyle w:val="Heading2"/>
        <w:rPr>
          <w:rFonts w:asciiTheme="minorHAnsi" w:hAnsiTheme="minorHAnsi" w:cstheme="minorHAnsi"/>
        </w:rPr>
      </w:pPr>
      <w:bookmarkStart w:id="207" w:name="_Toc392857558"/>
      <w:r w:rsidRPr="00216A71">
        <w:rPr>
          <w:rFonts w:asciiTheme="minorHAnsi" w:hAnsiTheme="minorHAnsi" w:cstheme="minorHAnsi"/>
        </w:rPr>
        <w:t>Challenging the projects</w:t>
      </w:r>
      <w:bookmarkEnd w:id="207"/>
    </w:p>
    <w:tbl>
      <w:tblPr>
        <w:tblStyle w:val="TableGrid"/>
        <w:tblW w:w="14283" w:type="dxa"/>
        <w:tblLayout w:type="fixed"/>
        <w:tblLook w:val="04A0" w:firstRow="1" w:lastRow="0" w:firstColumn="1" w:lastColumn="0" w:noHBand="0" w:noVBand="1"/>
      </w:tblPr>
      <w:tblGrid>
        <w:gridCol w:w="4503"/>
        <w:gridCol w:w="5103"/>
        <w:gridCol w:w="4677"/>
      </w:tblGrid>
      <w:tr w:rsidR="00E441B8" w:rsidRPr="00216A71" w:rsidTr="00572BE7">
        <w:trPr>
          <w:tblHeader/>
        </w:trPr>
        <w:tc>
          <w:tcPr>
            <w:tcW w:w="4503" w:type="dxa"/>
            <w:shd w:val="clear" w:color="auto" w:fill="CCC0D9" w:themeFill="accent4" w:themeFillTint="66"/>
          </w:tcPr>
          <w:p w:rsidR="00E441B8" w:rsidRPr="00216A71" w:rsidRDefault="00E441B8" w:rsidP="0076727C">
            <w:pPr>
              <w:pStyle w:val="Subtitle"/>
              <w:rPr>
                <w:rFonts w:asciiTheme="minorHAnsi" w:hAnsiTheme="minorHAnsi" w:cstheme="minorHAnsi"/>
                <w:sz w:val="20"/>
                <w:szCs w:val="20"/>
              </w:rPr>
            </w:pPr>
          </w:p>
        </w:tc>
        <w:tc>
          <w:tcPr>
            <w:tcW w:w="5103" w:type="dxa"/>
            <w:shd w:val="clear" w:color="auto" w:fill="CCC0D9" w:themeFill="accent4" w:themeFillTint="66"/>
          </w:tcPr>
          <w:p w:rsidR="00E441B8" w:rsidRPr="00216A71" w:rsidRDefault="00E441B8" w:rsidP="0076727C">
            <w:pPr>
              <w:rPr>
                <w:rFonts w:cstheme="minorHAnsi"/>
                <w:szCs w:val="20"/>
              </w:rPr>
            </w:pPr>
            <w:r w:rsidRPr="00216A71">
              <w:rPr>
                <w:rFonts w:cstheme="minorHAnsi"/>
                <w:szCs w:val="20"/>
              </w:rPr>
              <w:t xml:space="preserve">OECD Recommendations </w:t>
            </w:r>
          </w:p>
        </w:tc>
        <w:tc>
          <w:tcPr>
            <w:tcW w:w="4677" w:type="dxa"/>
            <w:shd w:val="clear" w:color="auto" w:fill="CCC0D9" w:themeFill="accent4" w:themeFillTint="66"/>
          </w:tcPr>
          <w:p w:rsidR="00E441B8" w:rsidRPr="00216A71" w:rsidRDefault="00E441B8" w:rsidP="0076727C">
            <w:pPr>
              <w:rPr>
                <w:rFonts w:cstheme="minorHAnsi"/>
                <w:szCs w:val="20"/>
              </w:rPr>
            </w:pPr>
            <w:r w:rsidRPr="00216A71">
              <w:rPr>
                <w:rFonts w:cstheme="minorHAnsi"/>
                <w:szCs w:val="20"/>
              </w:rPr>
              <w:t>Other references</w:t>
            </w:r>
          </w:p>
        </w:tc>
      </w:tr>
      <w:tr w:rsidR="00E441B8" w:rsidRPr="00216A71" w:rsidTr="00572BE7">
        <w:tc>
          <w:tcPr>
            <w:tcW w:w="4503" w:type="dxa"/>
          </w:tcPr>
          <w:p w:rsidR="0038480F" w:rsidRPr="00216A71" w:rsidRDefault="0038480F" w:rsidP="0038480F">
            <w:pPr>
              <w:rPr>
                <w:rFonts w:cstheme="minorHAnsi"/>
                <w:szCs w:val="20"/>
              </w:rPr>
            </w:pPr>
          </w:p>
          <w:p w:rsidR="000C629A" w:rsidRDefault="0038480F" w:rsidP="0038480F">
            <w:pPr>
              <w:rPr>
                <w:rFonts w:cstheme="minorHAnsi"/>
                <w:szCs w:val="20"/>
              </w:rPr>
            </w:pPr>
            <w:r w:rsidRPr="00216A71">
              <w:rPr>
                <w:rFonts w:cstheme="minorHAnsi"/>
                <w:szCs w:val="20"/>
              </w:rPr>
              <w:t>All project proposals should be scrutinised publicly to ensure t</w:t>
            </w:r>
            <w:r w:rsidR="00E441B8" w:rsidRPr="00216A71">
              <w:rPr>
                <w:rFonts w:cstheme="minorHAnsi"/>
                <w:szCs w:val="20"/>
              </w:rPr>
              <w:t xml:space="preserve">ransparency and </w:t>
            </w:r>
            <w:r w:rsidRPr="00216A71">
              <w:rPr>
                <w:rFonts w:cstheme="minorHAnsi"/>
                <w:szCs w:val="20"/>
              </w:rPr>
              <w:t xml:space="preserve">the </w:t>
            </w:r>
            <w:r w:rsidR="00E441B8" w:rsidRPr="00216A71">
              <w:rPr>
                <w:rFonts w:cstheme="minorHAnsi"/>
                <w:szCs w:val="20"/>
              </w:rPr>
              <w:t>public interest</w:t>
            </w:r>
            <w:r w:rsidRPr="00216A71">
              <w:rPr>
                <w:rFonts w:cstheme="minorHAnsi"/>
                <w:szCs w:val="20"/>
              </w:rPr>
              <w:t xml:space="preserve"> as the only criterion. They should make explicit the i</w:t>
            </w:r>
            <w:r w:rsidR="00E441B8" w:rsidRPr="00216A71">
              <w:rPr>
                <w:rFonts w:cstheme="minorHAnsi"/>
                <w:szCs w:val="20"/>
              </w:rPr>
              <w:t>mpact on government revenues and finance, services, prices, workers etc</w:t>
            </w:r>
            <w:r w:rsidRPr="00216A71">
              <w:rPr>
                <w:rFonts w:cstheme="minorHAnsi"/>
                <w:szCs w:val="20"/>
              </w:rPr>
              <w:t>. And all official and consultancy reports should be subject to public peer review and challenge.</w:t>
            </w:r>
          </w:p>
          <w:p w:rsidR="0038480F" w:rsidRPr="00216A71" w:rsidRDefault="0038480F" w:rsidP="0038480F">
            <w:pPr>
              <w:rPr>
                <w:rFonts w:cstheme="minorHAnsi"/>
                <w:szCs w:val="20"/>
              </w:rPr>
            </w:pPr>
            <w:r w:rsidRPr="00216A71">
              <w:rPr>
                <w:rFonts w:cstheme="minorHAnsi"/>
                <w:szCs w:val="20"/>
              </w:rPr>
              <w:t>No consultants who might benefit from a project should be commissioned to write assessments.</w:t>
            </w:r>
          </w:p>
        </w:tc>
        <w:tc>
          <w:tcPr>
            <w:tcW w:w="5103" w:type="dxa"/>
          </w:tcPr>
          <w:p w:rsidR="000C629A" w:rsidRDefault="00E441B8" w:rsidP="0076727C">
            <w:pPr>
              <w:rPr>
                <w:rFonts w:cstheme="minorHAnsi"/>
                <w:b/>
                <w:bCs/>
                <w:szCs w:val="20"/>
              </w:rPr>
            </w:pPr>
            <w:r w:rsidRPr="00216A71">
              <w:rPr>
                <w:rFonts w:cstheme="minorHAnsi"/>
                <w:szCs w:val="20"/>
              </w:rPr>
              <w:t xml:space="preserve">OECD C: </w:t>
            </w:r>
            <w:r w:rsidR="00830512">
              <w:rPr>
                <w:rFonts w:cstheme="minorHAnsi"/>
                <w:szCs w:val="20"/>
              </w:rPr>
              <w:t>“</w:t>
            </w:r>
            <w:r w:rsidRPr="00216A71">
              <w:rPr>
                <w:rFonts w:cstheme="minorHAnsi"/>
                <w:b/>
                <w:bCs/>
                <w:szCs w:val="20"/>
              </w:rPr>
              <w:t>Use the budgetary process transparently to minimise fiscal risks and ensure the integrity of the procurement process</w:t>
            </w:r>
            <w:r w:rsidR="00830512">
              <w:rPr>
                <w:rFonts w:cstheme="minorHAnsi"/>
                <w:b/>
                <w:bCs/>
                <w:szCs w:val="20"/>
              </w:rPr>
              <w:t>.”</w:t>
            </w:r>
          </w:p>
          <w:p w:rsidR="000C629A" w:rsidRDefault="00E441B8" w:rsidP="0076727C">
            <w:pPr>
              <w:rPr>
                <w:rFonts w:cstheme="minorHAnsi"/>
                <w:szCs w:val="20"/>
              </w:rPr>
            </w:pPr>
            <w:r w:rsidRPr="00216A71">
              <w:rPr>
                <w:rFonts w:cstheme="minorHAnsi"/>
                <w:szCs w:val="20"/>
              </w:rPr>
              <w:t xml:space="preserve">OECD C11: </w:t>
            </w:r>
            <w:r w:rsidR="00830512">
              <w:rPr>
                <w:rFonts w:cstheme="minorHAnsi"/>
                <w:szCs w:val="20"/>
              </w:rPr>
              <w:t>“</w:t>
            </w:r>
            <w:r w:rsidRPr="00216A71">
              <w:rPr>
                <w:rFonts w:cstheme="minorHAnsi"/>
                <w:szCs w:val="20"/>
              </w:rPr>
              <w:t>Budget documentation should transparently disclose all information possible regarding the costs and contingent liabilities of the PPP. The information should include what and when the government will pay, and full details of guarantees and contingent liabilities. The payment stream from government under the PPP contract should be highlighted, particularly if it is back loaded.</w:t>
            </w:r>
            <w:r w:rsidR="00830512">
              <w:rPr>
                <w:rFonts w:cstheme="minorHAnsi"/>
                <w:szCs w:val="20"/>
              </w:rPr>
              <w:t>”</w:t>
            </w:r>
            <w:r w:rsidRPr="00216A71">
              <w:rPr>
                <w:rFonts w:cstheme="minorHAnsi"/>
                <w:szCs w:val="20"/>
              </w:rPr>
              <w:t xml:space="preserve"> </w:t>
            </w:r>
          </w:p>
          <w:p w:rsidR="00E441B8" w:rsidRPr="00216A71"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What contingent liabilities are associated with the project?</w:t>
            </w:r>
            <w:r w:rsidR="00830512">
              <w:rPr>
                <w:rFonts w:cstheme="minorHAnsi"/>
                <w:szCs w:val="20"/>
              </w:rPr>
              <w:t>”</w:t>
            </w:r>
          </w:p>
        </w:tc>
        <w:tc>
          <w:tcPr>
            <w:tcW w:w="4677" w:type="dxa"/>
          </w:tcPr>
          <w:p w:rsidR="00AF1820" w:rsidRPr="00216A71" w:rsidRDefault="00AF1820" w:rsidP="00A6465D">
            <w:pPr>
              <w:rPr>
                <w:rFonts w:cstheme="minorHAnsi"/>
                <w:szCs w:val="20"/>
              </w:rPr>
            </w:pPr>
          </w:p>
          <w:p w:rsidR="00AF1820" w:rsidRPr="00216A71" w:rsidRDefault="00AF1820" w:rsidP="00A6465D">
            <w:pPr>
              <w:rPr>
                <w:rFonts w:cstheme="minorHAnsi"/>
                <w:szCs w:val="20"/>
              </w:rPr>
            </w:pPr>
          </w:p>
        </w:tc>
      </w:tr>
      <w:tr w:rsidR="00E441B8" w:rsidRPr="00216A71" w:rsidTr="00572BE7">
        <w:tc>
          <w:tcPr>
            <w:tcW w:w="4503" w:type="dxa"/>
          </w:tcPr>
          <w:p w:rsidR="00E441B8" w:rsidRPr="00216A71" w:rsidRDefault="0038480F" w:rsidP="0038480F">
            <w:pPr>
              <w:rPr>
                <w:rFonts w:cstheme="minorHAnsi"/>
                <w:szCs w:val="20"/>
              </w:rPr>
            </w:pPr>
            <w:r w:rsidRPr="00216A71">
              <w:rPr>
                <w:rFonts w:cstheme="minorHAnsi"/>
                <w:szCs w:val="20"/>
              </w:rPr>
              <w:t>There must be a value for money comparative assessment. The methods for doing this should be subject to public debate.</w:t>
            </w:r>
          </w:p>
        </w:tc>
        <w:tc>
          <w:tcPr>
            <w:tcW w:w="5103" w:type="dxa"/>
          </w:tcPr>
          <w:p w:rsidR="000C629A" w:rsidRDefault="00E441B8" w:rsidP="0076727C">
            <w:pPr>
              <w:rPr>
                <w:rFonts w:cstheme="minorHAnsi"/>
                <w:szCs w:val="20"/>
              </w:rPr>
            </w:pPr>
            <w:r w:rsidRPr="00216A71">
              <w:rPr>
                <w:rFonts w:cstheme="minorHAnsi"/>
                <w:szCs w:val="20"/>
              </w:rPr>
              <w:t xml:space="preserve">OECD A2 </w:t>
            </w:r>
            <w:r w:rsidR="00830512">
              <w:rPr>
                <w:rFonts w:cstheme="minorHAnsi"/>
                <w:szCs w:val="20"/>
              </w:rPr>
              <w:t>“</w:t>
            </w:r>
            <w:r w:rsidRPr="00216A71">
              <w:rPr>
                <w:rFonts w:cstheme="minorHAnsi"/>
                <w:szCs w:val="20"/>
              </w:rPr>
              <w:t>The Central Budget Authority should scrutinise the project for value for money, affordability, procedural steps and that the projects remain in line with political agreements.</w:t>
            </w:r>
            <w:r w:rsidR="00830512">
              <w:rPr>
                <w:rFonts w:cstheme="minorHAnsi"/>
                <w:szCs w:val="20"/>
              </w:rPr>
              <w:t>”</w:t>
            </w:r>
          </w:p>
          <w:p w:rsidR="00E441B8" w:rsidRPr="00216A71" w:rsidRDefault="00E441B8" w:rsidP="0076727C">
            <w:pPr>
              <w:rPr>
                <w:rFonts w:cstheme="minorHAnsi"/>
                <w:szCs w:val="20"/>
              </w:rPr>
            </w:pPr>
          </w:p>
        </w:tc>
        <w:tc>
          <w:tcPr>
            <w:tcW w:w="4677" w:type="dxa"/>
          </w:tcPr>
          <w:p w:rsidR="00AF1820" w:rsidRPr="00216A71" w:rsidRDefault="00AF1820" w:rsidP="00AF1820">
            <w:pPr>
              <w:rPr>
                <w:rFonts w:cstheme="minorHAnsi"/>
                <w:szCs w:val="20"/>
              </w:rPr>
            </w:pPr>
            <w:r w:rsidRPr="00216A71">
              <w:rPr>
                <w:rFonts w:cstheme="minorHAnsi"/>
                <w:szCs w:val="20"/>
              </w:rPr>
              <w:t>NY p.16: “</w:t>
            </w:r>
            <w:r w:rsidR="00830512">
              <w:rPr>
                <w:rFonts w:cstheme="minorHAnsi"/>
                <w:szCs w:val="20"/>
              </w:rPr>
              <w:t>A</w:t>
            </w:r>
            <w:r w:rsidRPr="00216A71">
              <w:rPr>
                <w:rFonts w:cstheme="minorHAnsi"/>
                <w:szCs w:val="20"/>
              </w:rPr>
              <w:t xml:space="preserve"> VfM analysis</w:t>
            </w:r>
            <w:r w:rsidR="00335E66" w:rsidRPr="00216A71">
              <w:rPr>
                <w:rFonts w:cstheme="minorHAnsi"/>
                <w:szCs w:val="20"/>
              </w:rPr>
              <w:t xml:space="preserve">… </w:t>
            </w:r>
            <w:r w:rsidRPr="00216A71">
              <w:rPr>
                <w:rFonts w:cstheme="minorHAnsi"/>
                <w:szCs w:val="20"/>
              </w:rPr>
              <w:t>does not consider the more basic question of the value of the asset not just to the State but to the public itself</w:t>
            </w:r>
            <w:r w:rsidR="00830512">
              <w:rPr>
                <w:rFonts w:cstheme="minorHAnsi"/>
                <w:szCs w:val="20"/>
              </w:rPr>
              <w:t>…</w:t>
            </w:r>
            <w:r w:rsidRPr="00216A71">
              <w:rPr>
                <w:rFonts w:cstheme="minorHAnsi"/>
                <w:szCs w:val="20"/>
              </w:rPr>
              <w:t xml:space="preserve"> in terms of performance, user satisfaction and the overall viability of the project. This type of valuation is sometimes called a </w:t>
            </w:r>
            <w:r w:rsidR="00830512">
              <w:rPr>
                <w:rFonts w:cstheme="minorHAnsi"/>
                <w:szCs w:val="20"/>
              </w:rPr>
              <w:t>‘</w:t>
            </w:r>
            <w:r w:rsidRPr="00216A71">
              <w:rPr>
                <w:rFonts w:cstheme="minorHAnsi"/>
                <w:szCs w:val="20"/>
              </w:rPr>
              <w:t>qualitative value for money assessment</w:t>
            </w:r>
            <w:r w:rsidR="00830512">
              <w:rPr>
                <w:rFonts w:cstheme="minorHAnsi"/>
                <w:szCs w:val="20"/>
              </w:rPr>
              <w:t>’..</w:t>
            </w:r>
            <w:r w:rsidRPr="00216A71">
              <w:rPr>
                <w:rFonts w:cstheme="minorHAnsi"/>
                <w:szCs w:val="20"/>
              </w:rPr>
              <w:t>. because many of the factors have not and cannot be quantified. What is the value of ensuring that a public facility is affordable or available to all? What is the cost of locking the public in to a particular pattern of consumption when alternatives might serve them better in the future?</w:t>
            </w:r>
          </w:p>
          <w:p w:rsidR="00E441B8" w:rsidRPr="00216A71" w:rsidRDefault="00830512" w:rsidP="00AF1820">
            <w:pPr>
              <w:rPr>
                <w:rFonts w:cstheme="minorHAnsi"/>
                <w:szCs w:val="20"/>
              </w:rPr>
            </w:pPr>
            <w:r>
              <w:rPr>
                <w:rFonts w:cstheme="minorHAnsi"/>
                <w:szCs w:val="20"/>
              </w:rPr>
              <w:t>“</w:t>
            </w:r>
            <w:r w:rsidR="00AF1820" w:rsidRPr="00216A71">
              <w:rPr>
                <w:rFonts w:cstheme="minorHAnsi"/>
                <w:szCs w:val="20"/>
              </w:rPr>
              <w:t xml:space="preserve">Other concerns, beyond the financial aspects of </w:t>
            </w:r>
            <w:r w:rsidR="00AF1820" w:rsidRPr="00216A71">
              <w:rPr>
                <w:rFonts w:cstheme="minorHAnsi"/>
                <w:szCs w:val="20"/>
              </w:rPr>
              <w:lastRenderedPageBreak/>
              <w:t xml:space="preserve">P3s, should also be considered by policy makers. </w:t>
            </w:r>
            <w:r w:rsidR="00E37E55" w:rsidRPr="00216A71">
              <w:rPr>
                <w:rFonts w:cstheme="minorHAnsi"/>
                <w:szCs w:val="20"/>
              </w:rPr>
              <w:t>E</w:t>
            </w:r>
            <w:r w:rsidR="00AF1820" w:rsidRPr="00216A71">
              <w:rPr>
                <w:rFonts w:cstheme="minorHAnsi"/>
                <w:szCs w:val="20"/>
              </w:rPr>
              <w:t>xamples include: Community Issues, Labour issues, Environmental issues</w:t>
            </w:r>
            <w:r>
              <w:rPr>
                <w:rFonts w:cstheme="minorHAnsi"/>
                <w:szCs w:val="20"/>
              </w:rPr>
              <w:t>.</w:t>
            </w:r>
            <w:r w:rsidR="00AF1820" w:rsidRPr="00216A71">
              <w:rPr>
                <w:rFonts w:cstheme="minorHAnsi"/>
                <w:szCs w:val="20"/>
              </w:rPr>
              <w:t>”</w:t>
            </w:r>
          </w:p>
        </w:tc>
      </w:tr>
      <w:tr w:rsidR="00E441B8" w:rsidRPr="00216A71" w:rsidTr="00572BE7">
        <w:tc>
          <w:tcPr>
            <w:tcW w:w="4503" w:type="dxa"/>
          </w:tcPr>
          <w:p w:rsidR="00E441B8" w:rsidRPr="00216A71" w:rsidRDefault="0038480F" w:rsidP="0038480F">
            <w:pPr>
              <w:rPr>
                <w:rFonts w:cstheme="minorHAnsi"/>
                <w:szCs w:val="20"/>
              </w:rPr>
            </w:pPr>
            <w:r w:rsidRPr="00216A71">
              <w:rPr>
                <w:rFonts w:cstheme="minorHAnsi"/>
                <w:szCs w:val="20"/>
              </w:rPr>
              <w:lastRenderedPageBreak/>
              <w:t>There should be a proper comparison with a public sector alternative.</w:t>
            </w:r>
          </w:p>
        </w:tc>
        <w:tc>
          <w:tcPr>
            <w:tcW w:w="5103" w:type="dxa"/>
          </w:tcPr>
          <w:p w:rsidR="000C629A" w:rsidRDefault="00E441B8" w:rsidP="0076727C">
            <w:pPr>
              <w:rPr>
                <w:rFonts w:cstheme="minorHAnsi"/>
                <w:szCs w:val="20"/>
              </w:rPr>
            </w:pPr>
            <w:r w:rsidRPr="00216A71">
              <w:rPr>
                <w:rFonts w:cstheme="minorHAnsi"/>
                <w:szCs w:val="20"/>
              </w:rPr>
              <w:t xml:space="preserve">OECD 5: </w:t>
            </w:r>
            <w:r w:rsidR="00830512">
              <w:rPr>
                <w:rFonts w:cstheme="minorHAnsi"/>
                <w:szCs w:val="20"/>
              </w:rPr>
              <w:t>“</w:t>
            </w:r>
            <w:r w:rsidRPr="00216A71">
              <w:rPr>
                <w:rFonts w:cstheme="minorHAnsi"/>
                <w:szCs w:val="20"/>
              </w:rPr>
              <w:t>A procurement option pre-test should enable the government to decide on whether it is prudent to investigate a Public-Private Partnerships option further</w:t>
            </w:r>
            <w:r w:rsidR="00830512">
              <w:rPr>
                <w:rFonts w:cstheme="minorHAnsi"/>
                <w:szCs w:val="20"/>
              </w:rPr>
              <w:t>.”</w:t>
            </w:r>
          </w:p>
          <w:p w:rsidR="000C629A"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What are the comparative costs of (a) finance (b) construction (c) operation, as calculated over the whole lifetime of the project, in each alternative mode of procurement?</w:t>
            </w:r>
            <w:r w:rsidR="00830512">
              <w:rPr>
                <w:rFonts w:cstheme="minorHAnsi"/>
                <w:szCs w:val="20"/>
              </w:rPr>
              <w:t>”</w:t>
            </w:r>
          </w:p>
          <w:p w:rsidR="00E441B8" w:rsidRPr="00216A71"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The methodology for preparing the public sector comparator should be published.</w:t>
            </w:r>
            <w:r w:rsidR="00830512">
              <w:rPr>
                <w:rFonts w:cstheme="minorHAnsi"/>
                <w:szCs w:val="20"/>
              </w:rPr>
              <w:t>”</w:t>
            </w:r>
          </w:p>
        </w:tc>
        <w:tc>
          <w:tcPr>
            <w:tcW w:w="4677" w:type="dxa"/>
          </w:tcPr>
          <w:p w:rsidR="000C629A" w:rsidRDefault="00AF1820" w:rsidP="00AF1820">
            <w:pPr>
              <w:rPr>
                <w:rFonts w:cstheme="minorHAnsi"/>
                <w:szCs w:val="20"/>
              </w:rPr>
            </w:pPr>
            <w:r w:rsidRPr="00216A71">
              <w:rPr>
                <w:rFonts w:cstheme="minorHAnsi"/>
                <w:szCs w:val="20"/>
              </w:rPr>
              <w:t xml:space="preserve">NY p.16: “A recent report prepared by the California Legislative Analyst’s Office (LAO) found that several of the VfM analyses it examined were </w:t>
            </w:r>
            <w:r w:rsidR="00830512">
              <w:rPr>
                <w:rFonts w:cstheme="minorHAnsi"/>
                <w:szCs w:val="20"/>
              </w:rPr>
              <w:t>‘</w:t>
            </w:r>
            <w:r w:rsidRPr="00216A71">
              <w:rPr>
                <w:rFonts w:cstheme="minorHAnsi"/>
                <w:szCs w:val="20"/>
              </w:rPr>
              <w:t>based on assumptions that favored P3 procurement.</w:t>
            </w:r>
            <w:r w:rsidR="00830512">
              <w:rPr>
                <w:rFonts w:cstheme="minorHAnsi"/>
                <w:szCs w:val="20"/>
              </w:rPr>
              <w:t>’</w:t>
            </w:r>
            <w:r w:rsidRPr="00216A71">
              <w:rPr>
                <w:rFonts w:cstheme="minorHAnsi"/>
                <w:szCs w:val="20"/>
              </w:rPr>
              <w:t xml:space="preserve"> These biases included use of</w:t>
            </w:r>
            <w:r w:rsidR="004045AD">
              <w:rPr>
                <w:rFonts w:cstheme="minorHAnsi"/>
                <w:szCs w:val="20"/>
              </w:rPr>
              <w:t xml:space="preserve"> </w:t>
            </w:r>
            <w:r w:rsidRPr="00216A71">
              <w:rPr>
                <w:rFonts w:cstheme="minorHAnsi"/>
                <w:szCs w:val="20"/>
              </w:rPr>
              <w:t xml:space="preserve">questionable discount and tax rates, dubious estimates of savings from potential cost overruns, and failure to account for savings that were likely to occur using traditional public procurement. These biases led to </w:t>
            </w:r>
            <w:r w:rsidR="00830512">
              <w:rPr>
                <w:rFonts w:cstheme="minorHAnsi"/>
                <w:szCs w:val="20"/>
              </w:rPr>
              <w:t>’</w:t>
            </w:r>
            <w:r w:rsidRPr="00216A71">
              <w:rPr>
                <w:rFonts w:cstheme="minorHAnsi"/>
                <w:szCs w:val="20"/>
              </w:rPr>
              <w:t>questionable</w:t>
            </w:r>
            <w:r w:rsidR="00830512">
              <w:rPr>
                <w:rFonts w:cstheme="minorHAnsi"/>
                <w:szCs w:val="20"/>
              </w:rPr>
              <w:t>’</w:t>
            </w:r>
            <w:r w:rsidRPr="00216A71">
              <w:rPr>
                <w:rFonts w:cstheme="minorHAnsi"/>
                <w:szCs w:val="20"/>
              </w:rPr>
              <w:t xml:space="preserve"> P3 procurements</w:t>
            </w:r>
            <w:r w:rsidR="00830512">
              <w:rPr>
                <w:rFonts w:cstheme="minorHAnsi"/>
                <w:szCs w:val="20"/>
              </w:rPr>
              <w:t>.</w:t>
            </w:r>
            <w:r w:rsidRPr="00216A71">
              <w:rPr>
                <w:rFonts w:cstheme="minorHAnsi"/>
                <w:szCs w:val="20"/>
              </w:rPr>
              <w:t>”</w:t>
            </w:r>
          </w:p>
          <w:p w:rsidR="0038480F" w:rsidRPr="00216A71" w:rsidRDefault="0038480F" w:rsidP="0038480F">
            <w:pPr>
              <w:rPr>
                <w:rFonts w:cstheme="minorHAnsi"/>
                <w:szCs w:val="20"/>
              </w:rPr>
            </w:pPr>
            <w:r w:rsidRPr="00216A71">
              <w:rPr>
                <w:rFonts w:cstheme="minorHAnsi"/>
                <w:szCs w:val="20"/>
              </w:rPr>
              <w:t>NY p.18: “All Value for Money calculations or similar estimates of P3 agreement values should be subject to an impartial review-and-approval process that is completed before the public entity invites P3 bids or indications of private sector interest.”</w:t>
            </w:r>
          </w:p>
          <w:p w:rsidR="0038480F" w:rsidRPr="00216A71" w:rsidRDefault="0038480F" w:rsidP="00AF1820">
            <w:pPr>
              <w:rPr>
                <w:rFonts w:cstheme="minorHAnsi"/>
                <w:szCs w:val="20"/>
              </w:rPr>
            </w:pPr>
          </w:p>
        </w:tc>
      </w:tr>
      <w:tr w:rsidR="00E441B8" w:rsidRPr="00216A71" w:rsidTr="00572BE7">
        <w:tc>
          <w:tcPr>
            <w:tcW w:w="4503" w:type="dxa"/>
          </w:tcPr>
          <w:p w:rsidR="00E441B8" w:rsidRPr="00216A71" w:rsidRDefault="0038480F" w:rsidP="00830512">
            <w:pPr>
              <w:rPr>
                <w:rFonts w:cstheme="minorHAnsi"/>
                <w:szCs w:val="20"/>
              </w:rPr>
            </w:pPr>
            <w:r w:rsidRPr="00216A71">
              <w:rPr>
                <w:rFonts w:cstheme="minorHAnsi"/>
                <w:szCs w:val="20"/>
              </w:rPr>
              <w:t>The comparison should look at all r</w:t>
            </w:r>
            <w:r w:rsidR="00E441B8" w:rsidRPr="00216A71">
              <w:rPr>
                <w:rFonts w:cstheme="minorHAnsi"/>
                <w:szCs w:val="20"/>
              </w:rPr>
              <w:t>isks and impacts (prices, costs, policy flexibility, workers, communities, transaction costs)</w:t>
            </w:r>
            <w:r w:rsidR="00B94CE0">
              <w:rPr>
                <w:rFonts w:cstheme="minorHAnsi"/>
                <w:szCs w:val="20"/>
              </w:rPr>
              <w:t>.</w:t>
            </w:r>
          </w:p>
        </w:tc>
        <w:tc>
          <w:tcPr>
            <w:tcW w:w="5103" w:type="dxa"/>
          </w:tcPr>
          <w:p w:rsidR="00E441B8" w:rsidRPr="00216A71"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How large are the whole of life benefits from combining the construction and the operating phases of a project in one contract?</w:t>
            </w:r>
            <w:r w:rsidR="00830512">
              <w:rPr>
                <w:rFonts w:cstheme="minorHAnsi"/>
                <w:szCs w:val="20"/>
              </w:rPr>
              <w:t>”</w:t>
            </w:r>
          </w:p>
          <w:p w:rsidR="00E441B8" w:rsidRPr="00216A71"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Is the potential PPP project of a size sufficiently large to justify the transaction costs?</w:t>
            </w:r>
            <w:r w:rsidR="00830512">
              <w:rPr>
                <w:rFonts w:cstheme="minorHAnsi"/>
                <w:szCs w:val="20"/>
              </w:rPr>
              <w:t>”</w:t>
            </w:r>
          </w:p>
          <w:p w:rsidR="00E441B8" w:rsidRPr="00216A71"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Can the risks, cost and quality trade-offs be quantified and managed by the public sector?</w:t>
            </w:r>
            <w:r w:rsidR="00830512">
              <w:rPr>
                <w:rFonts w:cstheme="minorHAnsi"/>
                <w:szCs w:val="20"/>
              </w:rPr>
              <w:t>”</w:t>
            </w:r>
          </w:p>
          <w:p w:rsidR="00E441B8" w:rsidRPr="00216A71"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Does the project involve any transfer of risks onto other stakeholders, including workers and local communities?</w:t>
            </w:r>
            <w:r w:rsidR="00830512">
              <w:rPr>
                <w:rFonts w:cstheme="minorHAnsi"/>
                <w:szCs w:val="20"/>
              </w:rPr>
              <w:t>”</w:t>
            </w:r>
          </w:p>
          <w:p w:rsidR="00E441B8" w:rsidRPr="00216A71"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What are the risks of project failure associated with similar PPPs? What are the costs to the public authority associated with such failures?</w:t>
            </w:r>
            <w:r w:rsidR="00830512">
              <w:rPr>
                <w:rFonts w:cstheme="minorHAnsi"/>
                <w:szCs w:val="20"/>
              </w:rPr>
              <w:t>”</w:t>
            </w:r>
          </w:p>
        </w:tc>
        <w:tc>
          <w:tcPr>
            <w:tcW w:w="4677" w:type="dxa"/>
          </w:tcPr>
          <w:p w:rsidR="00E441B8" w:rsidRPr="00216A71" w:rsidRDefault="00E441B8" w:rsidP="0076727C">
            <w:pPr>
              <w:rPr>
                <w:rFonts w:cstheme="minorHAnsi"/>
                <w:szCs w:val="20"/>
              </w:rPr>
            </w:pPr>
          </w:p>
        </w:tc>
      </w:tr>
      <w:tr w:rsidR="00E441B8" w:rsidRPr="00216A71" w:rsidTr="00572BE7">
        <w:tc>
          <w:tcPr>
            <w:tcW w:w="4503" w:type="dxa"/>
          </w:tcPr>
          <w:p w:rsidR="00E441B8" w:rsidRPr="00216A71" w:rsidRDefault="00E441B8" w:rsidP="00781FBC">
            <w:pPr>
              <w:pStyle w:val="ListParagraph"/>
              <w:numPr>
                <w:ilvl w:val="0"/>
                <w:numId w:val="29"/>
              </w:numPr>
              <w:rPr>
                <w:rFonts w:cstheme="minorHAnsi"/>
                <w:szCs w:val="20"/>
              </w:rPr>
            </w:pPr>
            <w:r w:rsidRPr="00216A71">
              <w:rPr>
                <w:rFonts w:cstheme="minorHAnsi"/>
                <w:szCs w:val="20"/>
              </w:rPr>
              <w:lastRenderedPageBreak/>
              <w:t>Tendering</w:t>
            </w:r>
          </w:p>
        </w:tc>
        <w:tc>
          <w:tcPr>
            <w:tcW w:w="5103" w:type="dxa"/>
          </w:tcPr>
          <w:p w:rsidR="00E441B8" w:rsidRPr="00216A71" w:rsidRDefault="00E441B8" w:rsidP="0076727C">
            <w:pPr>
              <w:rPr>
                <w:rFonts w:cstheme="minorHAnsi"/>
                <w:szCs w:val="20"/>
              </w:rPr>
            </w:pPr>
          </w:p>
        </w:tc>
        <w:tc>
          <w:tcPr>
            <w:tcW w:w="4677" w:type="dxa"/>
          </w:tcPr>
          <w:p w:rsidR="00E441B8" w:rsidRPr="00216A71" w:rsidRDefault="00E441B8" w:rsidP="0076727C">
            <w:pPr>
              <w:rPr>
                <w:rFonts w:cstheme="minorHAnsi"/>
                <w:szCs w:val="20"/>
              </w:rPr>
            </w:pPr>
          </w:p>
        </w:tc>
      </w:tr>
      <w:tr w:rsidR="00E441B8" w:rsidRPr="00216A71" w:rsidTr="00572BE7">
        <w:tc>
          <w:tcPr>
            <w:tcW w:w="4503" w:type="dxa"/>
          </w:tcPr>
          <w:p w:rsidR="00E441B8" w:rsidRPr="00216A71" w:rsidRDefault="0038480F" w:rsidP="00830512">
            <w:pPr>
              <w:rPr>
                <w:rFonts w:cstheme="minorHAnsi"/>
                <w:szCs w:val="20"/>
              </w:rPr>
            </w:pPr>
            <w:r w:rsidRPr="00216A71">
              <w:rPr>
                <w:rFonts w:cstheme="minorHAnsi"/>
                <w:szCs w:val="20"/>
              </w:rPr>
              <w:t>All tendering documents and evalu</w:t>
            </w:r>
            <w:r w:rsidR="00B9450C" w:rsidRPr="00216A71">
              <w:rPr>
                <w:rFonts w:cstheme="minorHAnsi"/>
                <w:szCs w:val="20"/>
              </w:rPr>
              <w:t>a</w:t>
            </w:r>
            <w:r w:rsidRPr="00216A71">
              <w:rPr>
                <w:rFonts w:cstheme="minorHAnsi"/>
                <w:szCs w:val="20"/>
              </w:rPr>
              <w:t>tion criteria should be public</w:t>
            </w:r>
            <w:r w:rsidR="00B94CE0">
              <w:rPr>
                <w:rFonts w:cstheme="minorHAnsi"/>
                <w:szCs w:val="20"/>
              </w:rPr>
              <w:t>.</w:t>
            </w:r>
          </w:p>
        </w:tc>
        <w:tc>
          <w:tcPr>
            <w:tcW w:w="5103" w:type="dxa"/>
          </w:tcPr>
          <w:p w:rsidR="00E441B8" w:rsidRPr="00216A71" w:rsidRDefault="00E441B8" w:rsidP="0076727C">
            <w:pPr>
              <w:rPr>
                <w:rFonts w:cstheme="minorHAnsi"/>
                <w:szCs w:val="20"/>
              </w:rPr>
            </w:pPr>
            <w:r w:rsidRPr="00216A71">
              <w:rPr>
                <w:rFonts w:cstheme="minorHAnsi"/>
                <w:szCs w:val="20"/>
              </w:rPr>
              <w:t xml:space="preserve">OECD C12: </w:t>
            </w:r>
            <w:r w:rsidR="00830512">
              <w:rPr>
                <w:rFonts w:cstheme="minorHAnsi"/>
                <w:szCs w:val="20"/>
              </w:rPr>
              <w:t>“</w:t>
            </w:r>
            <w:r w:rsidRPr="00216A71">
              <w:rPr>
                <w:rFonts w:cstheme="minorHAnsi"/>
                <w:szCs w:val="20"/>
              </w:rPr>
              <w:t>Government should guard against waste and corruption by ensuring the integrity of the procurement process. The necessary procurement skills and powers should be made available to the relevant authorities.</w:t>
            </w:r>
            <w:r w:rsidR="00830512">
              <w:rPr>
                <w:rFonts w:cstheme="minorHAnsi"/>
                <w:szCs w:val="20"/>
              </w:rPr>
              <w:t>”</w:t>
            </w:r>
            <w:r w:rsidRPr="00216A71">
              <w:rPr>
                <w:rFonts w:cstheme="minorHAnsi"/>
                <w:szCs w:val="20"/>
              </w:rPr>
              <w:t xml:space="preserve"> </w:t>
            </w:r>
          </w:p>
          <w:p w:rsidR="00E441B8" w:rsidRPr="00216A71" w:rsidRDefault="00E441B8" w:rsidP="0076727C">
            <w:pPr>
              <w:rPr>
                <w:rFonts w:cstheme="minorHAnsi"/>
                <w:szCs w:val="20"/>
              </w:rPr>
            </w:pPr>
            <w:r w:rsidRPr="00216A71">
              <w:rPr>
                <w:rFonts w:cstheme="minorHAnsi"/>
                <w:szCs w:val="20"/>
              </w:rPr>
              <w:t xml:space="preserve">OECD 11: </w:t>
            </w:r>
            <w:r w:rsidR="00830512">
              <w:rPr>
                <w:rFonts w:cstheme="minorHAnsi"/>
                <w:szCs w:val="20"/>
              </w:rPr>
              <w:t>“</w:t>
            </w:r>
            <w:r w:rsidRPr="00216A71">
              <w:rPr>
                <w:rFonts w:cstheme="minorHAnsi"/>
                <w:szCs w:val="20"/>
              </w:rPr>
              <w:t>The budget documentation should disclose all costs and contingent liabilities.</w:t>
            </w:r>
            <w:r w:rsidR="00830512">
              <w:rPr>
                <w:rFonts w:cstheme="minorHAnsi"/>
                <w:szCs w:val="20"/>
              </w:rPr>
              <w:t>”</w:t>
            </w:r>
          </w:p>
        </w:tc>
        <w:tc>
          <w:tcPr>
            <w:tcW w:w="4677" w:type="dxa"/>
          </w:tcPr>
          <w:p w:rsidR="00E441B8" w:rsidRPr="00216A71" w:rsidRDefault="00E441B8" w:rsidP="0076727C">
            <w:pPr>
              <w:rPr>
                <w:rFonts w:cstheme="minorHAnsi"/>
                <w:szCs w:val="20"/>
              </w:rPr>
            </w:pPr>
          </w:p>
        </w:tc>
      </w:tr>
      <w:tr w:rsidR="00E441B8" w:rsidRPr="00216A71" w:rsidTr="00572BE7">
        <w:tc>
          <w:tcPr>
            <w:tcW w:w="4503" w:type="dxa"/>
          </w:tcPr>
          <w:p w:rsidR="00E441B8" w:rsidRPr="00216A71" w:rsidRDefault="0038480F" w:rsidP="0038480F">
            <w:pPr>
              <w:rPr>
                <w:rFonts w:cstheme="minorHAnsi"/>
                <w:szCs w:val="20"/>
              </w:rPr>
            </w:pPr>
            <w:r w:rsidRPr="00216A71">
              <w:rPr>
                <w:rFonts w:cstheme="minorHAnsi"/>
                <w:szCs w:val="20"/>
              </w:rPr>
              <w:t>If there are not sufficient bids for a proper competition, the proposal should be abandoned</w:t>
            </w:r>
            <w:r w:rsidR="00B94CE0">
              <w:rPr>
                <w:rFonts w:cstheme="minorHAnsi"/>
                <w:szCs w:val="20"/>
              </w:rPr>
              <w:t>.</w:t>
            </w:r>
          </w:p>
        </w:tc>
        <w:tc>
          <w:tcPr>
            <w:tcW w:w="5103" w:type="dxa"/>
          </w:tcPr>
          <w:p w:rsidR="000C629A"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Is there sufficient market interest in the project to generate a robust competition that will ensure a value for money outcome?</w:t>
            </w:r>
            <w:r w:rsidR="00830512">
              <w:rPr>
                <w:rFonts w:cstheme="minorHAnsi"/>
                <w:szCs w:val="20"/>
              </w:rPr>
              <w:t>”</w:t>
            </w:r>
          </w:p>
          <w:p w:rsidR="00E441B8" w:rsidRPr="00216A71"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What is the potential level of competition in the market? If competition is lacking, is the market contestable?</w:t>
            </w:r>
            <w:r w:rsidR="00830512">
              <w:rPr>
                <w:rFonts w:cstheme="minorHAnsi"/>
                <w:szCs w:val="20"/>
              </w:rPr>
              <w:t>”</w:t>
            </w:r>
            <w:r w:rsidRPr="00216A71">
              <w:rPr>
                <w:rFonts w:cstheme="minorHAnsi"/>
                <w:szCs w:val="20"/>
              </w:rPr>
              <w:t xml:space="preserve"> </w:t>
            </w:r>
          </w:p>
          <w:p w:rsidR="00E441B8" w:rsidRPr="00216A71" w:rsidRDefault="00E441B8" w:rsidP="0076727C">
            <w:pPr>
              <w:rPr>
                <w:rFonts w:cstheme="minorHAnsi"/>
                <w:szCs w:val="20"/>
              </w:rPr>
            </w:pPr>
            <w:r w:rsidRPr="00216A71">
              <w:rPr>
                <w:rFonts w:cstheme="minorHAnsi"/>
                <w:szCs w:val="20"/>
              </w:rPr>
              <w:t xml:space="preserve">OECD 9: </w:t>
            </w:r>
            <w:r w:rsidR="00830512">
              <w:rPr>
                <w:rFonts w:cstheme="minorHAnsi"/>
                <w:szCs w:val="20"/>
              </w:rPr>
              <w:t>“</w:t>
            </w:r>
            <w:r w:rsidRPr="00216A71">
              <w:rPr>
                <w:rFonts w:cstheme="minorHAnsi"/>
                <w:szCs w:val="20"/>
              </w:rPr>
              <w:t>Government should ensure there is sufficient competition in the market by a competitive tender process</w:t>
            </w:r>
            <w:r w:rsidR="00830512">
              <w:rPr>
                <w:rFonts w:cstheme="minorHAnsi"/>
                <w:szCs w:val="20"/>
              </w:rPr>
              <w:t>.”</w:t>
            </w:r>
          </w:p>
        </w:tc>
        <w:tc>
          <w:tcPr>
            <w:tcW w:w="4677" w:type="dxa"/>
          </w:tcPr>
          <w:p w:rsidR="00E441B8" w:rsidRPr="00216A71" w:rsidRDefault="00E441B8" w:rsidP="0076727C">
            <w:pPr>
              <w:rPr>
                <w:rFonts w:cstheme="minorHAnsi"/>
                <w:szCs w:val="20"/>
              </w:rPr>
            </w:pPr>
          </w:p>
        </w:tc>
      </w:tr>
      <w:tr w:rsidR="00E441B8" w:rsidRPr="00216A71" w:rsidTr="00572BE7">
        <w:tc>
          <w:tcPr>
            <w:tcW w:w="4503" w:type="dxa"/>
          </w:tcPr>
          <w:p w:rsidR="00E441B8" w:rsidRPr="00216A71" w:rsidRDefault="00EE5294" w:rsidP="00830512">
            <w:pPr>
              <w:rPr>
                <w:rFonts w:cstheme="minorHAnsi"/>
                <w:szCs w:val="20"/>
              </w:rPr>
            </w:pPr>
            <w:r w:rsidRPr="00216A71">
              <w:rPr>
                <w:rFonts w:cstheme="minorHAnsi"/>
                <w:szCs w:val="20"/>
              </w:rPr>
              <w:t xml:space="preserve">The track record of all companies </w:t>
            </w:r>
            <w:r w:rsidR="00E441B8" w:rsidRPr="00216A71">
              <w:rPr>
                <w:rFonts w:cstheme="minorHAnsi"/>
                <w:szCs w:val="20"/>
              </w:rPr>
              <w:t xml:space="preserve">bidding </w:t>
            </w:r>
            <w:r w:rsidRPr="00216A71">
              <w:rPr>
                <w:rFonts w:cstheme="minorHAnsi"/>
                <w:szCs w:val="20"/>
              </w:rPr>
              <w:t>for PPP contracts must be investigated and publicised</w:t>
            </w:r>
            <w:r w:rsidR="00B94CE0">
              <w:rPr>
                <w:rFonts w:cstheme="minorHAnsi"/>
                <w:szCs w:val="20"/>
              </w:rPr>
              <w:t>.</w:t>
            </w:r>
            <w:r w:rsidRPr="00216A71">
              <w:rPr>
                <w:rFonts w:cstheme="minorHAnsi"/>
                <w:szCs w:val="20"/>
              </w:rPr>
              <w:t xml:space="preserve"> </w:t>
            </w:r>
            <w:r w:rsidRPr="00191F44">
              <w:rPr>
                <w:rFonts w:cstheme="minorHAnsi"/>
                <w:i/>
                <w:szCs w:val="20"/>
              </w:rPr>
              <w:t>(PSI can help with this)</w:t>
            </w:r>
          </w:p>
        </w:tc>
        <w:tc>
          <w:tcPr>
            <w:tcW w:w="5103" w:type="dxa"/>
          </w:tcPr>
          <w:p w:rsidR="00E441B8" w:rsidRPr="00216A71" w:rsidRDefault="00E441B8" w:rsidP="0076727C">
            <w:pPr>
              <w:rPr>
                <w:rFonts w:cstheme="minorHAnsi"/>
                <w:szCs w:val="20"/>
              </w:rPr>
            </w:pPr>
            <w:r w:rsidRPr="00216A71">
              <w:rPr>
                <w:rFonts w:cstheme="minorHAnsi"/>
                <w:szCs w:val="20"/>
              </w:rPr>
              <w:t xml:space="preserve">OECD B5: </w:t>
            </w:r>
            <w:r w:rsidR="00830512">
              <w:rPr>
                <w:rFonts w:cstheme="minorHAnsi"/>
                <w:szCs w:val="20"/>
              </w:rPr>
              <w:t>“</w:t>
            </w:r>
            <w:r w:rsidRPr="00216A71">
              <w:rPr>
                <w:rFonts w:cstheme="minorHAnsi"/>
                <w:szCs w:val="20"/>
              </w:rPr>
              <w:t>Do potential private-sector partners have a track record of good service delivery, responsible business conduct and PPP experience?</w:t>
            </w:r>
            <w:r w:rsidR="00830512">
              <w:rPr>
                <w:rFonts w:cstheme="minorHAnsi"/>
                <w:szCs w:val="20"/>
              </w:rPr>
              <w:t>”</w:t>
            </w:r>
          </w:p>
        </w:tc>
        <w:tc>
          <w:tcPr>
            <w:tcW w:w="4677" w:type="dxa"/>
          </w:tcPr>
          <w:p w:rsidR="00E441B8" w:rsidRPr="00216A71" w:rsidRDefault="00E441B8" w:rsidP="0076727C">
            <w:pPr>
              <w:rPr>
                <w:rFonts w:cstheme="minorHAnsi"/>
                <w:szCs w:val="20"/>
              </w:rPr>
            </w:pPr>
          </w:p>
        </w:tc>
      </w:tr>
      <w:tr w:rsidR="00E441B8" w:rsidRPr="00216A71" w:rsidTr="00572BE7">
        <w:tc>
          <w:tcPr>
            <w:tcW w:w="4503" w:type="dxa"/>
          </w:tcPr>
          <w:p w:rsidR="00E441B8" w:rsidRPr="00216A71" w:rsidRDefault="00EE5294" w:rsidP="00EE5294">
            <w:pPr>
              <w:rPr>
                <w:rFonts w:cstheme="minorHAnsi"/>
                <w:szCs w:val="20"/>
              </w:rPr>
            </w:pPr>
            <w:r w:rsidRPr="00216A71">
              <w:rPr>
                <w:rFonts w:cstheme="minorHAnsi"/>
                <w:szCs w:val="20"/>
              </w:rPr>
              <w:t xml:space="preserve">The </w:t>
            </w:r>
            <w:r w:rsidR="00E441B8" w:rsidRPr="00216A71">
              <w:rPr>
                <w:rFonts w:cstheme="minorHAnsi"/>
                <w:szCs w:val="20"/>
              </w:rPr>
              <w:t xml:space="preserve">contract </w:t>
            </w:r>
            <w:r w:rsidRPr="00216A71">
              <w:rPr>
                <w:rFonts w:cstheme="minorHAnsi"/>
                <w:szCs w:val="20"/>
              </w:rPr>
              <w:t xml:space="preserve">should include </w:t>
            </w:r>
            <w:r w:rsidR="00E441B8" w:rsidRPr="00216A71">
              <w:rPr>
                <w:rFonts w:cstheme="minorHAnsi"/>
                <w:szCs w:val="20"/>
              </w:rPr>
              <w:t>clauses</w:t>
            </w:r>
            <w:r w:rsidRPr="00216A71">
              <w:rPr>
                <w:rFonts w:cstheme="minorHAnsi"/>
                <w:szCs w:val="20"/>
              </w:rPr>
              <w:t xml:space="preserve"> on</w:t>
            </w:r>
            <w:r w:rsidR="004045AD">
              <w:rPr>
                <w:rFonts w:cstheme="minorHAnsi"/>
                <w:szCs w:val="20"/>
              </w:rPr>
              <w:t xml:space="preserve"> </w:t>
            </w:r>
            <w:r w:rsidR="00E441B8" w:rsidRPr="00216A71">
              <w:rPr>
                <w:rFonts w:cstheme="minorHAnsi"/>
                <w:szCs w:val="20"/>
              </w:rPr>
              <w:t>transparency</w:t>
            </w:r>
            <w:r w:rsidRPr="00216A71">
              <w:rPr>
                <w:rFonts w:cstheme="minorHAnsi"/>
                <w:szCs w:val="20"/>
              </w:rPr>
              <w:t>,</w:t>
            </w:r>
            <w:r w:rsidR="00E441B8" w:rsidRPr="00216A71">
              <w:rPr>
                <w:rFonts w:cstheme="minorHAnsi"/>
                <w:szCs w:val="20"/>
              </w:rPr>
              <w:t xml:space="preserve"> length</w:t>
            </w:r>
            <w:r w:rsidRPr="00216A71">
              <w:rPr>
                <w:rFonts w:cstheme="minorHAnsi"/>
                <w:szCs w:val="20"/>
              </w:rPr>
              <w:t>,</w:t>
            </w:r>
            <w:r w:rsidR="00E441B8" w:rsidRPr="00216A71">
              <w:rPr>
                <w:rFonts w:cstheme="minorHAnsi"/>
                <w:szCs w:val="20"/>
              </w:rPr>
              <w:t xml:space="preserve"> turnkey costs</w:t>
            </w:r>
            <w:r w:rsidRPr="00216A71">
              <w:rPr>
                <w:rFonts w:cstheme="minorHAnsi"/>
                <w:szCs w:val="20"/>
              </w:rPr>
              <w:t>,</w:t>
            </w:r>
            <w:r w:rsidR="00E441B8" w:rsidRPr="00216A71">
              <w:rPr>
                <w:rFonts w:cstheme="minorHAnsi"/>
                <w:szCs w:val="20"/>
              </w:rPr>
              <w:t xml:space="preserve"> break clauses</w:t>
            </w:r>
            <w:r w:rsidR="00B94CE0">
              <w:rPr>
                <w:rFonts w:cstheme="minorHAnsi"/>
                <w:szCs w:val="20"/>
              </w:rPr>
              <w:t>.</w:t>
            </w:r>
            <w:r w:rsidR="00E441B8" w:rsidRPr="00216A71">
              <w:rPr>
                <w:rFonts w:cstheme="minorHAnsi"/>
                <w:szCs w:val="20"/>
              </w:rPr>
              <w:t xml:space="preserve"> </w:t>
            </w:r>
          </w:p>
        </w:tc>
        <w:tc>
          <w:tcPr>
            <w:tcW w:w="5103" w:type="dxa"/>
          </w:tcPr>
          <w:p w:rsidR="00E441B8" w:rsidRPr="00216A71" w:rsidRDefault="00E441B8" w:rsidP="0076727C">
            <w:pPr>
              <w:rPr>
                <w:rFonts w:cstheme="minorHAnsi"/>
                <w:szCs w:val="20"/>
              </w:rPr>
            </w:pPr>
          </w:p>
        </w:tc>
        <w:tc>
          <w:tcPr>
            <w:tcW w:w="4677" w:type="dxa"/>
          </w:tcPr>
          <w:p w:rsidR="00E441B8" w:rsidRPr="00216A71" w:rsidRDefault="00E441B8" w:rsidP="0076727C">
            <w:pPr>
              <w:rPr>
                <w:rFonts w:cstheme="minorHAnsi"/>
                <w:szCs w:val="20"/>
              </w:rPr>
            </w:pPr>
          </w:p>
        </w:tc>
      </w:tr>
    </w:tbl>
    <w:p w:rsidR="006350DB" w:rsidRPr="00216A71" w:rsidRDefault="006350DB" w:rsidP="00EC4A5D">
      <w:pPr>
        <w:pStyle w:val="Heading2"/>
        <w:rPr>
          <w:rFonts w:asciiTheme="minorHAnsi" w:hAnsiTheme="minorHAnsi" w:cstheme="minorHAnsi"/>
        </w:rPr>
      </w:pPr>
      <w:bookmarkStart w:id="208" w:name="_Toc392857559"/>
      <w:r w:rsidRPr="00216A71">
        <w:rPr>
          <w:rFonts w:asciiTheme="minorHAnsi" w:hAnsiTheme="minorHAnsi" w:cstheme="minorHAnsi"/>
        </w:rPr>
        <w:t>Challenging the operation of PPPs</w:t>
      </w:r>
      <w:bookmarkEnd w:id="208"/>
    </w:p>
    <w:tbl>
      <w:tblPr>
        <w:tblStyle w:val="TableGrid"/>
        <w:tblW w:w="14283" w:type="dxa"/>
        <w:tblLayout w:type="fixed"/>
        <w:tblLook w:val="04A0" w:firstRow="1" w:lastRow="0" w:firstColumn="1" w:lastColumn="0" w:noHBand="0" w:noVBand="1"/>
      </w:tblPr>
      <w:tblGrid>
        <w:gridCol w:w="4077"/>
        <w:gridCol w:w="6663"/>
        <w:gridCol w:w="3543"/>
      </w:tblGrid>
      <w:tr w:rsidR="00900FD9" w:rsidRPr="00216A71" w:rsidTr="00572BE7">
        <w:trPr>
          <w:tblHeader/>
        </w:trPr>
        <w:tc>
          <w:tcPr>
            <w:tcW w:w="4077" w:type="dxa"/>
            <w:shd w:val="clear" w:color="auto" w:fill="CCC0D9" w:themeFill="accent4" w:themeFillTint="66"/>
          </w:tcPr>
          <w:p w:rsidR="00900FD9" w:rsidRPr="00216A71" w:rsidRDefault="00900FD9" w:rsidP="0076727C">
            <w:pPr>
              <w:pStyle w:val="Subtitle"/>
              <w:rPr>
                <w:rFonts w:asciiTheme="minorHAnsi" w:hAnsiTheme="minorHAnsi" w:cstheme="minorHAnsi"/>
                <w:sz w:val="20"/>
                <w:szCs w:val="20"/>
              </w:rPr>
            </w:pPr>
          </w:p>
        </w:tc>
        <w:tc>
          <w:tcPr>
            <w:tcW w:w="6663" w:type="dxa"/>
            <w:shd w:val="clear" w:color="auto" w:fill="CCC0D9" w:themeFill="accent4" w:themeFillTint="66"/>
          </w:tcPr>
          <w:p w:rsidR="00900FD9" w:rsidRPr="00216A71" w:rsidRDefault="00900FD9" w:rsidP="0076727C">
            <w:pPr>
              <w:rPr>
                <w:rFonts w:cstheme="minorHAnsi"/>
                <w:szCs w:val="20"/>
              </w:rPr>
            </w:pPr>
            <w:r w:rsidRPr="00216A71">
              <w:rPr>
                <w:rFonts w:cstheme="minorHAnsi"/>
                <w:szCs w:val="20"/>
              </w:rPr>
              <w:t xml:space="preserve">OECD Recommendations </w:t>
            </w:r>
          </w:p>
        </w:tc>
        <w:tc>
          <w:tcPr>
            <w:tcW w:w="3543" w:type="dxa"/>
            <w:shd w:val="clear" w:color="auto" w:fill="CCC0D9" w:themeFill="accent4" w:themeFillTint="66"/>
          </w:tcPr>
          <w:p w:rsidR="00900FD9" w:rsidRPr="00216A71" w:rsidRDefault="00900FD9" w:rsidP="0076727C">
            <w:pPr>
              <w:rPr>
                <w:rFonts w:cstheme="minorHAnsi"/>
                <w:szCs w:val="20"/>
              </w:rPr>
            </w:pPr>
            <w:r w:rsidRPr="00216A71">
              <w:rPr>
                <w:rFonts w:cstheme="minorHAnsi"/>
                <w:szCs w:val="20"/>
              </w:rPr>
              <w:t>Other references</w:t>
            </w:r>
          </w:p>
        </w:tc>
      </w:tr>
      <w:tr w:rsidR="00E441B8" w:rsidRPr="00216A71" w:rsidTr="00572BE7">
        <w:tc>
          <w:tcPr>
            <w:tcW w:w="4077" w:type="dxa"/>
          </w:tcPr>
          <w:p w:rsidR="00E441B8" w:rsidRPr="00216A71" w:rsidRDefault="00EE5294" w:rsidP="00EE5294">
            <w:pPr>
              <w:rPr>
                <w:rFonts w:cstheme="minorHAnsi"/>
                <w:szCs w:val="20"/>
              </w:rPr>
            </w:pPr>
            <w:r w:rsidRPr="00216A71">
              <w:rPr>
                <w:rFonts w:cstheme="minorHAnsi"/>
                <w:szCs w:val="20"/>
              </w:rPr>
              <w:t>M</w:t>
            </w:r>
            <w:r w:rsidR="00E441B8" w:rsidRPr="00216A71">
              <w:rPr>
                <w:rFonts w:cstheme="minorHAnsi"/>
                <w:szCs w:val="20"/>
              </w:rPr>
              <w:t>onitoring</w:t>
            </w:r>
            <w:r w:rsidRPr="00216A71">
              <w:rPr>
                <w:rFonts w:cstheme="minorHAnsi"/>
                <w:szCs w:val="20"/>
              </w:rPr>
              <w:t xml:space="preserve"> costs, delivery, operation, impact, accountability</w:t>
            </w:r>
            <w:r w:rsidR="00B94CE0">
              <w:rPr>
                <w:rFonts w:cstheme="minorHAnsi"/>
                <w:szCs w:val="20"/>
              </w:rPr>
              <w:t>.</w:t>
            </w:r>
          </w:p>
        </w:tc>
        <w:tc>
          <w:tcPr>
            <w:tcW w:w="6663" w:type="dxa"/>
          </w:tcPr>
          <w:p w:rsidR="00E441B8" w:rsidRPr="00216A71" w:rsidRDefault="00E441B8" w:rsidP="0076727C">
            <w:pPr>
              <w:rPr>
                <w:rFonts w:cstheme="minorHAnsi"/>
                <w:szCs w:val="20"/>
              </w:rPr>
            </w:pPr>
            <w:r w:rsidRPr="00216A71">
              <w:rPr>
                <w:rFonts w:cstheme="minorHAnsi"/>
                <w:szCs w:val="20"/>
              </w:rPr>
              <w:t xml:space="preserve">OECD 7: </w:t>
            </w:r>
            <w:r w:rsidR="00830512">
              <w:rPr>
                <w:rFonts w:cstheme="minorHAnsi"/>
                <w:szCs w:val="20"/>
              </w:rPr>
              <w:t>“</w:t>
            </w:r>
            <w:r w:rsidRPr="00216A71">
              <w:rPr>
                <w:rFonts w:cstheme="minorHAnsi"/>
                <w:szCs w:val="20"/>
              </w:rPr>
              <w:t>Securing value for money requires vigilance and effort of the same intensity as that necessary during the pre-operational phase.</w:t>
            </w:r>
            <w:r w:rsidR="00830512">
              <w:rPr>
                <w:rFonts w:cstheme="minorHAnsi"/>
                <w:szCs w:val="20"/>
              </w:rPr>
              <w:t>”</w:t>
            </w:r>
            <w:r w:rsidRPr="00216A71">
              <w:rPr>
                <w:rFonts w:cstheme="minorHAnsi"/>
                <w:szCs w:val="20"/>
              </w:rPr>
              <w:t xml:space="preserve"> </w:t>
            </w:r>
          </w:p>
          <w:p w:rsidR="00E441B8" w:rsidRPr="00216A71" w:rsidRDefault="00E441B8" w:rsidP="0076727C">
            <w:pPr>
              <w:rPr>
                <w:rFonts w:cstheme="minorHAnsi"/>
                <w:szCs w:val="20"/>
              </w:rPr>
            </w:pPr>
            <w:r w:rsidRPr="00216A71">
              <w:rPr>
                <w:rFonts w:cstheme="minorHAnsi"/>
                <w:szCs w:val="20"/>
              </w:rPr>
              <w:t xml:space="preserve">OECD B7: </w:t>
            </w:r>
            <w:r w:rsidR="00830512">
              <w:rPr>
                <w:rFonts w:cstheme="minorHAnsi"/>
                <w:szCs w:val="20"/>
              </w:rPr>
              <w:t>“</w:t>
            </w:r>
            <w:r w:rsidRPr="00216A71">
              <w:rPr>
                <w:rFonts w:cstheme="minorHAnsi"/>
                <w:szCs w:val="20"/>
              </w:rPr>
              <w:t xml:space="preserve">Monitoring the performance of the PPP in the construction phase and the operational phase requires skill and dedication, especially as targets may shift and unforeseen, but legitimate, obstacles may arise. It is also the responsibility of the procuring agency to ensure that the private partner acts according to the norms of responsible business conduct as mentioned in the OECD Guidelines for </w:t>
            </w:r>
            <w:r w:rsidRPr="00216A71">
              <w:rPr>
                <w:rFonts w:cstheme="minorHAnsi"/>
                <w:szCs w:val="20"/>
              </w:rPr>
              <w:lastRenderedPageBreak/>
              <w:t>Multinational Enterprises.</w:t>
            </w:r>
            <w:r w:rsidR="00830512">
              <w:rPr>
                <w:rFonts w:cstheme="minorHAnsi"/>
                <w:szCs w:val="20"/>
              </w:rPr>
              <w:t>”</w:t>
            </w:r>
          </w:p>
        </w:tc>
        <w:tc>
          <w:tcPr>
            <w:tcW w:w="3543" w:type="dxa"/>
          </w:tcPr>
          <w:p w:rsidR="00E441B8" w:rsidRPr="00216A71" w:rsidRDefault="00A06B8C" w:rsidP="00830512">
            <w:pPr>
              <w:rPr>
                <w:rFonts w:cstheme="minorHAnsi"/>
                <w:szCs w:val="20"/>
              </w:rPr>
            </w:pPr>
            <w:r w:rsidRPr="00216A71">
              <w:rPr>
                <w:rFonts w:cstheme="minorHAnsi"/>
                <w:szCs w:val="20"/>
              </w:rPr>
              <w:lastRenderedPageBreak/>
              <w:t xml:space="preserve">NY p.19: </w:t>
            </w:r>
            <w:r w:rsidR="00830512">
              <w:rPr>
                <w:rFonts w:cstheme="minorHAnsi"/>
                <w:szCs w:val="20"/>
              </w:rPr>
              <w:t>“</w:t>
            </w:r>
            <w:r w:rsidRPr="00216A71">
              <w:rPr>
                <w:rFonts w:cstheme="minorHAnsi"/>
                <w:szCs w:val="20"/>
              </w:rPr>
              <w:t>Detailed monitoring</w:t>
            </w:r>
            <w:r w:rsidR="00830512">
              <w:rPr>
                <w:rFonts w:cstheme="minorHAnsi"/>
                <w:szCs w:val="20"/>
              </w:rPr>
              <w:t xml:space="preserve"> </w:t>
            </w:r>
            <w:r w:rsidRPr="00216A71">
              <w:rPr>
                <w:rFonts w:cstheme="minorHAnsi"/>
                <w:szCs w:val="20"/>
              </w:rPr>
              <w:t xml:space="preserve">and reporting requirements should be established, so public officials and taxpayers can assess these often-complicated </w:t>
            </w:r>
            <w:r w:rsidR="00830512">
              <w:rPr>
                <w:rFonts w:cstheme="minorHAnsi"/>
                <w:szCs w:val="20"/>
              </w:rPr>
              <w:t>f</w:t>
            </w:r>
            <w:r w:rsidRPr="00216A71">
              <w:rPr>
                <w:rFonts w:cstheme="minorHAnsi"/>
                <w:szCs w:val="20"/>
              </w:rPr>
              <w:t>inancial</w:t>
            </w:r>
            <w:r w:rsidR="00830512">
              <w:rPr>
                <w:rFonts w:cstheme="minorHAnsi"/>
                <w:szCs w:val="20"/>
              </w:rPr>
              <w:t xml:space="preserve"> </w:t>
            </w:r>
            <w:r w:rsidRPr="00216A71">
              <w:rPr>
                <w:rFonts w:cstheme="minorHAnsi"/>
                <w:szCs w:val="20"/>
              </w:rPr>
              <w:t xml:space="preserve">transactions. Public involvement should be encouraged through hearings and other outreach efforts, which should </w:t>
            </w:r>
            <w:r w:rsidRPr="00216A71">
              <w:rPr>
                <w:rFonts w:cstheme="minorHAnsi"/>
                <w:szCs w:val="20"/>
              </w:rPr>
              <w:lastRenderedPageBreak/>
              <w:t>be conducted</w:t>
            </w:r>
            <w:r w:rsidR="00830512">
              <w:rPr>
                <w:rFonts w:cstheme="minorHAnsi"/>
                <w:szCs w:val="20"/>
              </w:rPr>
              <w:t xml:space="preserve"> </w:t>
            </w:r>
            <w:r w:rsidRPr="00216A71">
              <w:rPr>
                <w:rFonts w:cstheme="minorHAnsi"/>
                <w:szCs w:val="20"/>
              </w:rPr>
              <w:t>in coordination with affected localities.</w:t>
            </w:r>
            <w:r w:rsidR="00830512">
              <w:rPr>
                <w:rFonts w:cstheme="minorHAnsi"/>
                <w:szCs w:val="20"/>
              </w:rPr>
              <w:t>”</w:t>
            </w:r>
          </w:p>
        </w:tc>
      </w:tr>
      <w:tr w:rsidR="00E441B8" w:rsidRPr="00216A71" w:rsidTr="00572BE7">
        <w:tc>
          <w:tcPr>
            <w:tcW w:w="4077" w:type="dxa"/>
          </w:tcPr>
          <w:p w:rsidR="00E441B8" w:rsidRPr="00216A71" w:rsidRDefault="00EE5294" w:rsidP="00EE5294">
            <w:pPr>
              <w:rPr>
                <w:rFonts w:cstheme="minorHAnsi"/>
                <w:szCs w:val="20"/>
              </w:rPr>
            </w:pPr>
            <w:r w:rsidRPr="00216A71">
              <w:rPr>
                <w:rFonts w:cstheme="minorHAnsi"/>
                <w:szCs w:val="20"/>
              </w:rPr>
              <w:lastRenderedPageBreak/>
              <w:t>A</w:t>
            </w:r>
            <w:r w:rsidR="00E441B8" w:rsidRPr="00216A71">
              <w:rPr>
                <w:rFonts w:cstheme="minorHAnsi"/>
                <w:szCs w:val="20"/>
              </w:rPr>
              <w:t>udit</w:t>
            </w:r>
          </w:p>
        </w:tc>
        <w:tc>
          <w:tcPr>
            <w:tcW w:w="6663" w:type="dxa"/>
          </w:tcPr>
          <w:p w:rsidR="00E441B8" w:rsidRPr="00216A71" w:rsidRDefault="00E441B8" w:rsidP="0076727C">
            <w:pPr>
              <w:rPr>
                <w:rFonts w:cstheme="minorHAnsi"/>
                <w:szCs w:val="20"/>
              </w:rPr>
            </w:pPr>
            <w:r w:rsidRPr="00216A71">
              <w:rPr>
                <w:rFonts w:cstheme="minorHAnsi"/>
                <w:szCs w:val="20"/>
              </w:rPr>
              <w:t xml:space="preserve">OECD A2: </w:t>
            </w:r>
            <w:r w:rsidR="00275BFE">
              <w:rPr>
                <w:rFonts w:cstheme="minorHAnsi"/>
                <w:szCs w:val="20"/>
              </w:rPr>
              <w:t>“</w:t>
            </w:r>
            <w:r w:rsidRPr="00216A71">
              <w:rPr>
                <w:rFonts w:cstheme="minorHAnsi"/>
                <w:szCs w:val="20"/>
              </w:rPr>
              <w:t xml:space="preserve">The SAI </w:t>
            </w:r>
            <w:r w:rsidR="00275BFE">
              <w:rPr>
                <w:rFonts w:cstheme="minorHAnsi"/>
                <w:szCs w:val="20"/>
              </w:rPr>
              <w:t xml:space="preserve">(Supreme Audit Institution) </w:t>
            </w:r>
            <w:r w:rsidRPr="00216A71">
              <w:rPr>
                <w:rFonts w:cstheme="minorHAnsi"/>
                <w:szCs w:val="20"/>
              </w:rPr>
              <w:t>should audit and assess the PPP ex post with regards to performance, finance and compliance. It should maintain sufficient capacity to give a clear verdict on whether or not the project ultimately represented value for money, suggest possible improvements to the regulatory PPP framework, the procurement processes and make available overall lessons regarding the use of PPPs and investments. All relevant infor</w:t>
            </w:r>
            <w:r w:rsidRPr="00216A71">
              <w:rPr>
                <w:rFonts w:cstheme="minorHAnsi"/>
                <w:szCs w:val="20"/>
              </w:rPr>
              <w:softHyphen/>
              <w:t>mation should be made available to the SAI.</w:t>
            </w:r>
            <w:r w:rsidR="00275BFE">
              <w:rPr>
                <w:rFonts w:cstheme="minorHAnsi"/>
                <w:szCs w:val="20"/>
              </w:rPr>
              <w:t>”</w:t>
            </w:r>
          </w:p>
        </w:tc>
        <w:tc>
          <w:tcPr>
            <w:tcW w:w="3543" w:type="dxa"/>
          </w:tcPr>
          <w:p w:rsidR="00E441B8" w:rsidRPr="00216A71" w:rsidRDefault="00E441B8" w:rsidP="0076727C">
            <w:pPr>
              <w:rPr>
                <w:rFonts w:cstheme="minorHAnsi"/>
                <w:szCs w:val="20"/>
              </w:rPr>
            </w:pPr>
          </w:p>
        </w:tc>
      </w:tr>
      <w:tr w:rsidR="00E441B8" w:rsidRPr="00216A71" w:rsidTr="00572BE7">
        <w:tc>
          <w:tcPr>
            <w:tcW w:w="4077" w:type="dxa"/>
          </w:tcPr>
          <w:p w:rsidR="00E441B8" w:rsidRPr="00216A71" w:rsidRDefault="00EE5294" w:rsidP="00EE5294">
            <w:pPr>
              <w:rPr>
                <w:rFonts w:cstheme="minorHAnsi"/>
                <w:szCs w:val="20"/>
              </w:rPr>
            </w:pPr>
            <w:r w:rsidRPr="00216A71">
              <w:rPr>
                <w:rFonts w:cstheme="minorHAnsi"/>
                <w:szCs w:val="20"/>
              </w:rPr>
              <w:t>R</w:t>
            </w:r>
            <w:r w:rsidR="00E441B8" w:rsidRPr="00216A71">
              <w:rPr>
                <w:rFonts w:cstheme="minorHAnsi"/>
                <w:szCs w:val="20"/>
              </w:rPr>
              <w:t>enegotiation refinancing</w:t>
            </w:r>
          </w:p>
        </w:tc>
        <w:tc>
          <w:tcPr>
            <w:tcW w:w="6663" w:type="dxa"/>
          </w:tcPr>
          <w:p w:rsidR="00E441B8" w:rsidRPr="00216A71" w:rsidRDefault="00E441B8" w:rsidP="00275BFE">
            <w:pPr>
              <w:rPr>
                <w:rFonts w:cstheme="minorHAnsi"/>
                <w:szCs w:val="20"/>
              </w:rPr>
            </w:pPr>
            <w:r w:rsidRPr="00216A71">
              <w:rPr>
                <w:rFonts w:cstheme="minorHAnsi"/>
                <w:szCs w:val="20"/>
              </w:rPr>
              <w:t xml:space="preserve">OECD B8: </w:t>
            </w:r>
            <w:r w:rsidR="00275BFE">
              <w:rPr>
                <w:rFonts w:cstheme="minorHAnsi"/>
                <w:szCs w:val="20"/>
              </w:rPr>
              <w:t>“</w:t>
            </w:r>
            <w:r w:rsidRPr="00216A71">
              <w:rPr>
                <w:rFonts w:cstheme="minorHAnsi"/>
                <w:szCs w:val="20"/>
              </w:rPr>
              <w:t>Value for money should be maintained when renegotiating</w:t>
            </w:r>
            <w:r w:rsidR="00275BFE">
              <w:rPr>
                <w:rFonts w:cstheme="minorHAnsi"/>
                <w:szCs w:val="20"/>
              </w:rPr>
              <w:t>…</w:t>
            </w:r>
            <w:r w:rsidRPr="00216A71">
              <w:rPr>
                <w:rFonts w:cstheme="minorHAnsi"/>
                <w:szCs w:val="20"/>
              </w:rPr>
              <w:t xml:space="preserve"> the risks to re-negotiations of PPP contracts due to changes in international conditions not foreseen at the moment of the contract award could significantly increase fiscal costs of PPPs for the government.</w:t>
            </w:r>
            <w:r w:rsidR="00275BFE">
              <w:rPr>
                <w:rFonts w:cstheme="minorHAnsi"/>
                <w:szCs w:val="20"/>
              </w:rPr>
              <w:t>”</w:t>
            </w:r>
          </w:p>
        </w:tc>
        <w:tc>
          <w:tcPr>
            <w:tcW w:w="3543" w:type="dxa"/>
          </w:tcPr>
          <w:p w:rsidR="00E441B8" w:rsidRPr="00216A71" w:rsidRDefault="00E441B8" w:rsidP="0076727C">
            <w:pPr>
              <w:rPr>
                <w:rFonts w:cstheme="minorHAnsi"/>
                <w:szCs w:val="20"/>
              </w:rPr>
            </w:pPr>
          </w:p>
        </w:tc>
      </w:tr>
    </w:tbl>
    <w:p w:rsidR="006721D7" w:rsidRPr="00216A71" w:rsidRDefault="00B9450C" w:rsidP="00885545">
      <w:pPr>
        <w:rPr>
          <w:rFonts w:cstheme="minorHAnsi"/>
          <w:szCs w:val="20"/>
        </w:rPr>
      </w:pPr>
      <w:r w:rsidRPr="00216A71">
        <w:rPr>
          <w:rFonts w:cstheme="minorHAnsi"/>
          <w:szCs w:val="20"/>
        </w:rPr>
        <w:t>References:</w:t>
      </w:r>
    </w:p>
    <w:p w:rsidR="006721D7" w:rsidRPr="00216A71" w:rsidRDefault="006721D7" w:rsidP="006721D7">
      <w:pPr>
        <w:rPr>
          <w:rFonts w:cstheme="minorHAnsi"/>
          <w:szCs w:val="20"/>
        </w:rPr>
      </w:pPr>
      <w:r w:rsidRPr="00216A71">
        <w:rPr>
          <w:rFonts w:cstheme="minorHAnsi"/>
          <w:szCs w:val="20"/>
        </w:rPr>
        <w:t>OECD 2012</w:t>
      </w:r>
      <w:r w:rsidR="004045AD">
        <w:rPr>
          <w:rFonts w:cstheme="minorHAnsi"/>
          <w:szCs w:val="20"/>
        </w:rPr>
        <w:t xml:space="preserve"> </w:t>
      </w:r>
      <w:r w:rsidRPr="00216A71">
        <w:rPr>
          <w:rFonts w:cstheme="minorHAnsi"/>
          <w:szCs w:val="20"/>
        </w:rPr>
        <w:t xml:space="preserve">Recommendation of the Council on Principles for Public Governance of Public-Private Partnerships May 2012 </w:t>
      </w:r>
      <w:hyperlink r:id="rId220" w:history="1">
        <w:r w:rsidRPr="00216A71">
          <w:rPr>
            <w:rStyle w:val="Hyperlink"/>
            <w:rFonts w:cstheme="minorHAnsi"/>
            <w:szCs w:val="20"/>
          </w:rPr>
          <w:t>http://www.oecd.org/gov/budgeting/PPP-Recommendation.pdf</w:t>
        </w:r>
      </w:hyperlink>
      <w:r w:rsidR="004045AD">
        <w:rPr>
          <w:rFonts w:cstheme="minorHAnsi"/>
          <w:szCs w:val="20"/>
        </w:rPr>
        <w:t xml:space="preserve"> </w:t>
      </w:r>
      <w:r w:rsidRPr="00216A71">
        <w:rPr>
          <w:rFonts w:cstheme="minorHAnsi"/>
          <w:szCs w:val="20"/>
        </w:rPr>
        <w:t>(see Annexe)</w:t>
      </w:r>
    </w:p>
    <w:p w:rsidR="00B9450C" w:rsidRPr="00216A71" w:rsidRDefault="006721D7" w:rsidP="006721D7">
      <w:pPr>
        <w:tabs>
          <w:tab w:val="left" w:pos="2317"/>
        </w:tabs>
        <w:rPr>
          <w:rFonts w:cstheme="minorHAnsi"/>
          <w:szCs w:val="20"/>
        </w:rPr>
        <w:sectPr w:rsidR="00B9450C" w:rsidRPr="00216A71" w:rsidSect="00B9450C">
          <w:endnotePr>
            <w:numFmt w:val="decimal"/>
          </w:endnotePr>
          <w:pgSz w:w="16838" w:h="11906" w:orient="landscape" w:code="9"/>
          <w:pgMar w:top="1134" w:right="1134" w:bottom="1134" w:left="1134" w:header="567" w:footer="567" w:gutter="0"/>
          <w:cols w:space="708"/>
          <w:titlePg/>
          <w:docGrid w:linePitch="360"/>
        </w:sectPr>
      </w:pPr>
      <w:r w:rsidRPr="00216A71">
        <w:rPr>
          <w:rFonts w:cstheme="minorHAnsi"/>
          <w:szCs w:val="20"/>
        </w:rPr>
        <w:t>New York State June 2013</w:t>
      </w:r>
      <w:r w:rsidR="00B9450C" w:rsidRPr="00216A71">
        <w:rPr>
          <w:rFonts w:cstheme="minorHAnsi"/>
          <w:szCs w:val="20"/>
        </w:rPr>
        <w:t xml:space="preserve"> </w:t>
      </w:r>
      <w:r w:rsidRPr="00216A71">
        <w:rPr>
          <w:rFonts w:cstheme="minorHAnsi"/>
          <w:szCs w:val="20"/>
        </w:rPr>
        <w:t xml:space="preserve">Private Financing of Public Infrastructure: Risks and Options for New York </w:t>
      </w:r>
      <w:r w:rsidR="00FF6D63" w:rsidRPr="00216A71">
        <w:rPr>
          <w:rFonts w:cstheme="minorHAnsi"/>
          <w:szCs w:val="20"/>
        </w:rPr>
        <w:t>State. By</w:t>
      </w:r>
      <w:r w:rsidRPr="00216A71">
        <w:rPr>
          <w:rFonts w:cstheme="minorHAnsi"/>
          <w:szCs w:val="20"/>
        </w:rPr>
        <w:t xml:space="preserve"> Thomas P. DiNapoli New York State Comptroller</w:t>
      </w:r>
      <w:r w:rsidR="004045AD">
        <w:rPr>
          <w:rFonts w:cstheme="minorHAnsi"/>
          <w:szCs w:val="20"/>
        </w:rPr>
        <w:t xml:space="preserve"> </w:t>
      </w:r>
      <w:hyperlink r:id="rId221" w:history="1">
        <w:r w:rsidRPr="00216A71">
          <w:rPr>
            <w:rStyle w:val="Hyperlink"/>
            <w:rFonts w:cstheme="minorHAnsi"/>
            <w:szCs w:val="20"/>
          </w:rPr>
          <w:t>http://www.osc.state.ny.us/reports/infrastructure/p3_report_2013.pdf</w:t>
        </w:r>
      </w:hyperlink>
      <w:r w:rsidRPr="00216A71">
        <w:rPr>
          <w:rFonts w:cstheme="minorHAnsi"/>
          <w:szCs w:val="20"/>
        </w:rPr>
        <w:t xml:space="preserve"> </w:t>
      </w:r>
    </w:p>
    <w:p w:rsidR="00E75CD9" w:rsidRPr="00216A71" w:rsidRDefault="00E9780C" w:rsidP="00E75CD9">
      <w:pPr>
        <w:pStyle w:val="Heading2"/>
        <w:rPr>
          <w:rFonts w:cstheme="minorHAnsi"/>
        </w:rPr>
      </w:pPr>
      <w:bookmarkStart w:id="209" w:name="_Toc392857560"/>
      <w:r w:rsidRPr="00216A71">
        <w:rPr>
          <w:rFonts w:asciiTheme="minorHAnsi" w:hAnsiTheme="minorHAnsi" w:cstheme="minorHAnsi"/>
        </w:rPr>
        <w:lastRenderedPageBreak/>
        <w:t>Ask a child</w:t>
      </w:r>
      <w:bookmarkEnd w:id="209"/>
    </w:p>
    <w:p w:rsidR="001C6B5A" w:rsidRPr="00216A71" w:rsidRDefault="001C6B5A" w:rsidP="009B3B0D">
      <w:pPr>
        <w:jc w:val="center"/>
        <w:rPr>
          <w:rFonts w:cstheme="minorHAnsi"/>
        </w:rPr>
      </w:pPr>
      <w:r w:rsidRPr="00216A71">
        <w:rPr>
          <w:rFonts w:cstheme="minorHAnsi"/>
        </w:rPr>
        <w:t>.</w:t>
      </w:r>
    </w:p>
    <w:p w:rsidR="001C6B5A" w:rsidRPr="00216A71" w:rsidRDefault="001C6B5A" w:rsidP="009B3B0D">
      <w:pPr>
        <w:jc w:val="center"/>
        <w:rPr>
          <w:rFonts w:cstheme="minorHAnsi"/>
        </w:rPr>
      </w:pPr>
    </w:p>
    <w:tbl>
      <w:tblPr>
        <w:tblStyle w:val="TableGrid"/>
        <w:tblW w:w="10173" w:type="dxa"/>
        <w:tblLayout w:type="fixed"/>
        <w:tblLook w:val="04A0" w:firstRow="1" w:lastRow="0" w:firstColumn="1" w:lastColumn="0" w:noHBand="0" w:noVBand="1"/>
      </w:tblPr>
      <w:tblGrid>
        <w:gridCol w:w="1951"/>
        <w:gridCol w:w="2977"/>
        <w:gridCol w:w="2977"/>
        <w:gridCol w:w="2268"/>
      </w:tblGrid>
      <w:tr w:rsidR="00E75CD9" w:rsidRPr="00216A71" w:rsidTr="00E75CD9">
        <w:tc>
          <w:tcPr>
            <w:tcW w:w="1951" w:type="dxa"/>
          </w:tcPr>
          <w:p w:rsidR="00E75CD9" w:rsidRPr="00216A71" w:rsidRDefault="00E75CD9" w:rsidP="001C6B5A">
            <w:pPr>
              <w:rPr>
                <w:rFonts w:cstheme="minorHAnsi"/>
                <w:b/>
              </w:rPr>
            </w:pPr>
            <w:r w:rsidRPr="00216A71">
              <w:rPr>
                <w:rFonts w:cstheme="minorHAnsi"/>
                <w:b/>
                <w:noProof/>
                <w:lang w:eastAsia="en-GB"/>
              </w:rPr>
              <w:drawing>
                <wp:inline distT="0" distB="0" distL="0" distR="0" wp14:anchorId="125CEB56" wp14:editId="11BCF99E">
                  <wp:extent cx="1187450" cy="1187450"/>
                  <wp:effectExtent l="0" t="0" r="0" b="0"/>
                  <wp:docPr id="6" name="Picture 6" descr="C:\Users\dave\AppData\Local\Microsoft\Windows\Temporary Internet Files\Content.IE5\SBMGENZX\MC9004403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e\AppData\Local\Microsoft\Windows\Temporary Internet Files\Content.IE5\SBMGENZX\MC900440376[1].p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c>
        <w:tc>
          <w:tcPr>
            <w:tcW w:w="2977" w:type="dxa"/>
            <w:vAlign w:val="bottom"/>
          </w:tcPr>
          <w:p w:rsidR="00E75CD9" w:rsidRDefault="00E75CD9" w:rsidP="009B3B0D">
            <w:pPr>
              <w:jc w:val="center"/>
              <w:rPr>
                <w:rFonts w:cstheme="minorHAnsi"/>
                <w:b/>
                <w:sz w:val="28"/>
                <w:szCs w:val="28"/>
              </w:rPr>
            </w:pPr>
            <w:r w:rsidRPr="00216A71">
              <w:rPr>
                <w:rFonts w:cstheme="minorHAnsi"/>
                <w:b/>
                <w:sz w:val="28"/>
                <w:szCs w:val="28"/>
              </w:rPr>
              <w:t>A.</w:t>
            </w:r>
          </w:p>
          <w:p w:rsidR="00E75CD9" w:rsidRPr="00216A71" w:rsidRDefault="00E75CD9" w:rsidP="009B3B0D">
            <w:pPr>
              <w:jc w:val="center"/>
              <w:rPr>
                <w:rFonts w:cstheme="minorHAnsi"/>
                <w:b/>
                <w:sz w:val="28"/>
                <w:szCs w:val="28"/>
              </w:rPr>
            </w:pPr>
            <w:r w:rsidRPr="00216A71">
              <w:rPr>
                <w:rFonts w:cstheme="minorHAnsi"/>
                <w:b/>
                <w:sz w:val="28"/>
                <w:szCs w:val="28"/>
              </w:rPr>
              <w:t>MS. PUBLIC SECTOR</w:t>
            </w:r>
          </w:p>
        </w:tc>
        <w:tc>
          <w:tcPr>
            <w:tcW w:w="2977" w:type="dxa"/>
            <w:vAlign w:val="bottom"/>
          </w:tcPr>
          <w:p w:rsidR="00E75CD9" w:rsidRDefault="00E75CD9" w:rsidP="009B3B0D">
            <w:pPr>
              <w:jc w:val="center"/>
              <w:rPr>
                <w:rFonts w:cstheme="minorHAnsi"/>
                <w:b/>
                <w:sz w:val="28"/>
                <w:szCs w:val="28"/>
              </w:rPr>
            </w:pPr>
            <w:r w:rsidRPr="00216A71">
              <w:rPr>
                <w:rFonts w:cstheme="minorHAnsi"/>
                <w:b/>
                <w:sz w:val="28"/>
                <w:szCs w:val="28"/>
              </w:rPr>
              <w:t>B.</w:t>
            </w:r>
          </w:p>
          <w:p w:rsidR="00E75CD9" w:rsidRPr="00216A71" w:rsidRDefault="00E75CD9" w:rsidP="009B3B0D">
            <w:pPr>
              <w:jc w:val="center"/>
              <w:rPr>
                <w:rFonts w:cstheme="minorHAnsi"/>
                <w:b/>
                <w:sz w:val="28"/>
                <w:szCs w:val="28"/>
              </w:rPr>
            </w:pPr>
            <w:r w:rsidRPr="00216A71">
              <w:rPr>
                <w:rFonts w:cstheme="minorHAnsi"/>
                <w:b/>
                <w:sz w:val="28"/>
                <w:szCs w:val="28"/>
              </w:rPr>
              <w:t>MR. PPP</w:t>
            </w:r>
          </w:p>
        </w:tc>
        <w:tc>
          <w:tcPr>
            <w:tcW w:w="2268" w:type="dxa"/>
            <w:vAlign w:val="center"/>
          </w:tcPr>
          <w:p w:rsidR="00E75CD9" w:rsidRPr="00216A71" w:rsidRDefault="00E75CD9" w:rsidP="001C6B5A">
            <w:pPr>
              <w:rPr>
                <w:rFonts w:cstheme="minorHAnsi"/>
                <w:b/>
                <w:i/>
              </w:rPr>
            </w:pPr>
          </w:p>
        </w:tc>
      </w:tr>
      <w:tr w:rsidR="00E75CD9" w:rsidRPr="00216A71" w:rsidTr="00E75CD9">
        <w:tc>
          <w:tcPr>
            <w:tcW w:w="1951" w:type="dxa"/>
          </w:tcPr>
          <w:p w:rsidR="00E75CD9" w:rsidRDefault="00E75CD9" w:rsidP="009B3B0D">
            <w:pPr>
              <w:jc w:val="center"/>
              <w:rPr>
                <w:rFonts w:cstheme="minorHAnsi"/>
                <w:b/>
              </w:rPr>
            </w:pPr>
            <w:r w:rsidRPr="00216A71">
              <w:rPr>
                <w:rFonts w:cstheme="minorHAnsi"/>
                <w:b/>
              </w:rPr>
              <w:t>WE NEED A NEW SCHOOL!</w:t>
            </w:r>
          </w:p>
          <w:p w:rsidR="00E75CD9" w:rsidRPr="00216A71" w:rsidRDefault="00E75CD9" w:rsidP="009B3B0D">
            <w:pPr>
              <w:jc w:val="center"/>
              <w:rPr>
                <w:rFonts w:cstheme="minorHAnsi"/>
                <w:b/>
              </w:rPr>
            </w:pPr>
            <w:r w:rsidRPr="00216A71">
              <w:rPr>
                <w:rFonts w:cstheme="minorHAnsi"/>
                <w:b/>
              </w:rPr>
              <w:t>LET’S DECIDE THE BEST WAY TO GET IT!</w:t>
            </w:r>
          </w:p>
        </w:tc>
        <w:tc>
          <w:tcPr>
            <w:tcW w:w="2977" w:type="dxa"/>
          </w:tcPr>
          <w:p w:rsidR="00E75CD9" w:rsidRPr="00216A71" w:rsidRDefault="00E75CD9" w:rsidP="009B3B0D">
            <w:pPr>
              <w:jc w:val="center"/>
              <w:rPr>
                <w:rFonts w:cstheme="minorHAnsi"/>
              </w:rPr>
            </w:pPr>
            <w:r w:rsidRPr="00216A71">
              <w:rPr>
                <w:rFonts w:cstheme="minorHAnsi"/>
                <w:noProof/>
                <w:lang w:eastAsia="en-GB"/>
              </w:rPr>
              <w:drawing>
                <wp:inline distT="0" distB="0" distL="0" distR="0" wp14:anchorId="31733D94" wp14:editId="2D0E1A81">
                  <wp:extent cx="1134533" cy="1134533"/>
                  <wp:effectExtent l="0" t="0" r="0" b="0"/>
                  <wp:docPr id="23" name="Picture 23" descr="C:\Users\dave\AppData\Local\Microsoft\Windows\Temporary Internet Files\Content.IE5\3EWLDVMD\MC9004414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e\AppData\Local\Microsoft\Windows\Temporary Internet Files\Content.IE5\3EWLDVMD\MC900441472[1].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34533" cy="1134533"/>
                          </a:xfrm>
                          <a:prstGeom prst="rect">
                            <a:avLst/>
                          </a:prstGeom>
                          <a:noFill/>
                          <a:ln>
                            <a:noFill/>
                          </a:ln>
                        </pic:spPr>
                      </pic:pic>
                    </a:graphicData>
                  </a:graphic>
                </wp:inline>
              </w:drawing>
            </w:r>
          </w:p>
        </w:tc>
        <w:tc>
          <w:tcPr>
            <w:tcW w:w="2977" w:type="dxa"/>
          </w:tcPr>
          <w:p w:rsidR="00E75CD9" w:rsidRPr="00216A71" w:rsidRDefault="00E75CD9" w:rsidP="009B3B0D">
            <w:pPr>
              <w:jc w:val="center"/>
              <w:rPr>
                <w:rFonts w:cstheme="minorHAnsi"/>
              </w:rPr>
            </w:pPr>
            <w:r w:rsidRPr="00216A71">
              <w:rPr>
                <w:rFonts w:cstheme="minorHAnsi"/>
                <w:noProof/>
                <w:lang w:eastAsia="en-GB"/>
              </w:rPr>
              <w:drawing>
                <wp:inline distT="0" distB="0" distL="0" distR="0" wp14:anchorId="111B8222" wp14:editId="675C1FD3">
                  <wp:extent cx="1011961" cy="931334"/>
                  <wp:effectExtent l="0" t="0" r="0" b="2540"/>
                  <wp:docPr id="24" name="Picture 24" descr="C:\Users\dave\AppData\Local\Microsoft\Windows\Temporary Internet Files\Content.IE5\SBMGENZX\MC9000485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ve\AppData\Local\Microsoft\Windows\Temporary Internet Files\Content.IE5\SBMGENZX\MC900048586[1].wm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12640" cy="931959"/>
                          </a:xfrm>
                          <a:prstGeom prst="rect">
                            <a:avLst/>
                          </a:prstGeom>
                          <a:noFill/>
                          <a:ln>
                            <a:noFill/>
                          </a:ln>
                        </pic:spPr>
                      </pic:pic>
                    </a:graphicData>
                  </a:graphic>
                </wp:inline>
              </w:drawing>
            </w:r>
          </w:p>
        </w:tc>
        <w:tc>
          <w:tcPr>
            <w:tcW w:w="2268" w:type="dxa"/>
            <w:tcBorders>
              <w:bottom w:val="single" w:sz="4" w:space="0" w:color="auto"/>
            </w:tcBorders>
          </w:tcPr>
          <w:p w:rsidR="00E75CD9" w:rsidRPr="00216A71" w:rsidRDefault="00E75CD9" w:rsidP="001C6B5A">
            <w:pPr>
              <w:rPr>
                <w:rFonts w:cstheme="minorHAnsi"/>
                <w:b/>
                <w:i/>
              </w:rPr>
            </w:pPr>
          </w:p>
        </w:tc>
      </w:tr>
      <w:tr w:rsidR="00E75CD9" w:rsidRPr="00216A71" w:rsidTr="00E75CD9">
        <w:tc>
          <w:tcPr>
            <w:tcW w:w="1951" w:type="dxa"/>
          </w:tcPr>
          <w:p w:rsidR="00E75CD9" w:rsidRPr="00216A71" w:rsidRDefault="00E75CD9" w:rsidP="001C6B5A">
            <w:pPr>
              <w:numPr>
                <w:ilvl w:val="0"/>
                <w:numId w:val="31"/>
              </w:numPr>
              <w:rPr>
                <w:rFonts w:cstheme="minorHAnsi"/>
                <w:b/>
              </w:rPr>
            </w:pPr>
            <w:r w:rsidRPr="00216A71">
              <w:rPr>
                <w:rFonts w:cstheme="minorHAnsi"/>
                <w:b/>
              </w:rPr>
              <w:t>How much will it cost to build us a new school?</w:t>
            </w:r>
          </w:p>
        </w:tc>
        <w:tc>
          <w:tcPr>
            <w:tcW w:w="2977" w:type="dxa"/>
          </w:tcPr>
          <w:p w:rsidR="00E75CD9" w:rsidRPr="00216A71" w:rsidRDefault="00E75CD9" w:rsidP="001C6B5A">
            <w:pPr>
              <w:rPr>
                <w:rFonts w:cstheme="minorHAnsi"/>
              </w:rPr>
            </w:pPr>
            <w:r w:rsidRPr="00216A71">
              <w:rPr>
                <w:rFonts w:cstheme="minorHAnsi"/>
              </w:rPr>
              <w:t>I’ll ask all the builders and choose the one who does it best for the lowest price</w:t>
            </w:r>
          </w:p>
          <w:p w:rsidR="00E75CD9" w:rsidRPr="00216A71" w:rsidRDefault="00E75CD9" w:rsidP="001C6B5A">
            <w:pPr>
              <w:rPr>
                <w:rFonts w:cstheme="minorHAnsi"/>
                <w:b/>
              </w:rPr>
            </w:pPr>
            <w:r w:rsidRPr="00216A71">
              <w:rPr>
                <w:rFonts w:cstheme="minorHAnsi"/>
                <w:b/>
              </w:rPr>
              <w:t>It will cost you</w:t>
            </w:r>
          </w:p>
          <w:p w:rsidR="00E75CD9" w:rsidRPr="00216A71" w:rsidRDefault="00E75CD9" w:rsidP="001C6B5A">
            <w:pPr>
              <w:rPr>
                <w:rFonts w:cstheme="minorHAnsi"/>
                <w:b/>
              </w:rPr>
            </w:pPr>
            <w:r w:rsidRPr="00216A71">
              <w:rPr>
                <w:rFonts w:cstheme="minorHAnsi"/>
                <w:b/>
              </w:rPr>
              <w:t>£1,000, 000</w:t>
            </w:r>
          </w:p>
          <w:p w:rsidR="00E75CD9" w:rsidRPr="00216A71" w:rsidRDefault="00E75CD9" w:rsidP="001C6B5A">
            <w:pPr>
              <w:rPr>
                <w:rFonts w:cstheme="minorHAnsi"/>
              </w:rPr>
            </w:pPr>
          </w:p>
        </w:tc>
        <w:tc>
          <w:tcPr>
            <w:tcW w:w="2977" w:type="dxa"/>
          </w:tcPr>
          <w:p w:rsidR="00E75CD9" w:rsidRPr="00216A71" w:rsidRDefault="00E75CD9" w:rsidP="001C6B5A">
            <w:pPr>
              <w:rPr>
                <w:rFonts w:cstheme="minorHAnsi"/>
                <w:b/>
              </w:rPr>
            </w:pPr>
            <w:r w:rsidRPr="00216A71">
              <w:rPr>
                <w:rFonts w:cstheme="minorHAnsi"/>
              </w:rPr>
              <w:t>Some of my friends are builders and I’ll choose one of them. I’ll pay him extra because I need to start getting my money on time.</w:t>
            </w:r>
          </w:p>
          <w:p w:rsidR="00E75CD9" w:rsidRPr="00216A71" w:rsidRDefault="00E75CD9" w:rsidP="001C6B5A">
            <w:pPr>
              <w:rPr>
                <w:rFonts w:cstheme="minorHAnsi"/>
                <w:b/>
              </w:rPr>
            </w:pPr>
            <w:r w:rsidRPr="00216A71">
              <w:rPr>
                <w:rFonts w:cstheme="minorHAnsi"/>
                <w:b/>
              </w:rPr>
              <w:t>It will cost you</w:t>
            </w:r>
          </w:p>
          <w:p w:rsidR="00E75CD9" w:rsidRPr="00216A71" w:rsidRDefault="00E75CD9" w:rsidP="001C6B5A">
            <w:pPr>
              <w:rPr>
                <w:rFonts w:cstheme="minorHAnsi"/>
              </w:rPr>
            </w:pPr>
            <w:r w:rsidRPr="00216A71">
              <w:rPr>
                <w:rFonts w:cstheme="minorHAnsi"/>
                <w:b/>
              </w:rPr>
              <w:t>£1,250, 000</w:t>
            </w:r>
          </w:p>
        </w:tc>
        <w:tc>
          <w:tcPr>
            <w:tcW w:w="2268" w:type="dxa"/>
            <w:shd w:val="clear" w:color="auto" w:fill="FBD4B4" w:themeFill="accent6" w:themeFillTint="66"/>
          </w:tcPr>
          <w:p w:rsidR="00E75CD9" w:rsidRPr="00216A71" w:rsidRDefault="00E75CD9" w:rsidP="001C6B5A">
            <w:pPr>
              <w:rPr>
                <w:rFonts w:cstheme="minorHAnsi"/>
                <w:b/>
                <w:i/>
              </w:rPr>
            </w:pPr>
            <w:r w:rsidRPr="00216A71">
              <w:rPr>
                <w:rFonts w:cstheme="minorHAnsi"/>
                <w:b/>
                <w:i/>
              </w:rPr>
              <w:t>Who’s the cheapest?</w:t>
            </w:r>
          </w:p>
        </w:tc>
      </w:tr>
      <w:tr w:rsidR="00E75CD9" w:rsidRPr="00216A71" w:rsidTr="00E75CD9">
        <w:tc>
          <w:tcPr>
            <w:tcW w:w="1951" w:type="dxa"/>
          </w:tcPr>
          <w:p w:rsidR="00E75CD9" w:rsidRPr="00216A71" w:rsidRDefault="00E75CD9" w:rsidP="001C6B5A">
            <w:pPr>
              <w:numPr>
                <w:ilvl w:val="0"/>
                <w:numId w:val="31"/>
              </w:numPr>
              <w:rPr>
                <w:rFonts w:cstheme="minorHAnsi"/>
                <w:b/>
              </w:rPr>
            </w:pPr>
            <w:r w:rsidRPr="00216A71">
              <w:rPr>
                <w:rFonts w:cstheme="minorHAnsi"/>
                <w:b/>
              </w:rPr>
              <w:t>How much interest will we have to pay</w:t>
            </w:r>
            <w:r>
              <w:rPr>
                <w:rFonts w:cstheme="minorHAnsi"/>
                <w:b/>
              </w:rPr>
              <w:t xml:space="preserve"> </w:t>
            </w:r>
            <w:r w:rsidRPr="00216A71">
              <w:rPr>
                <w:rFonts w:cstheme="minorHAnsi"/>
                <w:b/>
              </w:rPr>
              <w:t>each year?</w:t>
            </w:r>
          </w:p>
        </w:tc>
        <w:tc>
          <w:tcPr>
            <w:tcW w:w="2977" w:type="dxa"/>
          </w:tcPr>
          <w:p w:rsidR="00E75CD9" w:rsidRPr="00216A71" w:rsidRDefault="00E75CD9" w:rsidP="001C6B5A">
            <w:pPr>
              <w:rPr>
                <w:rFonts w:cstheme="minorHAnsi"/>
              </w:rPr>
            </w:pPr>
            <w:r w:rsidRPr="00216A71">
              <w:rPr>
                <w:rFonts w:cstheme="minorHAnsi"/>
              </w:rPr>
              <w:t>I’ll</w:t>
            </w:r>
            <w:r>
              <w:rPr>
                <w:rFonts w:cstheme="minorHAnsi"/>
              </w:rPr>
              <w:t xml:space="preserve"> </w:t>
            </w:r>
            <w:r w:rsidRPr="00216A71">
              <w:rPr>
                <w:rFonts w:cstheme="minorHAnsi"/>
              </w:rPr>
              <w:t>borrow the money cheaply, because people trust me.</w:t>
            </w:r>
          </w:p>
          <w:p w:rsidR="00E75CD9" w:rsidRPr="00216A71" w:rsidRDefault="00E75CD9" w:rsidP="001C6B5A">
            <w:pPr>
              <w:rPr>
                <w:rFonts w:cstheme="minorHAnsi"/>
                <w:b/>
              </w:rPr>
            </w:pPr>
            <w:r w:rsidRPr="00216A71">
              <w:rPr>
                <w:rFonts w:cstheme="minorHAnsi"/>
                <w:b/>
              </w:rPr>
              <w:t>It will cost you</w:t>
            </w:r>
          </w:p>
          <w:p w:rsidR="00E75CD9" w:rsidRPr="00216A71" w:rsidRDefault="00E75CD9" w:rsidP="001C6B5A">
            <w:pPr>
              <w:rPr>
                <w:rFonts w:cstheme="minorHAnsi"/>
              </w:rPr>
            </w:pPr>
            <w:r w:rsidRPr="00216A71">
              <w:rPr>
                <w:rFonts w:cstheme="minorHAnsi"/>
                <w:b/>
              </w:rPr>
              <w:t>£40,000 per year</w:t>
            </w:r>
          </w:p>
        </w:tc>
        <w:tc>
          <w:tcPr>
            <w:tcW w:w="2977" w:type="dxa"/>
          </w:tcPr>
          <w:p w:rsidR="00E75CD9" w:rsidRPr="00216A71" w:rsidRDefault="00E75CD9" w:rsidP="001C6B5A">
            <w:pPr>
              <w:rPr>
                <w:rFonts w:cstheme="minorHAnsi"/>
              </w:rPr>
            </w:pPr>
            <w:r w:rsidRPr="00216A71">
              <w:rPr>
                <w:rFonts w:cstheme="minorHAnsi"/>
              </w:rPr>
              <w:t>I’ll talk with my friends who have clever ways of getting money.</w:t>
            </w:r>
          </w:p>
          <w:p w:rsidR="00E75CD9" w:rsidRPr="00216A71" w:rsidRDefault="00E75CD9" w:rsidP="001C6B5A">
            <w:pPr>
              <w:rPr>
                <w:rFonts w:cstheme="minorHAnsi"/>
                <w:b/>
              </w:rPr>
            </w:pPr>
            <w:r w:rsidRPr="00216A71">
              <w:rPr>
                <w:rFonts w:cstheme="minorHAnsi"/>
                <w:b/>
              </w:rPr>
              <w:t>It will cost you</w:t>
            </w:r>
          </w:p>
          <w:p w:rsidR="00E75CD9" w:rsidRPr="00216A71" w:rsidRDefault="00E75CD9" w:rsidP="001C6B5A">
            <w:pPr>
              <w:rPr>
                <w:rFonts w:cstheme="minorHAnsi"/>
              </w:rPr>
            </w:pPr>
            <w:r w:rsidRPr="00216A71">
              <w:rPr>
                <w:rFonts w:cstheme="minorHAnsi"/>
                <w:b/>
              </w:rPr>
              <w:t>£80,000 per year</w:t>
            </w:r>
          </w:p>
        </w:tc>
        <w:tc>
          <w:tcPr>
            <w:tcW w:w="2268" w:type="dxa"/>
            <w:shd w:val="clear" w:color="auto" w:fill="FBD4B4" w:themeFill="accent6" w:themeFillTint="66"/>
          </w:tcPr>
          <w:p w:rsidR="00E75CD9" w:rsidRPr="00216A71" w:rsidRDefault="00E75CD9" w:rsidP="001C6B5A">
            <w:pPr>
              <w:rPr>
                <w:rFonts w:cstheme="minorHAnsi"/>
                <w:b/>
                <w:i/>
              </w:rPr>
            </w:pPr>
            <w:r w:rsidRPr="00216A71">
              <w:rPr>
                <w:rFonts w:cstheme="minorHAnsi"/>
                <w:b/>
                <w:i/>
              </w:rPr>
              <w:t>Who’s the cheapest?</w:t>
            </w:r>
          </w:p>
        </w:tc>
      </w:tr>
      <w:tr w:rsidR="00E75CD9" w:rsidRPr="00216A71" w:rsidTr="00E75CD9">
        <w:tc>
          <w:tcPr>
            <w:tcW w:w="1951" w:type="dxa"/>
          </w:tcPr>
          <w:p w:rsidR="00E75CD9" w:rsidRPr="00216A71" w:rsidRDefault="00E75CD9" w:rsidP="001C6B5A">
            <w:pPr>
              <w:numPr>
                <w:ilvl w:val="0"/>
                <w:numId w:val="31"/>
              </w:numPr>
              <w:rPr>
                <w:rFonts w:cstheme="minorHAnsi"/>
                <w:b/>
              </w:rPr>
            </w:pPr>
            <w:r w:rsidRPr="00216A71">
              <w:rPr>
                <w:rFonts w:cstheme="minorHAnsi"/>
                <w:b/>
              </w:rPr>
              <w:t>Who will look after the school?</w:t>
            </w:r>
          </w:p>
        </w:tc>
        <w:tc>
          <w:tcPr>
            <w:tcW w:w="2977" w:type="dxa"/>
          </w:tcPr>
          <w:p w:rsidR="00E75CD9" w:rsidRDefault="00E75CD9" w:rsidP="001C6B5A">
            <w:pPr>
              <w:rPr>
                <w:rFonts w:cstheme="minorHAnsi"/>
              </w:rPr>
            </w:pPr>
            <w:r w:rsidRPr="00216A71">
              <w:rPr>
                <w:rFonts w:cstheme="minorHAnsi"/>
              </w:rPr>
              <w:t>I’ll employ your mums and dads to look after the building.</w:t>
            </w:r>
          </w:p>
          <w:p w:rsidR="00E75CD9" w:rsidRPr="00216A71" w:rsidRDefault="00E75CD9" w:rsidP="001C6B5A">
            <w:pPr>
              <w:rPr>
                <w:rFonts w:cstheme="minorHAnsi"/>
                <w:b/>
              </w:rPr>
            </w:pPr>
            <w:r w:rsidRPr="00216A71">
              <w:rPr>
                <w:rFonts w:cstheme="minorHAnsi"/>
                <w:b/>
              </w:rPr>
              <w:t>It will cost you</w:t>
            </w:r>
          </w:p>
          <w:p w:rsidR="00E75CD9" w:rsidRPr="00216A71" w:rsidRDefault="00E75CD9" w:rsidP="001C6B5A">
            <w:pPr>
              <w:rPr>
                <w:rFonts w:cstheme="minorHAnsi"/>
              </w:rPr>
            </w:pPr>
            <w:r w:rsidRPr="00216A71">
              <w:rPr>
                <w:rFonts w:cstheme="minorHAnsi"/>
                <w:b/>
              </w:rPr>
              <w:t>£50,000 per year, and I will pay all of it to your mums and dads</w:t>
            </w:r>
          </w:p>
        </w:tc>
        <w:tc>
          <w:tcPr>
            <w:tcW w:w="2977" w:type="dxa"/>
          </w:tcPr>
          <w:p w:rsidR="00E75CD9" w:rsidRPr="00216A71" w:rsidRDefault="00E75CD9" w:rsidP="001C6B5A">
            <w:pPr>
              <w:rPr>
                <w:rFonts w:cstheme="minorHAnsi"/>
              </w:rPr>
            </w:pPr>
            <w:r w:rsidRPr="00216A71">
              <w:rPr>
                <w:rFonts w:cstheme="minorHAnsi"/>
              </w:rPr>
              <w:t>I’ll employ some</w:t>
            </w:r>
            <w:r>
              <w:rPr>
                <w:rFonts w:cstheme="minorHAnsi"/>
              </w:rPr>
              <w:t xml:space="preserve"> </w:t>
            </w:r>
            <w:r w:rsidRPr="00216A71">
              <w:rPr>
                <w:rFonts w:cstheme="minorHAnsi"/>
              </w:rPr>
              <w:t>mums and dads, but I will sack them every year, pay them less, and not give them money for holidays</w:t>
            </w:r>
          </w:p>
          <w:p w:rsidR="00E75CD9" w:rsidRPr="00216A71" w:rsidRDefault="00E75CD9" w:rsidP="001C6B5A">
            <w:pPr>
              <w:rPr>
                <w:rFonts w:cstheme="minorHAnsi"/>
                <w:b/>
              </w:rPr>
            </w:pPr>
            <w:r w:rsidRPr="00216A71">
              <w:rPr>
                <w:rFonts w:cstheme="minorHAnsi"/>
                <w:b/>
              </w:rPr>
              <w:t>It will cost you</w:t>
            </w:r>
          </w:p>
          <w:p w:rsidR="00E75CD9" w:rsidRPr="00216A71" w:rsidRDefault="00E75CD9" w:rsidP="001C6B5A">
            <w:pPr>
              <w:rPr>
                <w:rFonts w:cstheme="minorHAnsi"/>
              </w:rPr>
            </w:pPr>
            <w:r w:rsidRPr="00216A71">
              <w:rPr>
                <w:rFonts w:cstheme="minorHAnsi"/>
                <w:b/>
              </w:rPr>
              <w:t>£50,000 per year (but I will only pay £40,000 to your mums and dads, and keep £10,000 for myself)</w:t>
            </w:r>
          </w:p>
        </w:tc>
        <w:tc>
          <w:tcPr>
            <w:tcW w:w="2268" w:type="dxa"/>
            <w:shd w:val="clear" w:color="auto" w:fill="FBD4B4" w:themeFill="accent6" w:themeFillTint="66"/>
          </w:tcPr>
          <w:p w:rsidR="00E75CD9" w:rsidRPr="00216A71" w:rsidRDefault="00E75CD9" w:rsidP="001C6B5A">
            <w:pPr>
              <w:rPr>
                <w:rFonts w:cstheme="minorHAnsi"/>
                <w:b/>
                <w:i/>
              </w:rPr>
            </w:pPr>
            <w:r w:rsidRPr="00216A71">
              <w:rPr>
                <w:rFonts w:cstheme="minorHAnsi"/>
                <w:b/>
                <w:i/>
              </w:rPr>
              <w:t>Who’s the best for you and your mums and dads?</w:t>
            </w:r>
          </w:p>
        </w:tc>
      </w:tr>
      <w:tr w:rsidR="00E75CD9" w:rsidRPr="00216A71" w:rsidTr="00E75CD9">
        <w:tc>
          <w:tcPr>
            <w:tcW w:w="1951" w:type="dxa"/>
          </w:tcPr>
          <w:p w:rsidR="00E75CD9" w:rsidRPr="00216A71" w:rsidRDefault="00E75CD9" w:rsidP="001C6B5A">
            <w:pPr>
              <w:numPr>
                <w:ilvl w:val="0"/>
                <w:numId w:val="31"/>
              </w:numPr>
              <w:rPr>
                <w:rFonts w:cstheme="minorHAnsi"/>
                <w:b/>
              </w:rPr>
            </w:pPr>
            <w:r w:rsidRPr="00216A71">
              <w:rPr>
                <w:rFonts w:cstheme="minorHAnsi"/>
                <w:b/>
              </w:rPr>
              <w:t>What if something goes wrong?</w:t>
            </w:r>
          </w:p>
        </w:tc>
        <w:tc>
          <w:tcPr>
            <w:tcW w:w="2977" w:type="dxa"/>
          </w:tcPr>
          <w:p w:rsidR="00E75CD9" w:rsidRPr="00216A71" w:rsidRDefault="00E75CD9" w:rsidP="001C6B5A">
            <w:pPr>
              <w:rPr>
                <w:rFonts w:cstheme="minorHAnsi"/>
              </w:rPr>
            </w:pPr>
            <w:r w:rsidRPr="00216A71">
              <w:rPr>
                <w:rFonts w:cstheme="minorHAnsi"/>
              </w:rPr>
              <w:t>I’ll always be here to listen and try and do better, that’s my job. And I work for the people you vote for, so you can ask them to do better too.</w:t>
            </w:r>
          </w:p>
        </w:tc>
        <w:tc>
          <w:tcPr>
            <w:tcW w:w="2977" w:type="dxa"/>
          </w:tcPr>
          <w:p w:rsidR="00E75CD9" w:rsidRPr="00216A71" w:rsidRDefault="00E75CD9" w:rsidP="001C6B5A">
            <w:pPr>
              <w:rPr>
                <w:rFonts w:cstheme="minorHAnsi"/>
              </w:rPr>
            </w:pPr>
            <w:r w:rsidRPr="00216A71">
              <w:rPr>
                <w:rFonts w:cstheme="minorHAnsi"/>
              </w:rPr>
              <w:t>I don’t care about your problems: you’ll have to talk to my lawyers. Anyway, I probably won’t be here for long, I might</w:t>
            </w:r>
            <w:r>
              <w:rPr>
                <w:rFonts w:cstheme="minorHAnsi"/>
              </w:rPr>
              <w:t xml:space="preserve"> </w:t>
            </w:r>
            <w:r w:rsidRPr="00216A71">
              <w:rPr>
                <w:rFonts w:cstheme="minorHAnsi"/>
              </w:rPr>
              <w:t>sell your school to someone else</w:t>
            </w:r>
          </w:p>
        </w:tc>
        <w:tc>
          <w:tcPr>
            <w:tcW w:w="2268" w:type="dxa"/>
            <w:shd w:val="clear" w:color="auto" w:fill="FBD4B4" w:themeFill="accent6" w:themeFillTint="66"/>
          </w:tcPr>
          <w:p w:rsidR="00E75CD9" w:rsidRPr="00216A71" w:rsidRDefault="00E75CD9" w:rsidP="001C6B5A">
            <w:pPr>
              <w:rPr>
                <w:rFonts w:cstheme="minorHAnsi"/>
                <w:b/>
                <w:i/>
              </w:rPr>
            </w:pPr>
            <w:r w:rsidRPr="00216A71">
              <w:rPr>
                <w:rFonts w:cstheme="minorHAnsi"/>
                <w:b/>
                <w:i/>
              </w:rPr>
              <w:t>Who’s the best for you?</w:t>
            </w:r>
          </w:p>
        </w:tc>
      </w:tr>
    </w:tbl>
    <w:p w:rsidR="001C6B5A" w:rsidRPr="00216A71" w:rsidRDefault="001C6B5A" w:rsidP="001C6B5A">
      <w:pPr>
        <w:rPr>
          <w:rFonts w:cstheme="minorHAnsi"/>
        </w:rPr>
      </w:pPr>
    </w:p>
    <w:p w:rsidR="000C629A" w:rsidRDefault="00B9450C" w:rsidP="00EC4A5D">
      <w:pPr>
        <w:rPr>
          <w:rFonts w:cstheme="minorHAnsi"/>
        </w:rPr>
      </w:pPr>
      <w:r w:rsidRPr="00216A71">
        <w:rPr>
          <w:rFonts w:cstheme="minorHAnsi"/>
        </w:rPr>
        <w:br w:type="page"/>
      </w:r>
    </w:p>
    <w:p w:rsidR="009B6981" w:rsidRPr="00216A71" w:rsidRDefault="006350DB" w:rsidP="00CE1FBB">
      <w:pPr>
        <w:pStyle w:val="Heading1"/>
      </w:pPr>
      <w:bookmarkStart w:id="210" w:name="_Toc392857561"/>
      <w:r w:rsidRPr="00216A71">
        <w:lastRenderedPageBreak/>
        <w:t xml:space="preserve">Annexe: </w:t>
      </w:r>
      <w:r w:rsidR="00CD69BF" w:rsidRPr="00216A71">
        <w:t>P</w:t>
      </w:r>
      <w:r w:rsidR="009B6981" w:rsidRPr="00216A71">
        <w:t>ension funds and PPPs</w:t>
      </w:r>
      <w:bookmarkEnd w:id="210"/>
    </w:p>
    <w:p w:rsidR="00EF78BD" w:rsidRPr="00EF78BD" w:rsidRDefault="00EF78BD" w:rsidP="00EF78BD">
      <w:pPr>
        <w:pStyle w:val="ListParagraph"/>
        <w:keepNext/>
        <w:numPr>
          <w:ilvl w:val="0"/>
          <w:numId w:val="16"/>
        </w:numPr>
        <w:spacing w:before="240" w:after="60"/>
        <w:contextualSpacing w:val="0"/>
        <w:outlineLvl w:val="1"/>
        <w:rPr>
          <w:rFonts w:cstheme="minorHAnsi"/>
          <w:b/>
          <w:bCs/>
          <w:iCs/>
          <w:vanish/>
          <w:szCs w:val="20"/>
        </w:rPr>
      </w:pPr>
    </w:p>
    <w:p w:rsidR="009B6981" w:rsidRPr="00216A71" w:rsidRDefault="00863FAE" w:rsidP="00EF78BD">
      <w:pPr>
        <w:pStyle w:val="Heading2"/>
      </w:pPr>
      <w:bookmarkStart w:id="211" w:name="_Toc392857562"/>
      <w:r w:rsidRPr="00216A71">
        <w:t>Pressures for pension funds to invest in PPPs</w:t>
      </w:r>
      <w:bookmarkEnd w:id="211"/>
    </w:p>
    <w:p w:rsidR="000C629A" w:rsidRDefault="00B63A72" w:rsidP="008E2913">
      <w:pPr>
        <w:rPr>
          <w:rFonts w:cstheme="minorHAnsi"/>
          <w:szCs w:val="20"/>
        </w:rPr>
      </w:pPr>
      <w:r w:rsidRPr="00216A71">
        <w:rPr>
          <w:rFonts w:cstheme="minorHAnsi"/>
          <w:szCs w:val="20"/>
        </w:rPr>
        <w:t>Since the financial crisis, PPP propo</w:t>
      </w:r>
      <w:r w:rsidR="00275BFE">
        <w:rPr>
          <w:rFonts w:cstheme="minorHAnsi"/>
          <w:szCs w:val="20"/>
        </w:rPr>
        <w:t>nents</w:t>
      </w:r>
      <w:r w:rsidRPr="00216A71">
        <w:rPr>
          <w:rFonts w:cstheme="minorHAnsi"/>
          <w:szCs w:val="20"/>
        </w:rPr>
        <w:t xml:space="preserve"> have found it difficult to find money from sceptical investors. </w:t>
      </w:r>
      <w:r w:rsidR="00F901B7" w:rsidRPr="00216A71">
        <w:rPr>
          <w:rFonts w:cstheme="minorHAnsi"/>
          <w:szCs w:val="20"/>
        </w:rPr>
        <w:t>About two-fifths of all such investments come from pension funds, but i</w:t>
      </w:r>
      <w:r w:rsidR="005E7F86" w:rsidRPr="00216A71">
        <w:rPr>
          <w:rFonts w:cstheme="minorHAnsi"/>
          <w:szCs w:val="20"/>
        </w:rPr>
        <w:t>n 2012, the global amount of private funds invested in private infrastructure fell by $11.5 billion, a fall of 6</w:t>
      </w:r>
      <w:r w:rsidR="00A42FDE">
        <w:rPr>
          <w:rFonts w:cstheme="minorHAnsi"/>
          <w:szCs w:val="20"/>
        </w:rPr>
        <w:t xml:space="preserve"> per cent</w:t>
      </w:r>
      <w:r w:rsidR="005E7F86" w:rsidRPr="00216A71">
        <w:rPr>
          <w:rFonts w:cstheme="minorHAnsi"/>
          <w:szCs w:val="20"/>
        </w:rPr>
        <w:t>.</w:t>
      </w:r>
      <w:r w:rsidR="00275BFE">
        <w:rPr>
          <w:rFonts w:cstheme="minorHAnsi"/>
          <w:szCs w:val="20"/>
        </w:rPr>
        <w:t xml:space="preserve"> </w:t>
      </w:r>
      <w:r w:rsidR="00275BFE" w:rsidRPr="00216A71">
        <w:rPr>
          <w:rStyle w:val="EndnoteReference"/>
          <w:rFonts w:cstheme="minorHAnsi"/>
          <w:szCs w:val="20"/>
        </w:rPr>
        <w:endnoteReference w:id="240"/>
      </w:r>
      <w:r w:rsidR="00275BFE" w:rsidRPr="00216A71">
        <w:rPr>
          <w:rFonts w:cstheme="minorHAnsi"/>
          <w:szCs w:val="20"/>
        </w:rPr>
        <w:t xml:space="preserve"> </w:t>
      </w:r>
    </w:p>
    <w:p w:rsidR="000C629A" w:rsidRDefault="00B63A72" w:rsidP="008E2913">
      <w:pPr>
        <w:rPr>
          <w:rFonts w:cstheme="minorHAnsi"/>
          <w:szCs w:val="20"/>
        </w:rPr>
      </w:pPr>
      <w:r w:rsidRPr="00216A71">
        <w:rPr>
          <w:rFonts w:cstheme="minorHAnsi"/>
          <w:szCs w:val="20"/>
        </w:rPr>
        <w:t>International organisations</w:t>
      </w:r>
      <w:r w:rsidR="00275BFE" w:rsidRPr="00216A71">
        <w:rPr>
          <w:rStyle w:val="EndnoteReference"/>
          <w:rFonts w:cstheme="minorHAnsi"/>
          <w:szCs w:val="20"/>
        </w:rPr>
        <w:endnoteReference w:id="241"/>
      </w:r>
      <w:r w:rsidR="00275BFE" w:rsidRPr="00216A71">
        <w:rPr>
          <w:rFonts w:cstheme="minorHAnsi"/>
          <w:szCs w:val="20"/>
        </w:rPr>
        <w:t xml:space="preserve"> </w:t>
      </w:r>
      <w:r w:rsidRPr="00216A71">
        <w:rPr>
          <w:rFonts w:cstheme="minorHAnsi"/>
          <w:szCs w:val="20"/>
        </w:rPr>
        <w:t>and governments (e.g. UK</w:t>
      </w:r>
      <w:r w:rsidR="00275BFE">
        <w:rPr>
          <w:rFonts w:cstheme="minorHAnsi"/>
          <w:szCs w:val="20"/>
        </w:rPr>
        <w:t>,</w:t>
      </w:r>
      <w:r w:rsidR="00275BFE" w:rsidRPr="00216A71">
        <w:rPr>
          <w:rStyle w:val="EndnoteReference"/>
          <w:rFonts w:cstheme="minorHAnsi"/>
          <w:szCs w:val="20"/>
        </w:rPr>
        <w:endnoteReference w:id="242"/>
      </w:r>
      <w:r w:rsidRPr="00216A71">
        <w:rPr>
          <w:rFonts w:cstheme="minorHAnsi"/>
          <w:szCs w:val="20"/>
        </w:rPr>
        <w:t xml:space="preserve"> Nigeria</w:t>
      </w:r>
      <w:r w:rsidR="00275BFE">
        <w:rPr>
          <w:rFonts w:cstheme="minorHAnsi"/>
          <w:szCs w:val="20"/>
        </w:rPr>
        <w:t>,</w:t>
      </w:r>
      <w:r w:rsidR="00275BFE" w:rsidRPr="00216A71">
        <w:rPr>
          <w:rStyle w:val="EndnoteReference"/>
          <w:rFonts w:cstheme="minorHAnsi"/>
          <w:szCs w:val="20"/>
        </w:rPr>
        <w:endnoteReference w:id="243"/>
      </w:r>
      <w:r w:rsidR="009D3ACA" w:rsidRPr="00216A71">
        <w:rPr>
          <w:rFonts w:cstheme="minorHAnsi"/>
          <w:szCs w:val="20"/>
        </w:rPr>
        <w:t xml:space="preserve"> </w:t>
      </w:r>
      <w:r w:rsidR="00FF6D63" w:rsidRPr="00216A71">
        <w:rPr>
          <w:rFonts w:cstheme="minorHAnsi"/>
          <w:szCs w:val="20"/>
        </w:rPr>
        <w:t>and Kazakhstan</w:t>
      </w:r>
      <w:r w:rsidR="00275BFE" w:rsidRPr="00216A71">
        <w:rPr>
          <w:rStyle w:val="EndnoteReference"/>
          <w:rFonts w:cstheme="minorHAnsi"/>
          <w:szCs w:val="20"/>
        </w:rPr>
        <w:endnoteReference w:id="244"/>
      </w:r>
      <w:r w:rsidR="00275BFE" w:rsidRPr="00216A71">
        <w:rPr>
          <w:rFonts w:cstheme="minorHAnsi"/>
          <w:szCs w:val="20"/>
        </w:rPr>
        <w:t>)</w:t>
      </w:r>
      <w:r w:rsidRPr="00216A71">
        <w:rPr>
          <w:rFonts w:cstheme="minorHAnsi"/>
          <w:szCs w:val="20"/>
        </w:rPr>
        <w:t xml:space="preserve"> are trying to get pension funds to invest in PPPs, because PPPs find it difficult to raise finance from other sources. </w:t>
      </w:r>
      <w:r w:rsidR="00665E50" w:rsidRPr="00216A71">
        <w:rPr>
          <w:rFonts w:cstheme="minorHAnsi"/>
          <w:szCs w:val="20"/>
        </w:rPr>
        <w:t xml:space="preserve">The rationale offered is that an increasing amount of finance capital is being invested in this way, and so the pension funds should ensure that some of their money is invested in this ‘asset class’ as </w:t>
      </w:r>
      <w:r w:rsidR="00E922E8" w:rsidRPr="00216A71">
        <w:rPr>
          <w:rFonts w:cstheme="minorHAnsi"/>
          <w:szCs w:val="20"/>
        </w:rPr>
        <w:t>well as</w:t>
      </w:r>
      <w:r w:rsidR="00665E50" w:rsidRPr="00216A71">
        <w:rPr>
          <w:rFonts w:cstheme="minorHAnsi"/>
          <w:szCs w:val="20"/>
        </w:rPr>
        <w:t xml:space="preserve"> company shares</w:t>
      </w:r>
      <w:r w:rsidR="00275BFE">
        <w:rPr>
          <w:rFonts w:cstheme="minorHAnsi"/>
          <w:szCs w:val="20"/>
        </w:rPr>
        <w:t xml:space="preserve"> and</w:t>
      </w:r>
      <w:r w:rsidR="00665E50" w:rsidRPr="00216A71">
        <w:rPr>
          <w:rFonts w:cstheme="minorHAnsi"/>
          <w:szCs w:val="20"/>
        </w:rPr>
        <w:t xml:space="preserve"> government bonds. </w:t>
      </w:r>
      <w:r w:rsidRPr="00216A71">
        <w:rPr>
          <w:rFonts w:cstheme="minorHAnsi"/>
          <w:szCs w:val="20"/>
        </w:rPr>
        <w:t xml:space="preserve">If pension funds give in to </w:t>
      </w:r>
      <w:r w:rsidR="00885545" w:rsidRPr="00216A71">
        <w:rPr>
          <w:rFonts w:cstheme="minorHAnsi"/>
          <w:szCs w:val="20"/>
        </w:rPr>
        <w:t>such</w:t>
      </w:r>
      <w:r w:rsidRPr="00216A71">
        <w:rPr>
          <w:rFonts w:cstheme="minorHAnsi"/>
          <w:szCs w:val="20"/>
        </w:rPr>
        <w:t xml:space="preserve"> pressure, </w:t>
      </w:r>
      <w:r w:rsidR="00885545" w:rsidRPr="00216A71">
        <w:rPr>
          <w:rFonts w:cstheme="minorHAnsi"/>
          <w:szCs w:val="20"/>
        </w:rPr>
        <w:t>more money</w:t>
      </w:r>
      <w:r w:rsidRPr="00216A71">
        <w:rPr>
          <w:rFonts w:cstheme="minorHAnsi"/>
          <w:szCs w:val="20"/>
        </w:rPr>
        <w:t xml:space="preserve"> </w:t>
      </w:r>
      <w:r w:rsidR="00885545" w:rsidRPr="00216A71">
        <w:rPr>
          <w:rFonts w:cstheme="minorHAnsi"/>
          <w:szCs w:val="20"/>
        </w:rPr>
        <w:t xml:space="preserve">will be </w:t>
      </w:r>
      <w:r w:rsidRPr="00216A71">
        <w:rPr>
          <w:rFonts w:cstheme="minorHAnsi"/>
          <w:szCs w:val="20"/>
        </w:rPr>
        <w:t xml:space="preserve">available to PPPs – so more PPPs will happen. </w:t>
      </w:r>
    </w:p>
    <w:p w:rsidR="00866797" w:rsidRPr="00216A71" w:rsidRDefault="007B02A2" w:rsidP="008E2913">
      <w:pPr>
        <w:rPr>
          <w:rFonts w:cstheme="minorHAnsi"/>
          <w:szCs w:val="20"/>
        </w:rPr>
      </w:pPr>
      <w:r w:rsidRPr="00216A71">
        <w:rPr>
          <w:rFonts w:cstheme="minorHAnsi"/>
          <w:szCs w:val="20"/>
        </w:rPr>
        <w:t>But there are very good reasons why pension funds do not, and should not, invest in PPPs, or in infrastructure funds which finance PPPs.</w:t>
      </w:r>
    </w:p>
    <w:p w:rsidR="00863FAE" w:rsidRPr="00216A71" w:rsidRDefault="00863FAE" w:rsidP="00863FAE">
      <w:pPr>
        <w:pStyle w:val="Heading2"/>
        <w:rPr>
          <w:rFonts w:asciiTheme="minorHAnsi" w:hAnsiTheme="minorHAnsi" w:cstheme="minorHAnsi"/>
          <w:szCs w:val="20"/>
        </w:rPr>
      </w:pPr>
      <w:bookmarkStart w:id="212" w:name="_Toc392857563"/>
      <w:r w:rsidRPr="00216A71">
        <w:rPr>
          <w:rFonts w:asciiTheme="minorHAnsi" w:hAnsiTheme="minorHAnsi" w:cstheme="minorHAnsi"/>
          <w:szCs w:val="20"/>
        </w:rPr>
        <w:t xml:space="preserve">Few pension funds invest </w:t>
      </w:r>
      <w:r w:rsidR="00D34154" w:rsidRPr="00216A71">
        <w:rPr>
          <w:rFonts w:asciiTheme="minorHAnsi" w:hAnsiTheme="minorHAnsi" w:cstheme="minorHAnsi"/>
          <w:szCs w:val="20"/>
        </w:rPr>
        <w:t xml:space="preserve">directly </w:t>
      </w:r>
      <w:r w:rsidRPr="00216A71">
        <w:rPr>
          <w:rFonts w:asciiTheme="minorHAnsi" w:hAnsiTheme="minorHAnsi" w:cstheme="minorHAnsi"/>
          <w:szCs w:val="20"/>
        </w:rPr>
        <w:t>in PPPs</w:t>
      </w:r>
      <w:bookmarkEnd w:id="212"/>
      <w:r w:rsidR="00D34154" w:rsidRPr="00216A71">
        <w:rPr>
          <w:rFonts w:asciiTheme="minorHAnsi" w:hAnsiTheme="minorHAnsi" w:cstheme="minorHAnsi"/>
          <w:szCs w:val="20"/>
        </w:rPr>
        <w:t xml:space="preserve"> </w:t>
      </w:r>
    </w:p>
    <w:p w:rsidR="00FF53CA" w:rsidRPr="00216A71" w:rsidRDefault="00D34154" w:rsidP="00D34154">
      <w:pPr>
        <w:rPr>
          <w:rFonts w:cstheme="minorHAnsi"/>
          <w:szCs w:val="20"/>
        </w:rPr>
      </w:pPr>
      <w:r w:rsidRPr="00216A71">
        <w:rPr>
          <w:rFonts w:cstheme="minorHAnsi"/>
          <w:szCs w:val="20"/>
        </w:rPr>
        <w:t xml:space="preserve">Very few pension funds, globally, have a special section devoted to </w:t>
      </w:r>
      <w:r w:rsidR="00F901B7" w:rsidRPr="00216A71">
        <w:rPr>
          <w:rFonts w:cstheme="minorHAnsi"/>
          <w:szCs w:val="20"/>
        </w:rPr>
        <w:t xml:space="preserve">investing directly into </w:t>
      </w:r>
      <w:r w:rsidRPr="00216A71">
        <w:rPr>
          <w:rFonts w:cstheme="minorHAnsi"/>
          <w:szCs w:val="20"/>
        </w:rPr>
        <w:t>PPPs or infrastructure.</w:t>
      </w:r>
      <w:r w:rsidR="004045AD">
        <w:rPr>
          <w:rFonts w:cstheme="minorHAnsi"/>
          <w:szCs w:val="20"/>
        </w:rPr>
        <w:t xml:space="preserve"> </w:t>
      </w:r>
      <w:r w:rsidR="00E922E8" w:rsidRPr="00216A71">
        <w:rPr>
          <w:rFonts w:cstheme="minorHAnsi"/>
          <w:szCs w:val="20"/>
        </w:rPr>
        <w:t xml:space="preserve">An </w:t>
      </w:r>
      <w:r w:rsidR="004C53B4" w:rsidRPr="00216A71">
        <w:rPr>
          <w:rFonts w:cstheme="minorHAnsi"/>
          <w:szCs w:val="20"/>
        </w:rPr>
        <w:t>OECD survey in 2012</w:t>
      </w:r>
      <w:r w:rsidR="00275BFE" w:rsidRPr="00216A71">
        <w:rPr>
          <w:rStyle w:val="EndnoteReference"/>
          <w:rFonts w:cstheme="minorHAnsi"/>
          <w:szCs w:val="20"/>
        </w:rPr>
        <w:endnoteReference w:id="245"/>
      </w:r>
      <w:r w:rsidR="00275BFE" w:rsidRPr="00216A71">
        <w:rPr>
          <w:rFonts w:cstheme="minorHAnsi"/>
          <w:szCs w:val="20"/>
        </w:rPr>
        <w:t xml:space="preserve"> </w:t>
      </w:r>
      <w:r w:rsidR="00E922E8" w:rsidRPr="00216A71">
        <w:rPr>
          <w:rFonts w:cstheme="minorHAnsi"/>
          <w:szCs w:val="20"/>
        </w:rPr>
        <w:t xml:space="preserve">found only </w:t>
      </w:r>
      <w:r w:rsidR="00275BFE">
        <w:rPr>
          <w:rFonts w:cstheme="minorHAnsi"/>
          <w:szCs w:val="20"/>
        </w:rPr>
        <w:t>five</w:t>
      </w:r>
      <w:r w:rsidRPr="00216A71">
        <w:rPr>
          <w:rFonts w:cstheme="minorHAnsi"/>
          <w:szCs w:val="20"/>
        </w:rPr>
        <w:t xml:space="preserve"> </w:t>
      </w:r>
      <w:r w:rsidR="00E922E8" w:rsidRPr="00216A71">
        <w:rPr>
          <w:rFonts w:cstheme="minorHAnsi"/>
          <w:szCs w:val="20"/>
        </w:rPr>
        <w:t xml:space="preserve">out of 52 funds </w:t>
      </w:r>
      <w:r w:rsidRPr="00216A71">
        <w:rPr>
          <w:rFonts w:cstheme="minorHAnsi"/>
          <w:szCs w:val="20"/>
        </w:rPr>
        <w:t xml:space="preserve">which </w:t>
      </w:r>
      <w:r w:rsidR="00665E50" w:rsidRPr="00216A71">
        <w:rPr>
          <w:rFonts w:cstheme="minorHAnsi"/>
          <w:szCs w:val="20"/>
        </w:rPr>
        <w:t>have created</w:t>
      </w:r>
      <w:r w:rsidR="009B6981" w:rsidRPr="00216A71">
        <w:rPr>
          <w:rFonts w:cstheme="minorHAnsi"/>
          <w:szCs w:val="20"/>
        </w:rPr>
        <w:t xml:space="preserve"> </w:t>
      </w:r>
      <w:r w:rsidRPr="00216A71">
        <w:rPr>
          <w:rFonts w:cstheme="minorHAnsi"/>
          <w:szCs w:val="20"/>
        </w:rPr>
        <w:t>an</w:t>
      </w:r>
      <w:r w:rsidR="009B6981" w:rsidRPr="00216A71">
        <w:rPr>
          <w:rFonts w:cstheme="minorHAnsi"/>
          <w:szCs w:val="20"/>
        </w:rPr>
        <w:t xml:space="preserve"> infrastructure fund</w:t>
      </w:r>
      <w:r w:rsidR="00665E50" w:rsidRPr="00216A71">
        <w:rPr>
          <w:rFonts w:cstheme="minorHAnsi"/>
          <w:szCs w:val="20"/>
        </w:rPr>
        <w:t xml:space="preserve"> or department</w:t>
      </w:r>
      <w:r w:rsidR="009B6981" w:rsidRPr="00216A71">
        <w:rPr>
          <w:rFonts w:cstheme="minorHAnsi"/>
          <w:szCs w:val="20"/>
        </w:rPr>
        <w:t xml:space="preserve"> as part of the pension fund itself, which invests directly in PPPs or infrastructure companies</w:t>
      </w:r>
      <w:r w:rsidR="004045AD">
        <w:rPr>
          <w:rFonts w:cstheme="minorHAnsi"/>
          <w:szCs w:val="20"/>
        </w:rPr>
        <w:t xml:space="preserve"> – </w:t>
      </w:r>
      <w:r w:rsidR="00275BFE">
        <w:rPr>
          <w:rFonts w:cstheme="minorHAnsi"/>
          <w:szCs w:val="20"/>
        </w:rPr>
        <w:t>three</w:t>
      </w:r>
      <w:r w:rsidRPr="00216A71">
        <w:rPr>
          <w:rFonts w:cstheme="minorHAnsi"/>
          <w:szCs w:val="20"/>
        </w:rPr>
        <w:t xml:space="preserve"> from Canada and two from Australia</w:t>
      </w:r>
      <w:r w:rsidR="009B6981" w:rsidRPr="00216A71">
        <w:rPr>
          <w:rFonts w:cstheme="minorHAnsi"/>
          <w:szCs w:val="20"/>
        </w:rPr>
        <w:t xml:space="preserve">. </w:t>
      </w:r>
      <w:r w:rsidR="00F901B7" w:rsidRPr="00216A71">
        <w:rPr>
          <w:rFonts w:cstheme="minorHAnsi"/>
          <w:szCs w:val="20"/>
        </w:rPr>
        <w:t xml:space="preserve">They include </w:t>
      </w:r>
      <w:r w:rsidR="009B6981" w:rsidRPr="00216A71">
        <w:rPr>
          <w:rFonts w:cstheme="minorHAnsi"/>
          <w:szCs w:val="20"/>
        </w:rPr>
        <w:t>the Ontario Teachers</w:t>
      </w:r>
      <w:r w:rsidR="001D0C18" w:rsidRPr="00216A71">
        <w:rPr>
          <w:rFonts w:cstheme="minorHAnsi"/>
          <w:szCs w:val="20"/>
        </w:rPr>
        <w:t>’</w:t>
      </w:r>
      <w:r w:rsidR="009B6981" w:rsidRPr="00216A71">
        <w:rPr>
          <w:rFonts w:cstheme="minorHAnsi"/>
          <w:szCs w:val="20"/>
        </w:rPr>
        <w:t xml:space="preserve"> Pension Plan (OTPP), whose infrastructure group has bought airports, electrical power generation, water and natural gas distribution systems, container terminals, pipelines, a high-speed rail link and a desalination facility. The Ontario Municipal Employees Retirement System (OMERS)</w:t>
      </w:r>
      <w:r w:rsidR="00E243F5" w:rsidRPr="00216A71">
        <w:rPr>
          <w:rFonts w:cstheme="minorHAnsi"/>
          <w:szCs w:val="20"/>
        </w:rPr>
        <w:t xml:space="preserve"> has created an arms</w:t>
      </w:r>
      <w:r w:rsidR="001D0C18" w:rsidRPr="00216A71">
        <w:rPr>
          <w:rFonts w:cstheme="minorHAnsi"/>
          <w:szCs w:val="20"/>
        </w:rPr>
        <w:t>-</w:t>
      </w:r>
      <w:r w:rsidR="00E243F5" w:rsidRPr="00216A71">
        <w:rPr>
          <w:rFonts w:cstheme="minorHAnsi"/>
          <w:szCs w:val="20"/>
        </w:rPr>
        <w:t>length company, Borealis Infrastructure, which holds investments in energy, ports, rail, and healthcare.</w:t>
      </w:r>
      <w:r w:rsidR="00866797" w:rsidRPr="00216A71">
        <w:rPr>
          <w:rFonts w:cstheme="minorHAnsi"/>
          <w:szCs w:val="20"/>
        </w:rPr>
        <w:t xml:space="preserve"> A third Canadian fund, CPPIB, and two Australian funds, UniSuper and AustralianSuper, are the other examples from the OECD survey.</w:t>
      </w:r>
    </w:p>
    <w:p w:rsidR="00D34154" w:rsidRPr="00216A71" w:rsidRDefault="00D34154" w:rsidP="00D34154">
      <w:pPr>
        <w:pStyle w:val="Heading2"/>
        <w:rPr>
          <w:rFonts w:asciiTheme="minorHAnsi" w:hAnsiTheme="minorHAnsi" w:cstheme="minorHAnsi"/>
          <w:szCs w:val="20"/>
        </w:rPr>
      </w:pPr>
      <w:bookmarkStart w:id="213" w:name="_Toc392857564"/>
      <w:r w:rsidRPr="00216A71">
        <w:rPr>
          <w:rFonts w:asciiTheme="minorHAnsi" w:hAnsiTheme="minorHAnsi" w:cstheme="minorHAnsi"/>
          <w:szCs w:val="20"/>
        </w:rPr>
        <w:t>Uncertainty of indirect investments in other funds</w:t>
      </w:r>
      <w:bookmarkEnd w:id="213"/>
    </w:p>
    <w:p w:rsidR="000C629A" w:rsidRDefault="00665E50" w:rsidP="009B6981">
      <w:pPr>
        <w:rPr>
          <w:rFonts w:cstheme="minorHAnsi"/>
          <w:szCs w:val="20"/>
        </w:rPr>
      </w:pPr>
      <w:r w:rsidRPr="00216A71">
        <w:rPr>
          <w:rFonts w:cstheme="minorHAnsi"/>
          <w:szCs w:val="20"/>
        </w:rPr>
        <w:t>Some pension funds</w:t>
      </w:r>
      <w:r w:rsidR="00E243F5" w:rsidRPr="00216A71">
        <w:rPr>
          <w:rFonts w:cstheme="minorHAnsi"/>
          <w:szCs w:val="20"/>
        </w:rPr>
        <w:t xml:space="preserve"> </w:t>
      </w:r>
      <w:r w:rsidR="00D34154" w:rsidRPr="00216A71">
        <w:rPr>
          <w:rFonts w:cstheme="minorHAnsi"/>
          <w:szCs w:val="20"/>
        </w:rPr>
        <w:t xml:space="preserve">invest </w:t>
      </w:r>
      <w:r w:rsidR="00E243F5" w:rsidRPr="00216A71">
        <w:rPr>
          <w:rFonts w:cstheme="minorHAnsi"/>
          <w:szCs w:val="20"/>
        </w:rPr>
        <w:t xml:space="preserve">equity </w:t>
      </w:r>
      <w:r w:rsidR="00D34154" w:rsidRPr="00216A71">
        <w:rPr>
          <w:rFonts w:cstheme="minorHAnsi"/>
          <w:szCs w:val="20"/>
        </w:rPr>
        <w:t xml:space="preserve">in </w:t>
      </w:r>
      <w:r w:rsidR="00E243F5" w:rsidRPr="00216A71">
        <w:rPr>
          <w:rFonts w:cstheme="minorHAnsi"/>
          <w:szCs w:val="20"/>
        </w:rPr>
        <w:t xml:space="preserve">infrastructure funds or private equity funds run by </w:t>
      </w:r>
      <w:r w:rsidR="008E2913" w:rsidRPr="00216A71">
        <w:rPr>
          <w:rFonts w:cstheme="minorHAnsi"/>
          <w:szCs w:val="20"/>
        </w:rPr>
        <w:t>other</w:t>
      </w:r>
      <w:r w:rsidR="00E243F5" w:rsidRPr="00216A71">
        <w:rPr>
          <w:rFonts w:cstheme="minorHAnsi"/>
          <w:szCs w:val="20"/>
        </w:rPr>
        <w:t xml:space="preserve"> financial entities, such as Ma</w:t>
      </w:r>
      <w:r w:rsidR="001D0C18" w:rsidRPr="00216A71">
        <w:rPr>
          <w:rFonts w:cstheme="minorHAnsi"/>
          <w:szCs w:val="20"/>
        </w:rPr>
        <w:t>c</w:t>
      </w:r>
      <w:r w:rsidR="00E243F5" w:rsidRPr="00216A71">
        <w:rPr>
          <w:rFonts w:cstheme="minorHAnsi"/>
          <w:szCs w:val="20"/>
        </w:rPr>
        <w:t>quarie Bank</w:t>
      </w:r>
      <w:r w:rsidR="00BC38A4" w:rsidRPr="00216A71">
        <w:rPr>
          <w:rFonts w:cstheme="minorHAnsi"/>
          <w:szCs w:val="20"/>
        </w:rPr>
        <w:t>.</w:t>
      </w:r>
      <w:r w:rsidR="004045AD">
        <w:rPr>
          <w:rFonts w:cstheme="minorHAnsi"/>
          <w:szCs w:val="20"/>
        </w:rPr>
        <w:t xml:space="preserve"> </w:t>
      </w:r>
      <w:r w:rsidR="00BC38A4" w:rsidRPr="00216A71">
        <w:rPr>
          <w:rFonts w:cstheme="minorHAnsi"/>
          <w:szCs w:val="20"/>
        </w:rPr>
        <w:t>These infrastructure/PE</w:t>
      </w:r>
      <w:r w:rsidR="00E243F5" w:rsidRPr="00216A71">
        <w:rPr>
          <w:rFonts w:cstheme="minorHAnsi"/>
          <w:szCs w:val="20"/>
        </w:rPr>
        <w:t xml:space="preserve"> funds then use the money from pension funds and other investors to invest in public infrastructure </w:t>
      </w:r>
      <w:r w:rsidR="00FD745B" w:rsidRPr="00216A71">
        <w:rPr>
          <w:rFonts w:cstheme="minorHAnsi"/>
          <w:szCs w:val="20"/>
        </w:rPr>
        <w:t>in</w:t>
      </w:r>
      <w:r w:rsidR="00E243F5" w:rsidRPr="00216A71">
        <w:rPr>
          <w:rFonts w:cstheme="minorHAnsi"/>
          <w:szCs w:val="20"/>
        </w:rPr>
        <w:t xml:space="preserve"> various </w:t>
      </w:r>
      <w:r w:rsidR="00FD745B" w:rsidRPr="00216A71">
        <w:rPr>
          <w:rFonts w:cstheme="minorHAnsi"/>
          <w:szCs w:val="20"/>
        </w:rPr>
        <w:t>ways. T</w:t>
      </w:r>
      <w:r w:rsidR="00E243F5" w:rsidRPr="00216A71">
        <w:rPr>
          <w:rFonts w:cstheme="minorHAnsi"/>
          <w:szCs w:val="20"/>
        </w:rPr>
        <w:t>here is no</w:t>
      </w:r>
      <w:r w:rsidR="00FD745B" w:rsidRPr="00216A71">
        <w:rPr>
          <w:rFonts w:cstheme="minorHAnsi"/>
          <w:szCs w:val="20"/>
        </w:rPr>
        <w:t xml:space="preserve"> </w:t>
      </w:r>
      <w:r w:rsidR="00E243F5" w:rsidRPr="00216A71">
        <w:rPr>
          <w:rFonts w:cstheme="minorHAnsi"/>
          <w:szCs w:val="20"/>
        </w:rPr>
        <w:t>direct link to specific PPPs</w:t>
      </w:r>
      <w:r w:rsidR="00275BFE">
        <w:rPr>
          <w:rFonts w:cstheme="minorHAnsi"/>
          <w:szCs w:val="20"/>
        </w:rPr>
        <w:t>.</w:t>
      </w:r>
      <w:r w:rsidR="00E243F5" w:rsidRPr="00216A71">
        <w:rPr>
          <w:rFonts w:cstheme="minorHAnsi"/>
          <w:szCs w:val="20"/>
        </w:rPr>
        <w:t xml:space="preserve"> </w:t>
      </w:r>
      <w:r w:rsidR="00275BFE">
        <w:rPr>
          <w:rFonts w:cstheme="minorHAnsi"/>
          <w:szCs w:val="20"/>
        </w:rPr>
        <w:t>I</w:t>
      </w:r>
      <w:r w:rsidR="008E2913" w:rsidRPr="00216A71">
        <w:rPr>
          <w:rFonts w:cstheme="minorHAnsi"/>
          <w:szCs w:val="20"/>
        </w:rPr>
        <w:t>nvestment</w:t>
      </w:r>
      <w:r w:rsidR="00E243F5" w:rsidRPr="00216A71">
        <w:rPr>
          <w:rFonts w:cstheme="minorHAnsi"/>
          <w:szCs w:val="20"/>
        </w:rPr>
        <w:t>s simply increas</w:t>
      </w:r>
      <w:r w:rsidR="008E2913" w:rsidRPr="00216A71">
        <w:rPr>
          <w:rFonts w:cstheme="minorHAnsi"/>
          <w:szCs w:val="20"/>
        </w:rPr>
        <w:t>e</w:t>
      </w:r>
      <w:r w:rsidR="00E243F5" w:rsidRPr="00216A71">
        <w:rPr>
          <w:rFonts w:cstheme="minorHAnsi"/>
          <w:szCs w:val="20"/>
        </w:rPr>
        <w:t xml:space="preserve"> the amount of capital available to these infrastructure/</w:t>
      </w:r>
      <w:r w:rsidR="008E2913" w:rsidRPr="00216A71">
        <w:rPr>
          <w:rFonts w:cstheme="minorHAnsi"/>
          <w:szCs w:val="20"/>
        </w:rPr>
        <w:t>PE</w:t>
      </w:r>
      <w:r w:rsidR="00E243F5" w:rsidRPr="00216A71">
        <w:rPr>
          <w:rFonts w:cstheme="minorHAnsi"/>
          <w:szCs w:val="20"/>
        </w:rPr>
        <w:t xml:space="preserve"> f</w:t>
      </w:r>
      <w:r w:rsidR="008E2913" w:rsidRPr="00216A71">
        <w:rPr>
          <w:rFonts w:cstheme="minorHAnsi"/>
          <w:szCs w:val="20"/>
        </w:rPr>
        <w:t>und</w:t>
      </w:r>
      <w:r w:rsidR="00E243F5" w:rsidRPr="00216A71">
        <w:rPr>
          <w:rFonts w:cstheme="minorHAnsi"/>
          <w:szCs w:val="20"/>
        </w:rPr>
        <w:t>s</w:t>
      </w:r>
      <w:r w:rsidR="00FD745B" w:rsidRPr="00216A71">
        <w:rPr>
          <w:rFonts w:cstheme="minorHAnsi"/>
          <w:szCs w:val="20"/>
        </w:rPr>
        <w:t xml:space="preserve">, and investors do not know how the fund will be used. </w:t>
      </w:r>
    </w:p>
    <w:p w:rsidR="00E243F5" w:rsidRPr="00216A71" w:rsidRDefault="00D34154" w:rsidP="009B6981">
      <w:pPr>
        <w:rPr>
          <w:rFonts w:cstheme="minorHAnsi"/>
          <w:szCs w:val="20"/>
        </w:rPr>
      </w:pPr>
      <w:r w:rsidRPr="00216A71">
        <w:rPr>
          <w:rFonts w:cstheme="minorHAnsi"/>
          <w:szCs w:val="20"/>
        </w:rPr>
        <w:t>The uncertainties of this form of investment were highlighted in a recent court case in the UK.</w:t>
      </w:r>
      <w:r w:rsidR="004045AD">
        <w:rPr>
          <w:rFonts w:cstheme="minorHAnsi"/>
          <w:szCs w:val="20"/>
        </w:rPr>
        <w:t xml:space="preserve"> </w:t>
      </w:r>
      <w:r w:rsidRPr="00216A71">
        <w:rPr>
          <w:rFonts w:cstheme="minorHAnsi"/>
          <w:szCs w:val="20"/>
        </w:rPr>
        <w:t>Pension funds and others invested £574</w:t>
      </w:r>
      <w:r w:rsidR="00275BFE">
        <w:rPr>
          <w:rFonts w:cstheme="minorHAnsi"/>
          <w:szCs w:val="20"/>
        </w:rPr>
        <w:t xml:space="preserve"> </w:t>
      </w:r>
      <w:r w:rsidRPr="00216A71">
        <w:rPr>
          <w:rFonts w:cstheme="minorHAnsi"/>
          <w:szCs w:val="20"/>
        </w:rPr>
        <w:t xml:space="preserve">million in an infrastructure fund, PFI Secondary Fund II run by Henderson Global Investors, expecting the fund to be </w:t>
      </w:r>
      <w:r w:rsidR="00FD745B" w:rsidRPr="00216A71">
        <w:rPr>
          <w:rFonts w:cstheme="minorHAnsi"/>
          <w:szCs w:val="20"/>
        </w:rPr>
        <w:t>spread across</w:t>
      </w:r>
      <w:r w:rsidRPr="00216A71">
        <w:rPr>
          <w:rFonts w:cstheme="minorHAnsi"/>
          <w:szCs w:val="20"/>
        </w:rPr>
        <w:t xml:space="preserve"> a number of different PPPs under the UK’s PFI programme. Instead, the fund was used to buy a single company, John Laing, which had stakes in some PFI projects, but also a number of unrelated businesses</w:t>
      </w:r>
      <w:r w:rsidR="00275BFE">
        <w:rPr>
          <w:rFonts w:cstheme="minorHAnsi"/>
          <w:szCs w:val="20"/>
        </w:rPr>
        <w:t>.</w:t>
      </w:r>
      <w:r w:rsidR="00FD745B" w:rsidRPr="00216A71">
        <w:rPr>
          <w:rFonts w:cstheme="minorHAnsi"/>
          <w:szCs w:val="20"/>
        </w:rPr>
        <w:t xml:space="preserve"> </w:t>
      </w:r>
      <w:r w:rsidR="00275BFE">
        <w:rPr>
          <w:rFonts w:cstheme="minorHAnsi"/>
          <w:szCs w:val="20"/>
        </w:rPr>
        <w:t>T</w:t>
      </w:r>
      <w:r w:rsidR="00FD745B" w:rsidRPr="00216A71">
        <w:rPr>
          <w:rFonts w:cstheme="minorHAnsi"/>
          <w:szCs w:val="20"/>
        </w:rPr>
        <w:t>he value of the company subsequently fell by two-thirds</w:t>
      </w:r>
      <w:r w:rsidR="004045AD">
        <w:rPr>
          <w:rFonts w:cstheme="minorHAnsi"/>
          <w:szCs w:val="20"/>
        </w:rPr>
        <w:t xml:space="preserve"> – </w:t>
      </w:r>
      <w:r w:rsidR="00FD745B" w:rsidRPr="00216A71">
        <w:rPr>
          <w:rFonts w:cstheme="minorHAnsi"/>
          <w:szCs w:val="20"/>
        </w:rPr>
        <w:t>ironically, partly because of a £175</w:t>
      </w:r>
      <w:r w:rsidR="00275BFE">
        <w:rPr>
          <w:rFonts w:cstheme="minorHAnsi"/>
          <w:szCs w:val="20"/>
        </w:rPr>
        <w:t xml:space="preserve"> </w:t>
      </w:r>
      <w:r w:rsidR="00FD745B" w:rsidRPr="00216A71">
        <w:rPr>
          <w:rFonts w:cstheme="minorHAnsi"/>
          <w:szCs w:val="20"/>
        </w:rPr>
        <w:t>million deficit in its own pension scheme. The pension funds sued Henderson for breach of mandate, but lost their court case</w:t>
      </w:r>
      <w:r w:rsidRPr="00216A71">
        <w:rPr>
          <w:rFonts w:cstheme="minorHAnsi"/>
          <w:szCs w:val="20"/>
        </w:rPr>
        <w:t>.</w:t>
      </w:r>
      <w:r w:rsidR="00275BFE" w:rsidRPr="00216A71">
        <w:rPr>
          <w:rStyle w:val="EndnoteReference"/>
          <w:rFonts w:cstheme="minorHAnsi"/>
          <w:szCs w:val="20"/>
        </w:rPr>
        <w:endnoteReference w:id="246"/>
      </w:r>
      <w:r w:rsidR="00275BFE">
        <w:rPr>
          <w:rFonts w:cstheme="minorHAnsi"/>
          <w:szCs w:val="20"/>
        </w:rPr>
        <w:t xml:space="preserve"> </w:t>
      </w:r>
    </w:p>
    <w:p w:rsidR="00863FAE" w:rsidRPr="00216A71" w:rsidRDefault="00863FAE" w:rsidP="00FE28D3">
      <w:pPr>
        <w:pStyle w:val="Heading2"/>
        <w:rPr>
          <w:rFonts w:asciiTheme="minorHAnsi" w:hAnsiTheme="minorHAnsi" w:cstheme="minorHAnsi"/>
        </w:rPr>
      </w:pPr>
      <w:bookmarkStart w:id="214" w:name="_Toc392857565"/>
      <w:r w:rsidRPr="00216A71">
        <w:rPr>
          <w:rFonts w:asciiTheme="minorHAnsi" w:hAnsiTheme="minorHAnsi" w:cstheme="minorHAnsi"/>
        </w:rPr>
        <w:t>Pension fund concerns about investing in PPPs</w:t>
      </w:r>
      <w:bookmarkEnd w:id="214"/>
    </w:p>
    <w:p w:rsidR="00CC01DA" w:rsidRPr="00216A71" w:rsidRDefault="00CC01DA" w:rsidP="00CC01DA">
      <w:pPr>
        <w:rPr>
          <w:rFonts w:cstheme="minorHAnsi"/>
          <w:szCs w:val="20"/>
        </w:rPr>
      </w:pPr>
      <w:r w:rsidRPr="00216A71">
        <w:rPr>
          <w:rFonts w:cstheme="minorHAnsi"/>
          <w:szCs w:val="20"/>
        </w:rPr>
        <w:t>The reluctance of pension funds to invest in PPPs is based on a sound scepticism about the political and economic sustainability of these projects. An OECD survey of pension funds in 2011</w:t>
      </w:r>
      <w:r w:rsidR="00275BFE" w:rsidRPr="00216A71">
        <w:rPr>
          <w:rStyle w:val="EndnoteReference"/>
          <w:rFonts w:cstheme="minorHAnsi"/>
          <w:szCs w:val="20"/>
        </w:rPr>
        <w:endnoteReference w:id="247"/>
      </w:r>
      <w:r w:rsidR="00275BFE">
        <w:rPr>
          <w:rFonts w:cstheme="minorHAnsi"/>
          <w:szCs w:val="20"/>
        </w:rPr>
        <w:t xml:space="preserve"> </w:t>
      </w:r>
      <w:r w:rsidRPr="00216A71">
        <w:rPr>
          <w:rFonts w:cstheme="minorHAnsi"/>
          <w:szCs w:val="20"/>
        </w:rPr>
        <w:t xml:space="preserve">identified the following concerns about PPPs (in addition to concerns about the funds’ own capacity to deal with such investments): </w:t>
      </w:r>
    </w:p>
    <w:p w:rsidR="00CC01DA" w:rsidRPr="00216A71" w:rsidRDefault="00CC01DA" w:rsidP="00781FBC">
      <w:pPr>
        <w:pStyle w:val="ListParagraph"/>
        <w:numPr>
          <w:ilvl w:val="0"/>
          <w:numId w:val="28"/>
        </w:numPr>
        <w:rPr>
          <w:rFonts w:cstheme="minorHAnsi"/>
          <w:szCs w:val="20"/>
        </w:rPr>
      </w:pPr>
      <w:r w:rsidRPr="00216A71">
        <w:rPr>
          <w:rFonts w:cstheme="minorHAnsi"/>
          <w:szCs w:val="20"/>
        </w:rPr>
        <w:t>Lack of political commitment over the long term</w:t>
      </w:r>
      <w:r w:rsidR="00275BFE">
        <w:rPr>
          <w:rFonts w:cstheme="minorHAnsi"/>
          <w:szCs w:val="20"/>
        </w:rPr>
        <w:t>.</w:t>
      </w:r>
      <w:r w:rsidRPr="00216A71">
        <w:rPr>
          <w:rFonts w:cstheme="minorHAnsi"/>
          <w:szCs w:val="20"/>
        </w:rPr>
        <w:t xml:space="preserve"> </w:t>
      </w:r>
    </w:p>
    <w:p w:rsidR="00CC01DA" w:rsidRPr="00216A71" w:rsidRDefault="00CC01DA" w:rsidP="00781FBC">
      <w:pPr>
        <w:pStyle w:val="ListParagraph"/>
        <w:numPr>
          <w:ilvl w:val="0"/>
          <w:numId w:val="28"/>
        </w:numPr>
        <w:rPr>
          <w:rFonts w:cstheme="minorHAnsi"/>
          <w:szCs w:val="20"/>
        </w:rPr>
      </w:pPr>
      <w:r w:rsidRPr="00216A71">
        <w:rPr>
          <w:rFonts w:cstheme="minorHAnsi"/>
          <w:szCs w:val="20"/>
        </w:rPr>
        <w:t>Regulatory instability</w:t>
      </w:r>
      <w:r w:rsidR="00275BFE">
        <w:rPr>
          <w:rFonts w:cstheme="minorHAnsi"/>
          <w:szCs w:val="20"/>
        </w:rPr>
        <w:t>.</w:t>
      </w:r>
      <w:r w:rsidRPr="00216A71">
        <w:rPr>
          <w:rFonts w:cstheme="minorHAnsi"/>
          <w:szCs w:val="20"/>
        </w:rPr>
        <w:t xml:space="preserve"> </w:t>
      </w:r>
    </w:p>
    <w:p w:rsidR="00CC01DA" w:rsidRPr="00216A71" w:rsidRDefault="00CC01DA" w:rsidP="00781FBC">
      <w:pPr>
        <w:pStyle w:val="ListParagraph"/>
        <w:numPr>
          <w:ilvl w:val="0"/>
          <w:numId w:val="28"/>
        </w:numPr>
        <w:rPr>
          <w:rFonts w:cstheme="minorHAnsi"/>
          <w:szCs w:val="20"/>
        </w:rPr>
      </w:pPr>
      <w:r w:rsidRPr="00216A71">
        <w:rPr>
          <w:rFonts w:cstheme="minorHAnsi"/>
          <w:szCs w:val="20"/>
        </w:rPr>
        <w:t>Fragmentation of the market among different level of governments</w:t>
      </w:r>
      <w:r w:rsidR="00275BFE">
        <w:rPr>
          <w:rFonts w:cstheme="minorHAnsi"/>
          <w:szCs w:val="20"/>
        </w:rPr>
        <w:t>.</w:t>
      </w:r>
      <w:r w:rsidRPr="00216A71">
        <w:rPr>
          <w:rFonts w:cstheme="minorHAnsi"/>
          <w:szCs w:val="20"/>
        </w:rPr>
        <w:t xml:space="preserve"> </w:t>
      </w:r>
    </w:p>
    <w:p w:rsidR="00CC01DA" w:rsidRPr="00216A71" w:rsidRDefault="00CC01DA" w:rsidP="00781FBC">
      <w:pPr>
        <w:pStyle w:val="ListParagraph"/>
        <w:numPr>
          <w:ilvl w:val="0"/>
          <w:numId w:val="28"/>
        </w:numPr>
        <w:rPr>
          <w:rFonts w:cstheme="minorHAnsi"/>
          <w:szCs w:val="20"/>
        </w:rPr>
      </w:pPr>
      <w:r w:rsidRPr="00216A71">
        <w:rPr>
          <w:rFonts w:cstheme="minorHAnsi"/>
          <w:szCs w:val="20"/>
        </w:rPr>
        <w:t>No clarity on investment opportunities</w:t>
      </w:r>
      <w:r w:rsidR="00275BFE">
        <w:rPr>
          <w:rFonts w:cstheme="minorHAnsi"/>
          <w:szCs w:val="20"/>
        </w:rPr>
        <w:t>.</w:t>
      </w:r>
      <w:r w:rsidRPr="00216A71">
        <w:rPr>
          <w:rFonts w:cstheme="minorHAnsi"/>
          <w:szCs w:val="20"/>
        </w:rPr>
        <w:t xml:space="preserve"> </w:t>
      </w:r>
    </w:p>
    <w:p w:rsidR="00CC01DA" w:rsidRPr="00216A71" w:rsidRDefault="00CC01DA" w:rsidP="00781FBC">
      <w:pPr>
        <w:pStyle w:val="ListParagraph"/>
        <w:numPr>
          <w:ilvl w:val="0"/>
          <w:numId w:val="28"/>
        </w:numPr>
        <w:rPr>
          <w:rFonts w:cstheme="minorHAnsi"/>
          <w:szCs w:val="20"/>
        </w:rPr>
      </w:pPr>
      <w:r w:rsidRPr="00216A71">
        <w:rPr>
          <w:rFonts w:cstheme="minorHAnsi"/>
          <w:szCs w:val="20"/>
        </w:rPr>
        <w:t>High bidding costs involved in the procurement process of infrastructure projects</w:t>
      </w:r>
      <w:r w:rsidR="00275BFE">
        <w:rPr>
          <w:rFonts w:cstheme="minorHAnsi"/>
          <w:szCs w:val="20"/>
        </w:rPr>
        <w:t>.</w:t>
      </w:r>
      <w:r w:rsidRPr="00216A71">
        <w:rPr>
          <w:rFonts w:cstheme="minorHAnsi"/>
          <w:szCs w:val="20"/>
        </w:rPr>
        <w:t xml:space="preserve"> </w:t>
      </w:r>
    </w:p>
    <w:p w:rsidR="00CC01DA" w:rsidRPr="00216A71" w:rsidRDefault="00CC01DA" w:rsidP="00781FBC">
      <w:pPr>
        <w:pStyle w:val="ListParagraph"/>
        <w:numPr>
          <w:ilvl w:val="0"/>
          <w:numId w:val="28"/>
        </w:numPr>
        <w:rPr>
          <w:rFonts w:cstheme="minorHAnsi"/>
          <w:szCs w:val="20"/>
        </w:rPr>
      </w:pPr>
      <w:r w:rsidRPr="00216A71">
        <w:rPr>
          <w:rFonts w:cstheme="minorHAnsi"/>
          <w:szCs w:val="20"/>
        </w:rPr>
        <w:t>Infrastructure investment opportunities in the market are perceived as too risky</w:t>
      </w:r>
      <w:r w:rsidR="00275BFE">
        <w:rPr>
          <w:rFonts w:cstheme="minorHAnsi"/>
          <w:szCs w:val="20"/>
        </w:rPr>
        <w:t>.</w:t>
      </w:r>
      <w:r w:rsidRPr="00216A71">
        <w:rPr>
          <w:rFonts w:cstheme="minorHAnsi"/>
          <w:szCs w:val="20"/>
        </w:rPr>
        <w:t xml:space="preserve"> </w:t>
      </w:r>
    </w:p>
    <w:p w:rsidR="00CC01DA" w:rsidRPr="00216A71" w:rsidRDefault="00CC01DA" w:rsidP="00781FBC">
      <w:pPr>
        <w:pStyle w:val="ListParagraph"/>
        <w:numPr>
          <w:ilvl w:val="0"/>
          <w:numId w:val="28"/>
        </w:numPr>
        <w:rPr>
          <w:rFonts w:cstheme="minorHAnsi"/>
          <w:szCs w:val="20"/>
        </w:rPr>
      </w:pPr>
      <w:r w:rsidRPr="00216A71">
        <w:rPr>
          <w:rFonts w:cstheme="minorHAnsi"/>
          <w:szCs w:val="20"/>
        </w:rPr>
        <w:lastRenderedPageBreak/>
        <w:t>Negative perception of the infrastructure value</w:t>
      </w:r>
      <w:r w:rsidR="00275BFE">
        <w:rPr>
          <w:rFonts w:cstheme="minorHAnsi"/>
          <w:szCs w:val="20"/>
        </w:rPr>
        <w:t>.</w:t>
      </w:r>
      <w:r w:rsidRPr="00216A71">
        <w:rPr>
          <w:rFonts w:cstheme="minorHAnsi"/>
          <w:szCs w:val="20"/>
        </w:rPr>
        <w:t xml:space="preserve"> </w:t>
      </w:r>
    </w:p>
    <w:p w:rsidR="00CC01DA" w:rsidRPr="00216A71" w:rsidRDefault="00CC01DA" w:rsidP="00781FBC">
      <w:pPr>
        <w:pStyle w:val="ListParagraph"/>
        <w:numPr>
          <w:ilvl w:val="0"/>
          <w:numId w:val="28"/>
        </w:numPr>
        <w:rPr>
          <w:rFonts w:cstheme="minorHAnsi"/>
          <w:szCs w:val="20"/>
        </w:rPr>
      </w:pPr>
      <w:r w:rsidRPr="00216A71">
        <w:rPr>
          <w:rFonts w:cstheme="minorHAnsi"/>
          <w:szCs w:val="20"/>
        </w:rPr>
        <w:t xml:space="preserve">Lack of transparency in the </w:t>
      </w:r>
      <w:r w:rsidR="00275BFE">
        <w:rPr>
          <w:rFonts w:cstheme="minorHAnsi"/>
          <w:szCs w:val="20"/>
        </w:rPr>
        <w:t>i</w:t>
      </w:r>
      <w:r w:rsidRPr="00216A71">
        <w:rPr>
          <w:rFonts w:cstheme="minorHAnsi"/>
          <w:szCs w:val="20"/>
        </w:rPr>
        <w:t>nfrastructure sector</w:t>
      </w:r>
      <w:r w:rsidR="00275BFE">
        <w:rPr>
          <w:rFonts w:cstheme="minorHAnsi"/>
          <w:szCs w:val="20"/>
        </w:rPr>
        <w:t>.</w:t>
      </w:r>
      <w:r w:rsidRPr="00216A71">
        <w:rPr>
          <w:rFonts w:cstheme="minorHAnsi"/>
          <w:szCs w:val="20"/>
        </w:rPr>
        <w:t xml:space="preserve"> </w:t>
      </w:r>
    </w:p>
    <w:p w:rsidR="000C629A" w:rsidRDefault="00CC01DA" w:rsidP="00781FBC">
      <w:pPr>
        <w:pStyle w:val="ListParagraph"/>
        <w:numPr>
          <w:ilvl w:val="0"/>
          <w:numId w:val="28"/>
        </w:numPr>
        <w:rPr>
          <w:rFonts w:cstheme="minorHAnsi"/>
          <w:szCs w:val="20"/>
        </w:rPr>
      </w:pPr>
      <w:r w:rsidRPr="00216A71">
        <w:rPr>
          <w:rFonts w:cstheme="minorHAnsi"/>
          <w:szCs w:val="20"/>
        </w:rPr>
        <w:t>Shortage of data on performance of infrastructure projects</w:t>
      </w:r>
      <w:r w:rsidR="00275BFE">
        <w:rPr>
          <w:rFonts w:cstheme="minorHAnsi"/>
          <w:szCs w:val="20"/>
        </w:rPr>
        <w:t>.</w:t>
      </w:r>
      <w:r w:rsidRPr="00216A71">
        <w:rPr>
          <w:rFonts w:cstheme="minorHAnsi"/>
          <w:szCs w:val="20"/>
        </w:rPr>
        <w:t xml:space="preserve"> </w:t>
      </w:r>
    </w:p>
    <w:p w:rsidR="000C629A" w:rsidRDefault="007B02A2" w:rsidP="007B02A2">
      <w:pPr>
        <w:rPr>
          <w:rFonts w:cstheme="minorHAnsi"/>
          <w:szCs w:val="20"/>
        </w:rPr>
      </w:pPr>
      <w:r w:rsidRPr="00216A71">
        <w:rPr>
          <w:rFonts w:cstheme="minorHAnsi"/>
          <w:szCs w:val="20"/>
        </w:rPr>
        <w:t>A further OECD survey</w:t>
      </w:r>
      <w:r w:rsidR="004045AD">
        <w:rPr>
          <w:rFonts w:cstheme="minorHAnsi"/>
          <w:szCs w:val="20"/>
        </w:rPr>
        <w:t xml:space="preserve"> </w:t>
      </w:r>
      <w:r w:rsidRPr="00216A71">
        <w:rPr>
          <w:rFonts w:cstheme="minorHAnsi"/>
          <w:szCs w:val="20"/>
        </w:rPr>
        <w:t>in 2012 confirmed that funds were still concerned that “the lack of objective, high-quality data on infrastructure investments… makes it difficult to assess the risks of these investments</w:t>
      </w:r>
      <w:r w:rsidR="00275BFE">
        <w:rPr>
          <w:rFonts w:cstheme="minorHAnsi"/>
          <w:szCs w:val="20"/>
        </w:rPr>
        <w:t>.</w:t>
      </w:r>
      <w:r w:rsidRPr="00216A71">
        <w:rPr>
          <w:rFonts w:cstheme="minorHAnsi"/>
          <w:szCs w:val="20"/>
        </w:rPr>
        <w:t>”</w:t>
      </w:r>
      <w:r w:rsidR="00275BFE" w:rsidRPr="00216A71">
        <w:rPr>
          <w:rStyle w:val="EndnoteReference"/>
          <w:rFonts w:cstheme="minorHAnsi"/>
          <w:szCs w:val="20"/>
        </w:rPr>
        <w:endnoteReference w:id="248"/>
      </w:r>
      <w:r w:rsidR="00275BFE" w:rsidRPr="00216A71">
        <w:rPr>
          <w:rFonts w:cstheme="minorHAnsi"/>
          <w:szCs w:val="20"/>
        </w:rPr>
        <w:t xml:space="preserve"> </w:t>
      </w:r>
    </w:p>
    <w:p w:rsidR="000C629A" w:rsidRDefault="007B02A2" w:rsidP="007B02A2">
      <w:pPr>
        <w:rPr>
          <w:rFonts w:cstheme="minorHAnsi"/>
          <w:szCs w:val="20"/>
        </w:rPr>
      </w:pPr>
      <w:r w:rsidRPr="00216A71">
        <w:rPr>
          <w:rFonts w:cstheme="minorHAnsi"/>
          <w:szCs w:val="20"/>
        </w:rPr>
        <w:t>This caution is well placed. As shown in other sections of this report, PPPs may be based on unrealistic forecasts, or may collapse and be re</w:t>
      </w:r>
      <w:r w:rsidR="0066057E">
        <w:rPr>
          <w:rFonts w:cstheme="minorHAnsi"/>
          <w:szCs w:val="20"/>
        </w:rPr>
        <w:t>-</w:t>
      </w:r>
      <w:r w:rsidRPr="00216A71">
        <w:rPr>
          <w:rFonts w:cstheme="minorHAnsi"/>
          <w:szCs w:val="20"/>
        </w:rPr>
        <w:t>municipalised long before their expected expiry date, as for example in the case of London transport, many water PPPs on all continents, a number of IPPs in energy, and some toll roads. Additionally, changes in political context – such as in Argentina in 200</w:t>
      </w:r>
      <w:r w:rsidR="00EF78BD">
        <w:rPr>
          <w:rFonts w:cstheme="minorHAnsi"/>
          <w:szCs w:val="20"/>
        </w:rPr>
        <w:t>1</w:t>
      </w:r>
      <w:r w:rsidRPr="00216A71">
        <w:rPr>
          <w:rFonts w:cstheme="minorHAnsi"/>
          <w:szCs w:val="20"/>
        </w:rPr>
        <w:t>, or Arab countries after the spring uprisings of 2011, or the Troika interventions in some southern European countries following the financial crisis – may lead to a change in the rules. While this may not deter short-term high risk investors such as hedge fund</w:t>
      </w:r>
      <w:r w:rsidR="00EF78BD">
        <w:rPr>
          <w:rFonts w:cstheme="minorHAnsi"/>
          <w:szCs w:val="20"/>
        </w:rPr>
        <w:t>s</w:t>
      </w:r>
      <w:r w:rsidRPr="00216A71">
        <w:rPr>
          <w:rFonts w:cstheme="minorHAnsi"/>
          <w:szCs w:val="20"/>
        </w:rPr>
        <w:t xml:space="preserve">, pension funds have to take a longer-term view. </w:t>
      </w:r>
    </w:p>
    <w:p w:rsidR="007B02A2" w:rsidRPr="00216A71" w:rsidRDefault="007B02A2" w:rsidP="00863FAE">
      <w:pPr>
        <w:rPr>
          <w:rFonts w:cstheme="minorHAnsi"/>
          <w:szCs w:val="20"/>
        </w:rPr>
      </w:pPr>
      <w:r w:rsidRPr="00216A71">
        <w:rPr>
          <w:rFonts w:cstheme="minorHAnsi"/>
          <w:szCs w:val="20"/>
        </w:rPr>
        <w:t>There is no need to invest in the private sector in order to invest in infrastructure. PPPs only represent a minority of all infrastructure in OECD countries, between 0</w:t>
      </w:r>
      <w:r w:rsidR="00A42FDE">
        <w:rPr>
          <w:rFonts w:cstheme="minorHAnsi"/>
          <w:szCs w:val="20"/>
        </w:rPr>
        <w:t xml:space="preserve"> per cent</w:t>
      </w:r>
      <w:r w:rsidRPr="00216A71">
        <w:rPr>
          <w:rFonts w:cstheme="minorHAnsi"/>
          <w:szCs w:val="20"/>
        </w:rPr>
        <w:t xml:space="preserve"> (eg</w:t>
      </w:r>
      <w:r w:rsidR="00FF6D63">
        <w:rPr>
          <w:rFonts w:cstheme="minorHAnsi"/>
          <w:szCs w:val="20"/>
        </w:rPr>
        <w:t>.</w:t>
      </w:r>
      <w:r w:rsidRPr="00216A71">
        <w:rPr>
          <w:rFonts w:cstheme="minorHAnsi"/>
          <w:szCs w:val="20"/>
        </w:rPr>
        <w:t xml:space="preserve"> in Sweden) and a maximum of 15</w:t>
      </w:r>
      <w:r w:rsidR="00A42FDE">
        <w:rPr>
          <w:rFonts w:cstheme="minorHAnsi"/>
          <w:szCs w:val="20"/>
        </w:rPr>
        <w:t xml:space="preserve"> per cent</w:t>
      </w:r>
      <w:r w:rsidRPr="00216A71">
        <w:rPr>
          <w:rFonts w:cstheme="minorHAnsi"/>
          <w:szCs w:val="20"/>
        </w:rPr>
        <w:t xml:space="preserve"> (the UK).</w:t>
      </w:r>
      <w:r w:rsidR="00275BFE" w:rsidRPr="00216A71">
        <w:rPr>
          <w:rStyle w:val="EndnoteReference"/>
          <w:rFonts w:cstheme="minorHAnsi"/>
          <w:szCs w:val="20"/>
        </w:rPr>
        <w:endnoteReference w:id="249"/>
      </w:r>
      <w:r w:rsidR="00275BFE">
        <w:rPr>
          <w:rFonts w:cstheme="minorHAnsi"/>
          <w:szCs w:val="20"/>
        </w:rPr>
        <w:t xml:space="preserve"> </w:t>
      </w:r>
      <w:r w:rsidRPr="00216A71">
        <w:rPr>
          <w:rFonts w:cstheme="minorHAnsi"/>
          <w:szCs w:val="20"/>
        </w:rPr>
        <w:t>Pension funds can better invest in infrastructure development through bonds issued by governments or municipalities or public sector companies to finance the building of new</w:t>
      </w:r>
      <w:r w:rsidR="004045AD">
        <w:rPr>
          <w:rFonts w:cstheme="minorHAnsi"/>
          <w:szCs w:val="20"/>
        </w:rPr>
        <w:t xml:space="preserve"> </w:t>
      </w:r>
      <w:r w:rsidRPr="00216A71">
        <w:rPr>
          <w:rFonts w:cstheme="minorHAnsi"/>
          <w:szCs w:val="20"/>
        </w:rPr>
        <w:t>water, energy, transport, healthcare or education systems.</w:t>
      </w:r>
    </w:p>
    <w:p w:rsidR="00863FAE" w:rsidRPr="00216A71" w:rsidRDefault="007B02A2" w:rsidP="00FE28D3">
      <w:pPr>
        <w:pStyle w:val="Heading2"/>
        <w:rPr>
          <w:rFonts w:asciiTheme="minorHAnsi" w:hAnsiTheme="minorHAnsi" w:cstheme="minorHAnsi"/>
        </w:rPr>
      </w:pPr>
      <w:bookmarkStart w:id="215" w:name="_Toc392857566"/>
      <w:r w:rsidRPr="00216A71">
        <w:rPr>
          <w:rFonts w:asciiTheme="minorHAnsi" w:hAnsiTheme="minorHAnsi" w:cstheme="minorHAnsi"/>
        </w:rPr>
        <w:t>Wider social impact</w:t>
      </w:r>
      <w:r w:rsidR="00863FAE" w:rsidRPr="00216A71">
        <w:rPr>
          <w:rFonts w:asciiTheme="minorHAnsi" w:hAnsiTheme="minorHAnsi" w:cstheme="minorHAnsi"/>
        </w:rPr>
        <w:t xml:space="preserve"> of investing in PPPs</w:t>
      </w:r>
      <w:bookmarkEnd w:id="215"/>
    </w:p>
    <w:p w:rsidR="007C1B39" w:rsidRPr="00216A71" w:rsidRDefault="007B02A2" w:rsidP="007C1B39">
      <w:pPr>
        <w:rPr>
          <w:rFonts w:cstheme="minorHAnsi"/>
          <w:szCs w:val="20"/>
        </w:rPr>
      </w:pPr>
      <w:r w:rsidRPr="00216A71">
        <w:rPr>
          <w:rFonts w:cstheme="minorHAnsi"/>
          <w:szCs w:val="20"/>
        </w:rPr>
        <w:t xml:space="preserve">Pension funds also have to be concerned about </w:t>
      </w:r>
      <w:r w:rsidR="005474A3" w:rsidRPr="00216A71">
        <w:rPr>
          <w:rFonts w:cstheme="minorHAnsi"/>
          <w:szCs w:val="20"/>
        </w:rPr>
        <w:t xml:space="preserve">the negative social and economic impact of PPPs themselves. As shown elsewhere in this paper, PPPs increase the risk of corruption, distort public investment decisions, </w:t>
      </w:r>
      <w:r w:rsidR="000A0F59" w:rsidRPr="00216A71">
        <w:rPr>
          <w:rFonts w:cstheme="minorHAnsi"/>
          <w:szCs w:val="20"/>
        </w:rPr>
        <w:t xml:space="preserve">often require some sort of 'user pay' arrangement to provide the necessary profits, </w:t>
      </w:r>
      <w:r w:rsidR="005474A3" w:rsidRPr="00216A71">
        <w:rPr>
          <w:rFonts w:cstheme="minorHAnsi"/>
          <w:szCs w:val="20"/>
        </w:rPr>
        <w:t xml:space="preserve">undermine democratic governance, increase the cost of infrastructure, undermine </w:t>
      </w:r>
      <w:r w:rsidR="006D1C30" w:rsidRPr="00216A71">
        <w:rPr>
          <w:rFonts w:cstheme="minorHAnsi"/>
          <w:szCs w:val="20"/>
        </w:rPr>
        <w:t>pay and conditions of workers, and</w:t>
      </w:r>
      <w:r w:rsidR="004045AD">
        <w:rPr>
          <w:rFonts w:cstheme="minorHAnsi"/>
          <w:szCs w:val="20"/>
        </w:rPr>
        <w:t xml:space="preserve"> </w:t>
      </w:r>
      <w:r w:rsidR="006D1C30" w:rsidRPr="00216A71">
        <w:rPr>
          <w:rFonts w:cstheme="minorHAnsi"/>
          <w:szCs w:val="20"/>
        </w:rPr>
        <w:t>have a much weaker</w:t>
      </w:r>
      <w:r w:rsidR="005474A3" w:rsidRPr="00216A71">
        <w:rPr>
          <w:rFonts w:cstheme="minorHAnsi"/>
          <w:szCs w:val="20"/>
        </w:rPr>
        <w:t xml:space="preserve"> commitment to good quality services. Many financial organisations such as private banks and hedge funds are not concerned with these issues, but pension funds aim to provide decent incomes and living conditions for retired workers</w:t>
      </w:r>
      <w:r w:rsidR="00EF78BD">
        <w:rPr>
          <w:rFonts w:cstheme="minorHAnsi"/>
          <w:szCs w:val="20"/>
        </w:rPr>
        <w:t>.</w:t>
      </w:r>
      <w:r w:rsidR="00B151C0" w:rsidRPr="00216A71">
        <w:rPr>
          <w:rFonts w:cstheme="minorHAnsi"/>
          <w:szCs w:val="20"/>
        </w:rPr>
        <w:t xml:space="preserve"> </w:t>
      </w:r>
      <w:r w:rsidR="00EF78BD">
        <w:rPr>
          <w:rFonts w:cstheme="minorHAnsi"/>
          <w:szCs w:val="20"/>
        </w:rPr>
        <w:t>I</w:t>
      </w:r>
      <w:r w:rsidR="005474A3" w:rsidRPr="00216A71">
        <w:rPr>
          <w:rFonts w:cstheme="minorHAnsi"/>
          <w:szCs w:val="20"/>
        </w:rPr>
        <w:t>nvesting in PPPs therefore undermines this objective.</w:t>
      </w:r>
      <w:r w:rsidR="000A0F59" w:rsidRPr="00216A71">
        <w:rPr>
          <w:rFonts w:cstheme="minorHAnsi"/>
          <w:szCs w:val="20"/>
        </w:rPr>
        <w:t xml:space="preserve"> </w:t>
      </w:r>
      <w:r w:rsidRPr="00216A71">
        <w:rPr>
          <w:rFonts w:cstheme="minorHAnsi"/>
          <w:szCs w:val="20"/>
        </w:rPr>
        <w:t>B</w:t>
      </w:r>
      <w:r w:rsidR="00B151C0" w:rsidRPr="00216A71">
        <w:rPr>
          <w:rFonts w:cstheme="minorHAnsi"/>
          <w:szCs w:val="20"/>
        </w:rPr>
        <w:t xml:space="preserve">y investing in PPPs, pension funds are actively </w:t>
      </w:r>
      <w:r w:rsidRPr="00216A71">
        <w:rPr>
          <w:rFonts w:cstheme="minorHAnsi"/>
          <w:szCs w:val="20"/>
        </w:rPr>
        <w:t>contributing to these problems</w:t>
      </w:r>
      <w:r w:rsidR="00B151C0" w:rsidRPr="00216A71">
        <w:rPr>
          <w:rFonts w:cstheme="minorHAnsi"/>
          <w:szCs w:val="20"/>
        </w:rPr>
        <w:t xml:space="preserve">. </w:t>
      </w:r>
    </w:p>
    <w:p w:rsidR="005F0608" w:rsidRPr="00216A71" w:rsidRDefault="005F0608" w:rsidP="00CE1FBB">
      <w:pPr>
        <w:pStyle w:val="Heading1"/>
      </w:pPr>
      <w:bookmarkStart w:id="216" w:name="_Toc392857567"/>
      <w:r w:rsidRPr="00216A71">
        <w:t>Annexe:</w:t>
      </w:r>
      <w:r w:rsidR="004045AD">
        <w:t xml:space="preserve"> </w:t>
      </w:r>
      <w:r w:rsidRPr="00216A71">
        <w:t xml:space="preserve">OECD </w:t>
      </w:r>
      <w:r w:rsidR="006350DB" w:rsidRPr="00216A71">
        <w:t xml:space="preserve">and World Bank Institute </w:t>
      </w:r>
      <w:r w:rsidRPr="00216A71">
        <w:t>on governance and disclosure</w:t>
      </w:r>
      <w:bookmarkEnd w:id="216"/>
    </w:p>
    <w:p w:rsidR="00EF78BD" w:rsidRPr="00EF78BD" w:rsidRDefault="00EF78BD" w:rsidP="00EF78BD">
      <w:pPr>
        <w:pStyle w:val="ListParagraph"/>
        <w:keepNext/>
        <w:numPr>
          <w:ilvl w:val="0"/>
          <w:numId w:val="16"/>
        </w:numPr>
        <w:spacing w:before="240" w:after="60"/>
        <w:contextualSpacing w:val="0"/>
        <w:outlineLvl w:val="1"/>
        <w:rPr>
          <w:rFonts w:cstheme="minorHAnsi"/>
          <w:b/>
          <w:bCs/>
          <w:iCs/>
          <w:vanish/>
          <w:szCs w:val="20"/>
        </w:rPr>
      </w:pPr>
    </w:p>
    <w:p w:rsidR="00680EC6" w:rsidRPr="00216A71" w:rsidRDefault="00680EC6" w:rsidP="00EF78BD">
      <w:pPr>
        <w:pStyle w:val="Heading2"/>
      </w:pPr>
      <w:bookmarkStart w:id="217" w:name="_Toc392857568"/>
      <w:r w:rsidRPr="00216A71">
        <w:t>OECD Principles for governance of PPP projects</w:t>
      </w:r>
      <w:bookmarkEnd w:id="217"/>
    </w:p>
    <w:p w:rsidR="00680EC6" w:rsidRPr="00216A71" w:rsidRDefault="00680EC6" w:rsidP="00680EC6">
      <w:pPr>
        <w:rPr>
          <w:rFonts w:cstheme="minorHAnsi"/>
          <w:szCs w:val="20"/>
        </w:rPr>
      </w:pPr>
    </w:p>
    <w:p w:rsidR="00680EC6" w:rsidRPr="00216A71" w:rsidRDefault="00680EC6" w:rsidP="00680EC6">
      <w:pPr>
        <w:rPr>
          <w:rFonts w:cstheme="minorHAnsi"/>
          <w:szCs w:val="20"/>
        </w:rPr>
      </w:pPr>
      <w:r w:rsidRPr="00216A71">
        <w:rPr>
          <w:rFonts w:cstheme="minorHAnsi"/>
          <w:b/>
          <w:bCs/>
          <w:szCs w:val="20"/>
        </w:rPr>
        <w:t xml:space="preserve">Recommendation of the </w:t>
      </w:r>
      <w:r w:rsidR="00EF78BD">
        <w:rPr>
          <w:rFonts w:cstheme="minorHAnsi"/>
          <w:b/>
          <w:bCs/>
          <w:szCs w:val="20"/>
        </w:rPr>
        <w:t xml:space="preserve">Organisation for Economic Cooperation and Development </w:t>
      </w:r>
      <w:r w:rsidRPr="00216A71">
        <w:rPr>
          <w:rFonts w:cstheme="minorHAnsi"/>
          <w:b/>
          <w:bCs/>
          <w:szCs w:val="20"/>
        </w:rPr>
        <w:t>Council on Principles for Public Governance of Public-Private Partnerships</w:t>
      </w:r>
      <w:r w:rsidR="00EF78BD">
        <w:rPr>
          <w:rStyle w:val="EndnoteReference"/>
          <w:rFonts w:cstheme="minorHAnsi"/>
          <w:b/>
          <w:bCs/>
          <w:szCs w:val="20"/>
        </w:rPr>
        <w:endnoteReference w:id="250"/>
      </w:r>
    </w:p>
    <w:p w:rsidR="00680EC6" w:rsidRPr="00216A71" w:rsidRDefault="00680EC6" w:rsidP="00680EC6">
      <w:pPr>
        <w:rPr>
          <w:rFonts w:cstheme="minorHAnsi"/>
          <w:szCs w:val="20"/>
        </w:rPr>
      </w:pPr>
      <w:r w:rsidRPr="00216A71">
        <w:rPr>
          <w:rFonts w:cstheme="minorHAnsi"/>
          <w:szCs w:val="20"/>
        </w:rPr>
        <w:t>The Council …:</w:t>
      </w:r>
    </w:p>
    <w:p w:rsidR="000C629A" w:rsidRDefault="00680EC6" w:rsidP="00680EC6">
      <w:pPr>
        <w:pStyle w:val="ListParagraph"/>
        <w:numPr>
          <w:ilvl w:val="0"/>
          <w:numId w:val="47"/>
        </w:numPr>
        <w:rPr>
          <w:rFonts w:cstheme="minorHAnsi"/>
          <w:szCs w:val="20"/>
        </w:rPr>
      </w:pPr>
      <w:r w:rsidRPr="00216A71">
        <w:rPr>
          <w:rFonts w:cstheme="minorHAnsi"/>
          <w:szCs w:val="20"/>
        </w:rPr>
        <w:t>Recommends that Members take due account of the Principles for public governance of Public-Private Partnerships set out below:</w:t>
      </w:r>
    </w:p>
    <w:p w:rsidR="00680EC6" w:rsidRPr="00216A71" w:rsidRDefault="00680EC6" w:rsidP="00680EC6">
      <w:pPr>
        <w:ind w:left="360"/>
        <w:rPr>
          <w:rFonts w:cstheme="minorHAnsi"/>
          <w:szCs w:val="20"/>
        </w:rPr>
      </w:pPr>
      <w:r w:rsidRPr="00216A71">
        <w:rPr>
          <w:rFonts w:cstheme="minorHAnsi"/>
          <w:b/>
          <w:bCs/>
          <w:szCs w:val="20"/>
        </w:rPr>
        <w:t>A. Establish a clear, predictable and legitimate institutional framework supported by competent and well-resourced authorities</w:t>
      </w:r>
    </w:p>
    <w:p w:rsidR="00680EC6" w:rsidRPr="00216A71" w:rsidRDefault="00680EC6" w:rsidP="00680EC6">
      <w:pPr>
        <w:ind w:left="360"/>
        <w:rPr>
          <w:rFonts w:cstheme="minorHAnsi"/>
          <w:szCs w:val="20"/>
        </w:rPr>
      </w:pPr>
      <w:r w:rsidRPr="00216A71">
        <w:rPr>
          <w:rFonts w:cstheme="minorHAnsi"/>
          <w:szCs w:val="20"/>
        </w:rPr>
        <w:t>1. The political leadership should ensure public awareness of the relative costs, benefits and risks of Public-Private Partnerships and conventional procurement. Popular understanding of Public-Private Partnerships requires active consultation and engagement with stakeholders as well as involving end-users in defining the project and subsequently in monitoring service quality.</w:t>
      </w:r>
    </w:p>
    <w:p w:rsidR="00680EC6" w:rsidRPr="00216A71" w:rsidRDefault="00680EC6" w:rsidP="00680EC6">
      <w:pPr>
        <w:ind w:left="360"/>
        <w:rPr>
          <w:rFonts w:cstheme="minorHAnsi"/>
          <w:szCs w:val="20"/>
        </w:rPr>
      </w:pPr>
      <w:r w:rsidRPr="00216A71">
        <w:rPr>
          <w:rFonts w:cstheme="minorHAnsi"/>
          <w:szCs w:val="20"/>
        </w:rPr>
        <w:t xml:space="preserve">2. Key institutional roles and responsibilities should be maintained. This requires that procuring authorities, Public-Private Partnerships Units, the Central Budget Authority, the Supreme Audit Institution and sector regulators are entrusted with clear mandates and sufficient resources to ensure a prudent procurement process and clear lines of accountability. </w:t>
      </w:r>
    </w:p>
    <w:p w:rsidR="000C629A" w:rsidRDefault="00680EC6" w:rsidP="00680EC6">
      <w:pPr>
        <w:ind w:left="360"/>
        <w:rPr>
          <w:rFonts w:cstheme="minorHAnsi"/>
          <w:szCs w:val="20"/>
        </w:rPr>
      </w:pPr>
      <w:r w:rsidRPr="00216A71">
        <w:rPr>
          <w:rFonts w:cstheme="minorHAnsi"/>
          <w:szCs w:val="20"/>
        </w:rPr>
        <w:t>3. Ensure that all significant regulation affecting the operation of Public-Private Partnerships is clear, transparent and enforced. Red tape should be minimised and new and existing regulations should be carefully evaluated.</w:t>
      </w:r>
    </w:p>
    <w:p w:rsidR="00680EC6" w:rsidRPr="00216A71" w:rsidRDefault="00680EC6" w:rsidP="00680EC6">
      <w:pPr>
        <w:ind w:left="360"/>
        <w:rPr>
          <w:rFonts w:cstheme="minorHAnsi"/>
          <w:szCs w:val="20"/>
        </w:rPr>
      </w:pPr>
      <w:r w:rsidRPr="00216A71">
        <w:rPr>
          <w:rFonts w:cstheme="minorHAnsi"/>
          <w:b/>
          <w:bCs/>
          <w:szCs w:val="20"/>
        </w:rPr>
        <w:t>B. Ground the selection of Public-Private Partnerships in Value for Money</w:t>
      </w:r>
    </w:p>
    <w:p w:rsidR="00680EC6" w:rsidRPr="00216A71" w:rsidRDefault="00680EC6" w:rsidP="00680EC6">
      <w:pPr>
        <w:ind w:left="360"/>
        <w:rPr>
          <w:rFonts w:cstheme="minorHAnsi"/>
          <w:szCs w:val="20"/>
        </w:rPr>
      </w:pPr>
      <w:r w:rsidRPr="00216A71">
        <w:rPr>
          <w:rFonts w:cstheme="minorHAnsi"/>
          <w:szCs w:val="20"/>
        </w:rPr>
        <w:t xml:space="preserve">4. All investment projects should be prioritised at senior political level. As there are many competing investment priorities, it is the responsibility of government to define and pursue strategic goals. The </w:t>
      </w:r>
      <w:r w:rsidRPr="00216A71">
        <w:rPr>
          <w:rFonts w:cstheme="minorHAnsi"/>
          <w:szCs w:val="20"/>
        </w:rPr>
        <w:lastRenderedPageBreak/>
        <w:t>decision to invest should be based on a whole of government perspective and be separate from how to procure and finance the project. There should be no institutional, procedural or accounting bias either in favour of or against Public-Private Partnerships.</w:t>
      </w:r>
    </w:p>
    <w:p w:rsidR="00680EC6" w:rsidRPr="00216A71" w:rsidRDefault="00680EC6" w:rsidP="00680EC6">
      <w:pPr>
        <w:ind w:left="360"/>
        <w:rPr>
          <w:rFonts w:cstheme="minorHAnsi"/>
          <w:szCs w:val="20"/>
        </w:rPr>
      </w:pPr>
      <w:r w:rsidRPr="00216A71">
        <w:rPr>
          <w:rFonts w:cstheme="minorHAnsi"/>
          <w:szCs w:val="20"/>
        </w:rPr>
        <w:t>5. Carefully investigate which investment method is likely to yield most value for money. Key risk factors and characteristics of specific projects should be evaluated by conducting a procurement option pre-test. A procurement option pre-test should enable the government to decide on whether it is prudent to investigate a Public-Private Partnerships option further.</w:t>
      </w:r>
    </w:p>
    <w:p w:rsidR="00680EC6" w:rsidRPr="00216A71" w:rsidRDefault="00680EC6" w:rsidP="00680EC6">
      <w:pPr>
        <w:ind w:left="360"/>
        <w:rPr>
          <w:rFonts w:cstheme="minorHAnsi"/>
          <w:szCs w:val="20"/>
        </w:rPr>
      </w:pPr>
      <w:r w:rsidRPr="00216A71">
        <w:rPr>
          <w:rFonts w:cstheme="minorHAnsi"/>
          <w:szCs w:val="20"/>
        </w:rPr>
        <w:t>6. Transfer the risks to those that manage them best. Risk should be defined, identified and measured and carried by the party for whom it costs the least to prevent the risk from realising or for whom realised risk costs the least.</w:t>
      </w:r>
    </w:p>
    <w:p w:rsidR="00680EC6" w:rsidRPr="00216A71" w:rsidRDefault="00680EC6" w:rsidP="00680EC6">
      <w:pPr>
        <w:ind w:left="360"/>
        <w:rPr>
          <w:rFonts w:cstheme="minorHAnsi"/>
          <w:szCs w:val="20"/>
        </w:rPr>
      </w:pPr>
      <w:r w:rsidRPr="00216A71">
        <w:rPr>
          <w:rFonts w:cstheme="minorHAnsi"/>
          <w:szCs w:val="20"/>
        </w:rPr>
        <w:t>7. The procuring authorities should be prepared for the operational phase of the Public-Private Partnerships. Securing value for money requires vigilance and effort of the same intensity as that necessary during the pre-operational phase. Particular care should be taken when switching to the operational phase of the Public-Private Partnerships, as the actors on the public side are liable to change.</w:t>
      </w:r>
    </w:p>
    <w:p w:rsidR="00680EC6" w:rsidRPr="00216A71" w:rsidRDefault="00680EC6" w:rsidP="00680EC6">
      <w:pPr>
        <w:ind w:left="360"/>
        <w:rPr>
          <w:rFonts w:cstheme="minorHAnsi"/>
          <w:szCs w:val="20"/>
        </w:rPr>
      </w:pPr>
      <w:r w:rsidRPr="00216A71">
        <w:rPr>
          <w:rFonts w:cstheme="minorHAnsi"/>
          <w:szCs w:val="20"/>
        </w:rPr>
        <w:t>8. Value for money should be maintained when renegotiating. Only if conditions change due to discretionary public policy actions should the government consider compensating the private sector. Any re-negotiation should be made transparently and subject to the ordinary procedures of Public-Private Partnership approval. Clear, predictable and transparent rules for dispute resolution should be in place</w:t>
      </w:r>
      <w:r w:rsidR="00EF78BD">
        <w:rPr>
          <w:rFonts w:cstheme="minorHAnsi"/>
          <w:szCs w:val="20"/>
        </w:rPr>
        <w:t>.</w:t>
      </w:r>
    </w:p>
    <w:p w:rsidR="000C629A" w:rsidRDefault="00680EC6" w:rsidP="00680EC6">
      <w:pPr>
        <w:ind w:left="360"/>
        <w:rPr>
          <w:rFonts w:cstheme="minorHAnsi"/>
          <w:szCs w:val="20"/>
        </w:rPr>
      </w:pPr>
      <w:r w:rsidRPr="00216A71">
        <w:rPr>
          <w:rFonts w:cstheme="minorHAnsi"/>
          <w:szCs w:val="20"/>
        </w:rPr>
        <w:t>9. Government should ensure there is sufficient competition in the market by a competitive tender process and by possibly structuring the Public-Private Partnerships program so that there is an ongoing functional market. Where market operators are few, governments should ensure a level playing field in the tendering process so that non-incumbent operators can enter the market.</w:t>
      </w:r>
    </w:p>
    <w:p w:rsidR="00680EC6" w:rsidRPr="00216A71" w:rsidRDefault="00680EC6" w:rsidP="00680EC6">
      <w:pPr>
        <w:ind w:left="360"/>
        <w:rPr>
          <w:rFonts w:cstheme="minorHAnsi"/>
          <w:szCs w:val="20"/>
        </w:rPr>
      </w:pPr>
      <w:r w:rsidRPr="00216A71">
        <w:rPr>
          <w:rFonts w:cstheme="minorHAnsi"/>
          <w:b/>
          <w:bCs/>
          <w:szCs w:val="20"/>
        </w:rPr>
        <w:t>C. Use the budgetary process transparently to minimise fiscal risks and ensure the integrity of the procurement process</w:t>
      </w:r>
    </w:p>
    <w:p w:rsidR="00680EC6" w:rsidRPr="00216A71" w:rsidRDefault="00680EC6" w:rsidP="00680EC6">
      <w:pPr>
        <w:ind w:left="360"/>
        <w:rPr>
          <w:rFonts w:cstheme="minorHAnsi"/>
          <w:szCs w:val="20"/>
        </w:rPr>
      </w:pPr>
      <w:r w:rsidRPr="00216A71">
        <w:rPr>
          <w:rFonts w:cstheme="minorHAnsi"/>
          <w:szCs w:val="20"/>
        </w:rPr>
        <w:t>10. In line with the government’s fiscal policy, the Central Budget Authority should ensure that the project is affordable and the overall investment envelope is sustainable.</w:t>
      </w:r>
    </w:p>
    <w:p w:rsidR="00680EC6" w:rsidRPr="00216A71" w:rsidRDefault="00680EC6" w:rsidP="00680EC6">
      <w:pPr>
        <w:ind w:left="360"/>
        <w:rPr>
          <w:rFonts w:cstheme="minorHAnsi"/>
          <w:szCs w:val="20"/>
        </w:rPr>
      </w:pPr>
      <w:r w:rsidRPr="00216A71">
        <w:rPr>
          <w:rFonts w:cstheme="minorHAnsi"/>
          <w:szCs w:val="20"/>
        </w:rPr>
        <w:t>11. The project should be treated transparently in the budget process. The budget documentation should disclose all costs and contingent liabilities. Special care should be taken to ensure that budget transparency of Public-Private Partnerships covers the whole public sector.</w:t>
      </w:r>
    </w:p>
    <w:p w:rsidR="000C629A" w:rsidRDefault="00680EC6" w:rsidP="00680EC6">
      <w:pPr>
        <w:ind w:left="360"/>
        <w:rPr>
          <w:rFonts w:cstheme="minorHAnsi"/>
          <w:szCs w:val="20"/>
        </w:rPr>
      </w:pPr>
      <w:r w:rsidRPr="00216A71">
        <w:rPr>
          <w:rFonts w:cstheme="minorHAnsi"/>
          <w:szCs w:val="20"/>
        </w:rPr>
        <w:t>12. Government should guard against waste and corruption by ensuring the integrity of the procurement process. The necessary procurement skills and powers should be made available to the relevant authorities.</w:t>
      </w:r>
    </w:p>
    <w:p w:rsidR="00680EC6" w:rsidRPr="00216A71" w:rsidRDefault="00680EC6" w:rsidP="00680EC6">
      <w:pPr>
        <w:rPr>
          <w:rFonts w:cstheme="minorHAnsi"/>
          <w:szCs w:val="20"/>
        </w:rPr>
      </w:pPr>
      <w:r w:rsidRPr="00216A71">
        <w:rPr>
          <w:rFonts w:cstheme="minorHAnsi"/>
          <w:szCs w:val="20"/>
        </w:rPr>
        <w:t xml:space="preserve">II. Recommends that Members take appropriate steps to ensure that Public-Private Partnerships are affordable, represent value for money and are transparently treated in the budget process, in accordance with the principles expressed in this Recommendation, which are recalled and further developed in the Annex to this Recommendation of which it forms an integral part. </w:t>
      </w:r>
    </w:p>
    <w:p w:rsidR="00680EC6" w:rsidRPr="00216A71" w:rsidRDefault="00680EC6" w:rsidP="00680EC6">
      <w:pPr>
        <w:rPr>
          <w:rFonts w:cstheme="minorHAnsi"/>
          <w:szCs w:val="20"/>
        </w:rPr>
      </w:pPr>
      <w:r w:rsidRPr="00216A71">
        <w:rPr>
          <w:rFonts w:cstheme="minorHAnsi"/>
          <w:szCs w:val="20"/>
        </w:rPr>
        <w:t>III. Invites Members and the Secretary-General to disseminate this Recommendation.</w:t>
      </w:r>
    </w:p>
    <w:p w:rsidR="00680EC6" w:rsidRPr="00216A71" w:rsidRDefault="00680EC6" w:rsidP="00680EC6">
      <w:pPr>
        <w:rPr>
          <w:rFonts w:cstheme="minorHAnsi"/>
          <w:szCs w:val="20"/>
        </w:rPr>
      </w:pPr>
      <w:r w:rsidRPr="00216A71">
        <w:rPr>
          <w:rFonts w:cstheme="minorHAnsi"/>
          <w:szCs w:val="20"/>
        </w:rPr>
        <w:t>IV. Invites non-Members to take account of and adhere to this Recommendation.</w:t>
      </w:r>
    </w:p>
    <w:p w:rsidR="00CE3EAF" w:rsidRPr="00216A71" w:rsidRDefault="00680EC6" w:rsidP="00680EC6">
      <w:pPr>
        <w:rPr>
          <w:rFonts w:cstheme="minorHAnsi"/>
          <w:szCs w:val="20"/>
        </w:rPr>
      </w:pPr>
      <w:r w:rsidRPr="00216A71">
        <w:rPr>
          <w:rFonts w:cstheme="minorHAnsi"/>
          <w:szCs w:val="20"/>
        </w:rPr>
        <w:t>V. Instructs the Public Governance Committee to monitor the implementation of this Recommendation and to report thereon to the Council no later than three years following its adoption and regularly thereafter, in consultation with other relevant OECD Committees, including the Investment Committee.</w:t>
      </w:r>
    </w:p>
    <w:p w:rsidR="00CE3EAF" w:rsidRPr="00216A71" w:rsidRDefault="00CE3EAF">
      <w:pPr>
        <w:rPr>
          <w:rFonts w:cstheme="minorHAnsi"/>
          <w:szCs w:val="20"/>
        </w:rPr>
      </w:pPr>
      <w:r w:rsidRPr="00216A71">
        <w:rPr>
          <w:rFonts w:cstheme="minorHAnsi"/>
          <w:szCs w:val="20"/>
        </w:rPr>
        <w:br w:type="page"/>
      </w:r>
    </w:p>
    <w:p w:rsidR="005F0608" w:rsidRPr="00216A71" w:rsidRDefault="005F0608" w:rsidP="00FE28D3">
      <w:pPr>
        <w:pStyle w:val="Heading2"/>
        <w:rPr>
          <w:rFonts w:asciiTheme="minorHAnsi" w:hAnsiTheme="minorHAnsi" w:cstheme="minorHAnsi"/>
        </w:rPr>
      </w:pPr>
      <w:bookmarkStart w:id="218" w:name="_Toc392857569"/>
      <w:r w:rsidRPr="00216A71">
        <w:rPr>
          <w:rFonts w:asciiTheme="minorHAnsi" w:hAnsiTheme="minorHAnsi" w:cstheme="minorHAnsi"/>
        </w:rPr>
        <w:lastRenderedPageBreak/>
        <w:t>World Bank Institute</w:t>
      </w:r>
      <w:bookmarkEnd w:id="218"/>
    </w:p>
    <w:p w:rsidR="005F0608" w:rsidRPr="00216A71" w:rsidRDefault="005F0608" w:rsidP="00FE28D3">
      <w:pPr>
        <w:pStyle w:val="Heading7"/>
        <w:rPr>
          <w:rFonts w:asciiTheme="minorHAnsi" w:hAnsiTheme="minorHAnsi" w:cstheme="minorHAnsi"/>
        </w:rPr>
      </w:pPr>
      <w:r w:rsidRPr="00216A71">
        <w:rPr>
          <w:rFonts w:asciiTheme="minorHAnsi" w:hAnsiTheme="minorHAnsi" w:cstheme="minorHAnsi"/>
        </w:rPr>
        <w:t>WBI Recommended disclosure practice (WBI 2013 Table 2)</w:t>
      </w:r>
      <w:r w:rsidR="00EF78BD">
        <w:rPr>
          <w:rStyle w:val="EndnoteReference"/>
          <w:rFonts w:asciiTheme="minorHAnsi" w:hAnsiTheme="minorHAnsi" w:cstheme="minorHAnsi"/>
        </w:rPr>
        <w:endnoteReference w:id="251"/>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6804"/>
      </w:tblGrid>
      <w:tr w:rsidR="005F0608" w:rsidRPr="00216A71" w:rsidTr="005F0608">
        <w:trPr>
          <w:trHeight w:val="300"/>
        </w:trPr>
        <w:tc>
          <w:tcPr>
            <w:tcW w:w="2992" w:type="dxa"/>
            <w:shd w:val="clear" w:color="auto" w:fill="auto"/>
            <w:noWrap/>
            <w:vAlign w:val="center"/>
          </w:tcPr>
          <w:p w:rsidR="005F0608" w:rsidRPr="00216A71" w:rsidRDefault="005F0608" w:rsidP="005F0608">
            <w:pPr>
              <w:rPr>
                <w:rFonts w:cstheme="minorHAnsi"/>
                <w:b/>
                <w:color w:val="000000"/>
                <w:szCs w:val="20"/>
              </w:rPr>
            </w:pPr>
            <w:r w:rsidRPr="00216A71">
              <w:rPr>
                <w:rFonts w:cstheme="minorHAnsi"/>
                <w:b/>
                <w:color w:val="000000"/>
                <w:szCs w:val="20"/>
              </w:rPr>
              <w:t>Documents and reports disclosed</w:t>
            </w:r>
          </w:p>
        </w:tc>
        <w:tc>
          <w:tcPr>
            <w:tcW w:w="6804" w:type="dxa"/>
            <w:shd w:val="clear" w:color="auto" w:fill="auto"/>
            <w:noWrap/>
            <w:vAlign w:val="center"/>
          </w:tcPr>
          <w:p w:rsidR="005F0608" w:rsidRPr="00216A71" w:rsidRDefault="005F0608" w:rsidP="005F0608">
            <w:pPr>
              <w:rPr>
                <w:rFonts w:cstheme="minorHAnsi"/>
                <w:color w:val="000000"/>
                <w:szCs w:val="20"/>
              </w:rPr>
            </w:pP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Contract and associated agreements</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Current contract and amendments including annexes and schedules with minimal redactions</w:t>
            </w:r>
            <w:r w:rsidR="002A17DD" w:rsidRPr="00216A71">
              <w:rPr>
                <w:rFonts w:cstheme="minorHAnsi"/>
                <w:color w:val="000000"/>
                <w:szCs w:val="20"/>
              </w:rPr>
              <w:t xml:space="preserve"> </w:t>
            </w:r>
            <w:r w:rsidRPr="00216A71">
              <w:rPr>
                <w:rFonts w:cstheme="minorHAnsi"/>
                <w:color w:val="000000"/>
                <w:szCs w:val="20"/>
              </w:rPr>
              <w:t>based on strict definitions of commercial confidentiality and national interest. The current version</w:t>
            </w:r>
            <w:r w:rsidR="002A17DD" w:rsidRPr="00216A71">
              <w:rPr>
                <w:rFonts w:cstheme="minorHAnsi"/>
                <w:color w:val="000000"/>
                <w:szCs w:val="20"/>
              </w:rPr>
              <w:t xml:space="preserve"> </w:t>
            </w:r>
            <w:r w:rsidRPr="00216A71">
              <w:rPr>
                <w:rFonts w:cstheme="minorHAnsi"/>
                <w:color w:val="000000"/>
                <w:szCs w:val="20"/>
              </w:rPr>
              <w:t>should include renegotiations and significant adjustments to contract parameters.</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Summary of contract and project</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Concise and plain language document providing relevant summary information on the project.</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Reports on implementation</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Performance reports from contract management authority.</w:t>
            </w:r>
            <w:r w:rsidR="004045AD">
              <w:rPr>
                <w:rFonts w:cstheme="minorHAnsi"/>
                <w:color w:val="000000"/>
                <w:szCs w:val="20"/>
              </w:rPr>
              <w:t xml:space="preserve"> </w:t>
            </w:r>
            <w:r w:rsidRPr="00216A71">
              <w:rPr>
                <w:rFonts w:cstheme="minorHAnsi"/>
                <w:color w:val="000000"/>
                <w:szCs w:val="20"/>
              </w:rPr>
              <w:t>Audit reports from Supreme Audit Authority.</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b/>
                <w:bCs/>
                <w:color w:val="000000"/>
                <w:szCs w:val="20"/>
              </w:rPr>
            </w:pPr>
            <w:r w:rsidRPr="00216A71">
              <w:rPr>
                <w:rFonts w:cstheme="minorHAnsi"/>
                <w:b/>
                <w:bCs/>
                <w:color w:val="000000"/>
                <w:szCs w:val="20"/>
              </w:rPr>
              <w:t>Information on project including rationale and procurement information</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 xml:space="preserve"> </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Project description</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 xml:space="preserve">Project name, location, sector and department. </w:t>
            </w:r>
          </w:p>
          <w:p w:rsidR="005F0608" w:rsidRPr="00216A71" w:rsidRDefault="005F0608" w:rsidP="005F0608">
            <w:pPr>
              <w:rPr>
                <w:rFonts w:cstheme="minorHAnsi"/>
                <w:color w:val="000000"/>
                <w:szCs w:val="20"/>
              </w:rPr>
            </w:pPr>
            <w:r w:rsidRPr="00216A71">
              <w:rPr>
                <w:rFonts w:cstheme="minorHAnsi"/>
                <w:color w:val="000000"/>
                <w:szCs w:val="20"/>
              </w:rPr>
              <w:t xml:space="preserve">Project value and technical description of the physical infrastructure the project will provide. </w:t>
            </w:r>
          </w:p>
          <w:p w:rsidR="005F0608" w:rsidRPr="00216A71" w:rsidRDefault="005F0608" w:rsidP="005F0608">
            <w:pPr>
              <w:rPr>
                <w:rFonts w:cstheme="minorHAnsi"/>
                <w:color w:val="000000"/>
                <w:szCs w:val="20"/>
              </w:rPr>
            </w:pPr>
            <w:r w:rsidRPr="00216A71">
              <w:rPr>
                <w:rFonts w:cstheme="minorHAnsi"/>
                <w:color w:val="000000"/>
                <w:szCs w:val="20"/>
              </w:rPr>
              <w:t>High level description of the services to be provided and approximate demand.</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 xml:space="preserve">Rationale for project and for PPP option </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 xml:space="preserve">The rationale for the project in terms of the balance of costs and benefits. </w:t>
            </w:r>
          </w:p>
          <w:p w:rsidR="005F0608" w:rsidRPr="00216A71" w:rsidRDefault="005F0608" w:rsidP="005F0608">
            <w:pPr>
              <w:rPr>
                <w:rFonts w:cstheme="minorHAnsi"/>
                <w:color w:val="000000"/>
                <w:szCs w:val="20"/>
              </w:rPr>
            </w:pPr>
            <w:r w:rsidRPr="00216A71">
              <w:rPr>
                <w:rFonts w:cstheme="minorHAnsi"/>
                <w:color w:val="000000"/>
                <w:szCs w:val="20"/>
              </w:rPr>
              <w:t>Reason for selection of PPP mode and for rejection of alternate modes considered.</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Description of tender process or other selection process</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 xml:space="preserve">Dates of milestones during the tender process: RFQ, Pre-qualification, RFP, announcement of short-listed bidders, final announcement of winning bidder. </w:t>
            </w:r>
          </w:p>
          <w:p w:rsidR="005F0608" w:rsidRPr="00216A71" w:rsidRDefault="005F0608" w:rsidP="00237AAF">
            <w:pPr>
              <w:rPr>
                <w:rFonts w:cstheme="minorHAnsi"/>
                <w:color w:val="000000"/>
                <w:szCs w:val="20"/>
              </w:rPr>
            </w:pPr>
            <w:r w:rsidRPr="00216A71">
              <w:rPr>
                <w:rFonts w:cstheme="minorHAnsi"/>
                <w:color w:val="000000"/>
                <w:szCs w:val="20"/>
              </w:rPr>
              <w:t>Assessment criteria: Brief description of each assessment criterion and its weight.</w:t>
            </w:r>
            <w:r w:rsidR="004045AD">
              <w:rPr>
                <w:rFonts w:cstheme="minorHAnsi"/>
                <w:color w:val="000000"/>
                <w:szCs w:val="20"/>
              </w:rPr>
              <w:t xml:space="preserve"> </w:t>
            </w:r>
            <w:r w:rsidRPr="00216A71">
              <w:rPr>
                <w:rFonts w:cstheme="minorHAnsi"/>
                <w:color w:val="000000"/>
                <w:szCs w:val="20"/>
              </w:rPr>
              <w:t>Bid evaluation reports (minus confidential information contained in them), as well as brief information on the constitution of the technical and financial assessment committees. If award was non-competitive, explain why and present the award process.</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Contract milestones</w:t>
            </w:r>
          </w:p>
        </w:tc>
        <w:tc>
          <w:tcPr>
            <w:tcW w:w="6804" w:type="dxa"/>
            <w:shd w:val="clear" w:color="auto" w:fill="auto"/>
            <w:noWrap/>
            <w:vAlign w:val="center"/>
            <w:hideMark/>
          </w:tcPr>
          <w:p w:rsidR="005F0608" w:rsidRPr="00216A71" w:rsidRDefault="005F0608" w:rsidP="00237AAF">
            <w:pPr>
              <w:rPr>
                <w:rFonts w:cstheme="minorHAnsi"/>
                <w:color w:val="000000"/>
                <w:szCs w:val="20"/>
              </w:rPr>
            </w:pPr>
            <w:r w:rsidRPr="00216A71">
              <w:rPr>
                <w:rFonts w:cstheme="minorHAnsi"/>
                <w:color w:val="000000"/>
                <w:szCs w:val="20"/>
              </w:rPr>
              <w:t>Date of signing of contract; date of financial close; date of commencement of construction/development; date of completion of construction/development; date of commissioning; date of contract expiry. Dates of contract renegotiation and significant adjustment to key contract parameters (e.g. level of government support).</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 xml:space="preserve">Project structure and parties to the contract </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Information on the structure of the project and the main parties, structure of project company, main financiers (shareholders and lenders) and sub-contractors.</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b/>
                <w:bCs/>
                <w:color w:val="000000"/>
                <w:szCs w:val="20"/>
              </w:rPr>
            </w:pPr>
            <w:r w:rsidRPr="00216A71">
              <w:rPr>
                <w:rFonts w:cstheme="minorHAnsi"/>
                <w:b/>
                <w:bCs/>
                <w:color w:val="000000"/>
                <w:szCs w:val="20"/>
              </w:rPr>
              <w:t>Information on project performance</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 xml:space="preserve"> </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Expected and actual levels of performance</w:t>
            </w:r>
          </w:p>
        </w:tc>
        <w:tc>
          <w:tcPr>
            <w:tcW w:w="6804" w:type="dxa"/>
            <w:shd w:val="clear" w:color="auto" w:fill="auto"/>
            <w:noWrap/>
            <w:vAlign w:val="center"/>
            <w:hideMark/>
          </w:tcPr>
          <w:p w:rsidR="005F0608" w:rsidRPr="00216A71" w:rsidRDefault="005F0608" w:rsidP="00237AAF">
            <w:pPr>
              <w:rPr>
                <w:rFonts w:cstheme="minorHAnsi"/>
                <w:color w:val="000000"/>
                <w:szCs w:val="20"/>
              </w:rPr>
            </w:pPr>
            <w:r w:rsidRPr="00216A71">
              <w:rPr>
                <w:rFonts w:cstheme="minorHAnsi"/>
                <w:color w:val="000000"/>
                <w:szCs w:val="20"/>
              </w:rPr>
              <w:t>Key performance indicators (KPIs) here with target performance levels expected against each</w:t>
            </w:r>
            <w:r w:rsidR="00EF78BD">
              <w:rPr>
                <w:rFonts w:cstheme="minorHAnsi"/>
                <w:color w:val="000000"/>
                <w:szCs w:val="20"/>
              </w:rPr>
              <w:t xml:space="preserve"> </w:t>
            </w:r>
            <w:r w:rsidRPr="00216A71">
              <w:rPr>
                <w:rFonts w:cstheme="minorHAnsi"/>
                <w:color w:val="000000"/>
                <w:szCs w:val="20"/>
              </w:rPr>
              <w:t>(and timeline for achievement).</w:t>
            </w:r>
            <w:r w:rsidR="00237AAF" w:rsidRPr="00216A71">
              <w:rPr>
                <w:rFonts w:cstheme="minorHAnsi"/>
                <w:color w:val="000000"/>
                <w:szCs w:val="20"/>
              </w:rPr>
              <w:t xml:space="preserve"> </w:t>
            </w:r>
            <w:r w:rsidRPr="00216A71">
              <w:rPr>
                <w:rFonts w:cstheme="minorHAnsi"/>
                <w:color w:val="000000"/>
                <w:szCs w:val="20"/>
              </w:rPr>
              <w:t>Actual performance against these KPIs, main areas of failure in performance and associated penalties/abatements.</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Tariffs and pricing</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User charges, methodology for tariff setting/pricing, scope for its review.</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b/>
                <w:bCs/>
                <w:color w:val="000000"/>
                <w:szCs w:val="20"/>
              </w:rPr>
            </w:pPr>
            <w:r w:rsidRPr="00216A71">
              <w:rPr>
                <w:rFonts w:cstheme="minorHAnsi"/>
                <w:b/>
                <w:bCs/>
                <w:color w:val="000000"/>
                <w:szCs w:val="20"/>
              </w:rPr>
              <w:t>Information on financial transfers and risk allocation</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 xml:space="preserve"> </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 xml:space="preserve">Payments between government and private </w:t>
            </w:r>
            <w:r w:rsidRPr="00216A71">
              <w:rPr>
                <w:rFonts w:cstheme="minorHAnsi"/>
                <w:color w:val="000000"/>
                <w:szCs w:val="20"/>
              </w:rPr>
              <w:lastRenderedPageBreak/>
              <w:t>partner</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lastRenderedPageBreak/>
              <w:t xml:space="preserve">Contractually agreed and actual transfers including capital subsidies, operating subsidies, service payments and transfer or share of project </w:t>
            </w:r>
            <w:r w:rsidRPr="00216A71">
              <w:rPr>
                <w:rFonts w:cstheme="minorHAnsi"/>
                <w:color w:val="000000"/>
                <w:szCs w:val="20"/>
              </w:rPr>
              <w:lastRenderedPageBreak/>
              <w:t>revenues between the government and the concessionaire.</w:t>
            </w:r>
          </w:p>
        </w:tc>
      </w:tr>
      <w:tr w:rsidR="005F0608" w:rsidRPr="00216A71" w:rsidTr="005F0608">
        <w:trPr>
          <w:trHeight w:val="300"/>
        </w:trPr>
        <w:tc>
          <w:tcPr>
            <w:tcW w:w="2992"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lastRenderedPageBreak/>
              <w:t>Other asset transfers</w:t>
            </w:r>
          </w:p>
        </w:tc>
        <w:tc>
          <w:tcPr>
            <w:tcW w:w="6804" w:type="dxa"/>
            <w:shd w:val="clear" w:color="auto" w:fill="auto"/>
            <w:noWrap/>
            <w:vAlign w:val="center"/>
            <w:hideMark/>
          </w:tcPr>
          <w:p w:rsidR="005F0608" w:rsidRPr="00216A71" w:rsidRDefault="005F0608" w:rsidP="005F0608">
            <w:pPr>
              <w:rPr>
                <w:rFonts w:cstheme="minorHAnsi"/>
                <w:color w:val="000000"/>
                <w:szCs w:val="20"/>
              </w:rPr>
            </w:pPr>
            <w:r w:rsidRPr="00216A71">
              <w:rPr>
                <w:rFonts w:cstheme="minorHAnsi"/>
                <w:color w:val="000000"/>
                <w:szCs w:val="20"/>
              </w:rPr>
              <w:t>Land transferred on lease or other basis by government.</w:t>
            </w:r>
          </w:p>
        </w:tc>
      </w:tr>
    </w:tbl>
    <w:p w:rsidR="00896460" w:rsidRPr="00216A71" w:rsidRDefault="00896460" w:rsidP="00CE1FBB">
      <w:pPr>
        <w:pStyle w:val="Heading1"/>
        <w:rPr>
          <w:lang w:eastAsia="en-GB"/>
        </w:rPr>
      </w:pPr>
      <w:r w:rsidRPr="00216A71">
        <w:rPr>
          <w:lang w:eastAsia="en-GB"/>
        </w:rPr>
        <w:br w:type="page"/>
      </w:r>
    </w:p>
    <w:p w:rsidR="005F0608" w:rsidRPr="00216A71" w:rsidRDefault="00FE28D3" w:rsidP="00CE1FBB">
      <w:pPr>
        <w:pStyle w:val="Heading1"/>
        <w:numPr>
          <w:ilvl w:val="0"/>
          <w:numId w:val="0"/>
        </w:numPr>
        <w:ind w:left="360"/>
      </w:pPr>
      <w:bookmarkStart w:id="219" w:name="_Toc392857570"/>
      <w:r w:rsidRPr="00216A71">
        <w:lastRenderedPageBreak/>
        <w:t>Notes</w:t>
      </w:r>
      <w:bookmarkEnd w:id="219"/>
    </w:p>
    <w:sectPr w:rsidR="005F0608" w:rsidRPr="00216A71" w:rsidSect="00B9450C">
      <w:endnotePr>
        <w:numFmt w:val="decimal"/>
      </w:endnotePr>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3E5" w:rsidRDefault="00A723E5" w:rsidP="00992566">
      <w:r>
        <w:separator/>
      </w:r>
    </w:p>
  </w:endnote>
  <w:endnote w:type="continuationSeparator" w:id="0">
    <w:p w:rsidR="00A723E5" w:rsidRDefault="00A723E5" w:rsidP="00992566">
      <w:r>
        <w:continuationSeparator/>
      </w:r>
    </w:p>
  </w:endnote>
  <w:endnote w:id="1">
    <w:p w:rsidR="006660F8" w:rsidRPr="001D0C18" w:rsidRDefault="006660F8" w:rsidP="00413559">
      <w:pPr>
        <w:pStyle w:val="EndnoteText"/>
        <w:rPr>
          <w:sz w:val="16"/>
          <w:szCs w:val="16"/>
        </w:rPr>
      </w:pPr>
      <w:r w:rsidRPr="001D0C18">
        <w:rPr>
          <w:rStyle w:val="EndnoteReference"/>
          <w:sz w:val="16"/>
          <w:szCs w:val="16"/>
        </w:rPr>
        <w:endnoteRef/>
      </w:r>
      <w:r w:rsidRPr="001D0C18">
        <w:rPr>
          <w:sz w:val="16"/>
          <w:szCs w:val="16"/>
        </w:rPr>
        <w:t xml:space="preserve"> Graeme A. Hodge, Carsten Greve (2007) Public-Private Partnerships: An International Performance Review Public Administration Review 67 (3) , 545–558 doi:10.1111/j.1540-6210.2007.00736.x </w:t>
      </w:r>
    </w:p>
  </w:endnote>
  <w:endnote w:id="2">
    <w:p w:rsidR="006660F8" w:rsidRPr="001D0C18" w:rsidRDefault="006660F8" w:rsidP="0034586E">
      <w:pPr>
        <w:pStyle w:val="EndnoteText"/>
        <w:rPr>
          <w:sz w:val="16"/>
          <w:szCs w:val="16"/>
        </w:rPr>
      </w:pPr>
      <w:r w:rsidRPr="001D0C18">
        <w:rPr>
          <w:rStyle w:val="EndnoteReference"/>
          <w:sz w:val="16"/>
          <w:szCs w:val="16"/>
        </w:rPr>
        <w:endnoteRef/>
      </w:r>
      <w:r w:rsidRPr="001D0C18">
        <w:rPr>
          <w:sz w:val="16"/>
          <w:szCs w:val="16"/>
        </w:rPr>
        <w:t xml:space="preserve"> EUObserver.com October 6, 2005 Commission criticises cover-up of national deficits </w:t>
      </w:r>
    </w:p>
  </w:endnote>
  <w:endnote w:id="3">
    <w:p w:rsidR="006660F8" w:rsidRPr="001D0C18" w:rsidRDefault="006660F8" w:rsidP="007B656E">
      <w:pPr>
        <w:pStyle w:val="EndnoteText"/>
        <w:rPr>
          <w:sz w:val="16"/>
          <w:szCs w:val="16"/>
        </w:rPr>
      </w:pPr>
      <w:r w:rsidRPr="001D0C18">
        <w:rPr>
          <w:rStyle w:val="EndnoteReference"/>
          <w:sz w:val="16"/>
          <w:szCs w:val="16"/>
        </w:rPr>
        <w:endnoteRef/>
      </w:r>
      <w:r w:rsidRPr="001D0C18">
        <w:rPr>
          <w:sz w:val="16"/>
          <w:szCs w:val="16"/>
        </w:rPr>
        <w:t xml:space="preserve"> House of Commons Research Paper 01/117 18 December 2001The Private Finance Initiative (PFI)</w:t>
      </w:r>
    </w:p>
    <w:p w:rsidR="006660F8" w:rsidRPr="001D0C18" w:rsidRDefault="006660F8" w:rsidP="007B656E">
      <w:pPr>
        <w:pStyle w:val="EndnoteText"/>
        <w:rPr>
          <w:sz w:val="16"/>
          <w:szCs w:val="16"/>
        </w:rPr>
      </w:pPr>
      <w:r w:rsidRPr="001D0C18">
        <w:rPr>
          <w:sz w:val="16"/>
          <w:szCs w:val="16"/>
        </w:rPr>
        <w:t xml:space="preserve"> </w:t>
      </w:r>
      <w:hyperlink r:id="rId1" w:history="1">
        <w:r w:rsidRPr="001D0C18">
          <w:rPr>
            <w:rStyle w:val="Hyperlink"/>
            <w:sz w:val="16"/>
            <w:szCs w:val="16"/>
          </w:rPr>
          <w:t>http://www.parliament.uk/documents/commons/lib/research/rp2001/rp01-117.pdf</w:t>
        </w:r>
      </w:hyperlink>
      <w:r w:rsidRPr="001D0C18">
        <w:rPr>
          <w:sz w:val="16"/>
          <w:szCs w:val="16"/>
        </w:rPr>
        <w:t xml:space="preserve"> </w:t>
      </w:r>
    </w:p>
  </w:endnote>
  <w:endnote w:id="4">
    <w:p w:rsidR="006660F8" w:rsidRPr="001D0C18" w:rsidRDefault="006660F8" w:rsidP="00EA47F5">
      <w:pPr>
        <w:pStyle w:val="EndnoteText"/>
        <w:rPr>
          <w:sz w:val="16"/>
          <w:szCs w:val="16"/>
        </w:rPr>
      </w:pPr>
      <w:r w:rsidRPr="001D0C18">
        <w:rPr>
          <w:rStyle w:val="EndnoteReference"/>
          <w:sz w:val="16"/>
          <w:szCs w:val="16"/>
        </w:rPr>
        <w:endnoteRef/>
      </w:r>
      <w:r>
        <w:rPr>
          <w:sz w:val="16"/>
          <w:szCs w:val="16"/>
        </w:rPr>
        <w:t xml:space="preserve"> </w:t>
      </w:r>
      <w:r w:rsidRPr="001D0C18">
        <w:rPr>
          <w:rFonts w:eastAsia="SimSun"/>
          <w:sz w:val="16"/>
          <w:szCs w:val="16"/>
          <w:lang w:eastAsia="zh-CN"/>
        </w:rPr>
        <w:t>European Economy No 3 / 2003 Issn 0379-0991 European Commission Directorate-General For Economic And Financial Affairs.</w:t>
      </w:r>
      <w:r>
        <w:rPr>
          <w:rFonts w:eastAsia="SimSun"/>
          <w:sz w:val="16"/>
          <w:szCs w:val="16"/>
          <w:lang w:eastAsia="zh-CN"/>
        </w:rPr>
        <w:t xml:space="preserve"> </w:t>
      </w:r>
      <w:r w:rsidRPr="001D0C18">
        <w:rPr>
          <w:rFonts w:eastAsia="SimSun"/>
          <w:sz w:val="16"/>
          <w:szCs w:val="16"/>
          <w:lang w:eastAsia="zh-CN"/>
        </w:rPr>
        <w:t>Public finances in EMU 2003</w:t>
      </w:r>
      <w:r>
        <w:rPr>
          <w:rFonts w:eastAsia="SimSun"/>
          <w:sz w:val="16"/>
          <w:szCs w:val="16"/>
          <w:lang w:eastAsia="zh-CN"/>
        </w:rPr>
        <w:t xml:space="preserve"> </w:t>
      </w:r>
      <w:r w:rsidRPr="00A42F35">
        <w:rPr>
          <w:rFonts w:eastAsia="SimSun"/>
          <w:sz w:val="16"/>
          <w:szCs w:val="16"/>
          <w:lang w:eastAsia="zh-CN"/>
        </w:rPr>
        <w:t>(summary of part III, p.102)</w:t>
      </w:r>
      <w:r>
        <w:rPr>
          <w:rFonts w:eastAsia="SimSun"/>
          <w:sz w:val="16"/>
          <w:szCs w:val="16"/>
          <w:lang w:eastAsia="zh-CN"/>
        </w:rPr>
        <w:t xml:space="preserve"> </w:t>
      </w:r>
      <w:hyperlink r:id="rId2" w:history="1">
        <w:r w:rsidRPr="001D0C18">
          <w:rPr>
            <w:rStyle w:val="Hyperlink"/>
            <w:sz w:val="16"/>
            <w:szCs w:val="16"/>
          </w:rPr>
          <w:t>http://europa.eu.int/comm/economy_finance/publications/european_economy/2003/ee303en.pdf</w:t>
        </w:r>
      </w:hyperlink>
      <w:r w:rsidRPr="001D0C18">
        <w:rPr>
          <w:sz w:val="16"/>
          <w:szCs w:val="16"/>
        </w:rPr>
        <w:t xml:space="preserve"> </w:t>
      </w:r>
    </w:p>
  </w:endnote>
  <w:endnote w:id="5">
    <w:p w:rsidR="006660F8" w:rsidRPr="001D0C18" w:rsidRDefault="006660F8" w:rsidP="00EA47F5">
      <w:pPr>
        <w:pStyle w:val="EndnoteText"/>
        <w:rPr>
          <w:sz w:val="16"/>
          <w:szCs w:val="16"/>
        </w:rPr>
      </w:pPr>
      <w:r w:rsidRPr="001D0C18">
        <w:rPr>
          <w:rStyle w:val="EndnoteReference"/>
          <w:sz w:val="16"/>
          <w:szCs w:val="16"/>
        </w:rPr>
        <w:endnoteRef/>
      </w:r>
      <w:r w:rsidRPr="001D0C18">
        <w:rPr>
          <w:sz w:val="16"/>
          <w:szCs w:val="16"/>
        </w:rPr>
        <w:t xml:space="preserve"> EUObserver.com October 6, 2005 Commission criticises cover-up of national deficits </w:t>
      </w:r>
    </w:p>
  </w:endnote>
  <w:endnote w:id="6">
    <w:p w:rsidR="006660F8" w:rsidRPr="001D0C18" w:rsidRDefault="006660F8" w:rsidP="00EA47F5">
      <w:pPr>
        <w:pStyle w:val="EndnoteText"/>
        <w:rPr>
          <w:sz w:val="16"/>
          <w:szCs w:val="16"/>
        </w:rPr>
      </w:pPr>
      <w:r w:rsidRPr="001D0C18">
        <w:rPr>
          <w:rStyle w:val="EndnoteReference"/>
          <w:sz w:val="16"/>
          <w:szCs w:val="16"/>
        </w:rPr>
        <w:endnoteRef/>
      </w:r>
      <w:r>
        <w:rPr>
          <w:sz w:val="16"/>
          <w:szCs w:val="16"/>
        </w:rPr>
        <w:t xml:space="preserve"> </w:t>
      </w:r>
      <w:r w:rsidRPr="001D0C18">
        <w:rPr>
          <w:color w:val="000066"/>
          <w:sz w:val="16"/>
          <w:szCs w:val="16"/>
        </w:rPr>
        <w:t>New decision of Eurostat on deficit and debt Treatment of public-private partnerships</w:t>
      </w:r>
      <w:r>
        <w:rPr>
          <w:color w:val="000066"/>
          <w:sz w:val="16"/>
          <w:szCs w:val="16"/>
        </w:rPr>
        <w:t xml:space="preserve"> </w:t>
      </w:r>
      <w:r w:rsidRPr="001D0C18">
        <w:rPr>
          <w:color w:val="000066"/>
          <w:sz w:val="16"/>
          <w:szCs w:val="16"/>
        </w:rPr>
        <w:t>11/02/2004</w:t>
      </w:r>
      <w:r>
        <w:rPr>
          <w:color w:val="000066"/>
          <w:sz w:val="16"/>
          <w:szCs w:val="16"/>
        </w:rPr>
        <w:t xml:space="preserve"> </w:t>
      </w:r>
      <w:hyperlink r:id="rId3" w:history="1">
        <w:r w:rsidRPr="001D0C18">
          <w:rPr>
            <w:rStyle w:val="Hyperlink"/>
            <w:sz w:val="16"/>
            <w:szCs w:val="16"/>
          </w:rPr>
          <w:t>http://europa.eu.int/rapid/pressReleasesAction.do?reference=STAT/04/18&amp;format=HTML&amp;aged=0&amp;language=EN&amp;guiLanguage=en</w:t>
        </w:r>
      </w:hyperlink>
      <w:r w:rsidRPr="001D0C18">
        <w:rPr>
          <w:sz w:val="16"/>
          <w:szCs w:val="16"/>
        </w:rPr>
        <w:t xml:space="preserve"> </w:t>
      </w:r>
    </w:p>
  </w:endnote>
  <w:endnote w:id="7">
    <w:p w:rsidR="006660F8" w:rsidRPr="001D0C18" w:rsidRDefault="006660F8" w:rsidP="00EA47F5">
      <w:pPr>
        <w:pStyle w:val="EndnoteText"/>
        <w:rPr>
          <w:sz w:val="16"/>
          <w:szCs w:val="16"/>
        </w:rPr>
      </w:pPr>
      <w:r w:rsidRPr="001D0C18">
        <w:rPr>
          <w:rStyle w:val="EndnoteReference"/>
          <w:sz w:val="16"/>
          <w:szCs w:val="16"/>
        </w:rPr>
        <w:endnoteRef/>
      </w:r>
      <w:r>
        <w:rPr>
          <w:sz w:val="16"/>
          <w:szCs w:val="16"/>
        </w:rPr>
        <w:t xml:space="preserve"> </w:t>
      </w:r>
      <w:r w:rsidRPr="001D0C18">
        <w:rPr>
          <w:rFonts w:eastAsia="SimSun"/>
          <w:sz w:val="16"/>
          <w:szCs w:val="16"/>
        </w:rPr>
        <w:t xml:space="preserve">International Monetary Fund Public-Private Partnerships March 12, 2004 para 38 </w:t>
      </w:r>
      <w:hyperlink r:id="rId4" w:history="1">
        <w:r w:rsidRPr="001D0C18">
          <w:rPr>
            <w:rStyle w:val="Hyperlink"/>
            <w:rFonts w:eastAsia="SimSun"/>
            <w:sz w:val="16"/>
            <w:szCs w:val="16"/>
          </w:rPr>
          <w:t>http://www.imf.org/external/np/fad/2004/pifp/eng/031204.htm</w:t>
        </w:r>
      </w:hyperlink>
      <w:r w:rsidRPr="001D0C18">
        <w:rPr>
          <w:rFonts w:eastAsia="SimSun"/>
          <w:sz w:val="16"/>
          <w:szCs w:val="16"/>
        </w:rPr>
        <w:t xml:space="preserve"> </w:t>
      </w:r>
    </w:p>
  </w:endnote>
  <w:endnote w:id="8">
    <w:p w:rsidR="006660F8" w:rsidRPr="001D0C18" w:rsidRDefault="006660F8" w:rsidP="00EA47F5">
      <w:pPr>
        <w:pStyle w:val="EndnoteText"/>
        <w:rPr>
          <w:sz w:val="16"/>
          <w:szCs w:val="16"/>
        </w:rPr>
      </w:pPr>
      <w:r w:rsidRPr="001D0C18">
        <w:rPr>
          <w:rStyle w:val="EndnoteReference"/>
          <w:sz w:val="16"/>
          <w:szCs w:val="16"/>
        </w:rPr>
        <w:endnoteRef/>
      </w:r>
      <w:r w:rsidRPr="001D0C18">
        <w:rPr>
          <w:sz w:val="16"/>
          <w:szCs w:val="16"/>
        </w:rPr>
        <w:t xml:space="preserve"> </w:t>
      </w:r>
      <w:r w:rsidRPr="001D0C18">
        <w:rPr>
          <w:rFonts w:eastAsia="SimSun"/>
          <w:sz w:val="16"/>
          <w:szCs w:val="16"/>
          <w:lang w:eastAsia="zh-CN"/>
        </w:rPr>
        <w:t>International Monetary Fund Public Investment and Fiscal Policy</w:t>
      </w:r>
      <w:r>
        <w:rPr>
          <w:rFonts w:eastAsia="SimSun"/>
          <w:sz w:val="16"/>
          <w:szCs w:val="16"/>
          <w:lang w:eastAsia="zh-CN"/>
        </w:rPr>
        <w:t xml:space="preserve"> </w:t>
      </w:r>
      <w:r w:rsidRPr="001D0C18">
        <w:rPr>
          <w:rFonts w:eastAsia="SimSun"/>
          <w:sz w:val="16"/>
          <w:szCs w:val="16"/>
          <w:lang w:eastAsia="zh-CN"/>
        </w:rPr>
        <w:t xml:space="preserve">March 12, 2004 para 36 </w:t>
      </w:r>
      <w:hyperlink r:id="rId5" w:history="1">
        <w:r w:rsidRPr="001D0C18">
          <w:rPr>
            <w:rStyle w:val="Hyperlink"/>
            <w:rFonts w:eastAsia="SimSun"/>
            <w:sz w:val="16"/>
            <w:szCs w:val="16"/>
            <w:lang w:eastAsia="zh-CN"/>
          </w:rPr>
          <w:t>http://www.imf.org/external/np/fad/2004/pifp/eng/PIFP.pdf</w:t>
        </w:r>
      </w:hyperlink>
      <w:r w:rsidRPr="001D0C18">
        <w:rPr>
          <w:rFonts w:eastAsia="SimSun"/>
          <w:sz w:val="16"/>
          <w:szCs w:val="16"/>
          <w:lang w:eastAsia="zh-CN"/>
        </w:rPr>
        <w:t xml:space="preserve"> </w:t>
      </w:r>
    </w:p>
  </w:endnote>
  <w:endnote w:id="9">
    <w:p w:rsidR="006660F8" w:rsidRPr="001D0C18" w:rsidRDefault="006660F8" w:rsidP="002435BE">
      <w:pPr>
        <w:pStyle w:val="EndnoteText"/>
        <w:rPr>
          <w:sz w:val="16"/>
          <w:szCs w:val="16"/>
        </w:rPr>
      </w:pPr>
      <w:r w:rsidRPr="001D0C18">
        <w:rPr>
          <w:rStyle w:val="EndnoteReference"/>
          <w:sz w:val="16"/>
          <w:szCs w:val="16"/>
        </w:rPr>
        <w:endnoteRef/>
      </w:r>
      <w:r w:rsidRPr="001D0C18">
        <w:rPr>
          <w:sz w:val="16"/>
          <w:szCs w:val="16"/>
        </w:rPr>
        <w:t xml:space="preserve"> EPEC 2013 The PPP Market European Trends and Developments </w:t>
      </w:r>
    </w:p>
  </w:endnote>
  <w:endnote w:id="10">
    <w:p w:rsidR="006660F8" w:rsidRPr="001D0C18" w:rsidRDefault="006660F8" w:rsidP="000979F0">
      <w:pPr>
        <w:pStyle w:val="EndnoteText"/>
        <w:rPr>
          <w:sz w:val="16"/>
          <w:szCs w:val="16"/>
        </w:rPr>
      </w:pPr>
      <w:r w:rsidRPr="001D0C18">
        <w:rPr>
          <w:rStyle w:val="EndnoteReference"/>
          <w:sz w:val="16"/>
          <w:szCs w:val="16"/>
        </w:rPr>
        <w:endnoteRef/>
      </w:r>
      <w:r>
        <w:rPr>
          <w:sz w:val="16"/>
          <w:szCs w:val="16"/>
        </w:rPr>
        <w:t xml:space="preserve"> EIB 2010 Kappeler A</w:t>
      </w:r>
      <w:r w:rsidRPr="001D0C18">
        <w:rPr>
          <w:sz w:val="16"/>
          <w:szCs w:val="16"/>
        </w:rPr>
        <w:t>. and</w:t>
      </w:r>
      <w:r>
        <w:rPr>
          <w:sz w:val="16"/>
          <w:szCs w:val="16"/>
        </w:rPr>
        <w:t xml:space="preserve"> </w:t>
      </w:r>
      <w:r w:rsidRPr="001D0C18">
        <w:rPr>
          <w:sz w:val="16"/>
          <w:szCs w:val="16"/>
        </w:rPr>
        <w:t>Nemoz M. Public-private partnerships in Europe – before and during the recent financial crisis.</w:t>
      </w:r>
      <w:r>
        <w:rPr>
          <w:sz w:val="16"/>
          <w:szCs w:val="16"/>
        </w:rPr>
        <w:t xml:space="preserve"> </w:t>
      </w:r>
      <w:r w:rsidRPr="001D0C18">
        <w:rPr>
          <w:sz w:val="16"/>
          <w:szCs w:val="16"/>
        </w:rPr>
        <w:t>Economic and Financial Report 2010/04</w:t>
      </w:r>
      <w:r>
        <w:rPr>
          <w:sz w:val="16"/>
          <w:szCs w:val="16"/>
        </w:rPr>
        <w:t xml:space="preserve"> </w:t>
      </w:r>
      <w:r w:rsidRPr="001D0C18">
        <w:rPr>
          <w:sz w:val="16"/>
          <w:szCs w:val="16"/>
        </w:rPr>
        <w:t xml:space="preserve">July 2010 </w:t>
      </w:r>
      <w:hyperlink r:id="rId6" w:history="1">
        <w:r w:rsidRPr="001D0C18">
          <w:rPr>
            <w:rStyle w:val="Hyperlink"/>
            <w:bCs/>
            <w:iCs/>
            <w:sz w:val="16"/>
            <w:szCs w:val="16"/>
          </w:rPr>
          <w:t>www.eib.org/epec/resources/efr_epec_ppp_report.pdf</w:t>
        </w:r>
      </w:hyperlink>
      <w:r w:rsidRPr="001D0C18">
        <w:rPr>
          <w:iCs/>
          <w:sz w:val="16"/>
          <w:szCs w:val="16"/>
        </w:rPr>
        <w:t xml:space="preserve"> </w:t>
      </w:r>
    </w:p>
  </w:endnote>
  <w:endnote w:id="11">
    <w:p w:rsidR="006660F8" w:rsidRPr="001D0C18" w:rsidRDefault="006660F8" w:rsidP="002435BE">
      <w:pPr>
        <w:pStyle w:val="EndnoteText"/>
        <w:rPr>
          <w:sz w:val="16"/>
          <w:szCs w:val="16"/>
        </w:rPr>
      </w:pPr>
      <w:r w:rsidRPr="001D0C18">
        <w:rPr>
          <w:rStyle w:val="EndnoteReference"/>
          <w:sz w:val="16"/>
          <w:szCs w:val="16"/>
        </w:rPr>
        <w:endnoteRef/>
      </w:r>
      <w:r w:rsidRPr="001D0C18">
        <w:rPr>
          <w:sz w:val="16"/>
          <w:szCs w:val="16"/>
        </w:rPr>
        <w:t xml:space="preserve"> OECD 2013</w:t>
      </w:r>
      <w:r>
        <w:rPr>
          <w:sz w:val="16"/>
          <w:szCs w:val="16"/>
        </w:rPr>
        <w:t xml:space="preserve"> </w:t>
      </w:r>
      <w:r w:rsidRPr="001D0C18">
        <w:rPr>
          <w:sz w:val="16"/>
          <w:szCs w:val="16"/>
        </w:rPr>
        <w:t xml:space="preserve">Capital budgeting and procurement practices GOV/PGC/SBO(2013)2 </w:t>
      </w:r>
      <w:hyperlink r:id="rId7" w:history="1">
        <w:r w:rsidRPr="001D0C18">
          <w:rPr>
            <w:rStyle w:val="Hyperlink"/>
            <w:sz w:val="16"/>
            <w:szCs w:val="16"/>
          </w:rPr>
          <w:t>http://search.oecd.org/officialdocuments/displaydocumentpdf/?cote=GOV/PGC/SBO%282013%292&amp;doclanguage=en</w:t>
        </w:r>
      </w:hyperlink>
      <w:r w:rsidRPr="001D0C18">
        <w:rPr>
          <w:sz w:val="16"/>
          <w:szCs w:val="16"/>
        </w:rPr>
        <w:t xml:space="preserve"> ; EIB 2012 PPPs and their Financing in Europe: Re</w:t>
      </w:r>
      <w:r>
        <w:rPr>
          <w:sz w:val="16"/>
          <w:szCs w:val="16"/>
        </w:rPr>
        <w:t>cent Trends and EIB Involvement</w:t>
      </w:r>
    </w:p>
  </w:endnote>
  <w:endnote w:id="12">
    <w:p w:rsidR="006660F8" w:rsidRPr="001D0C18" w:rsidRDefault="006660F8" w:rsidP="00640AE3">
      <w:pPr>
        <w:pStyle w:val="EndnoteText"/>
        <w:rPr>
          <w:sz w:val="16"/>
          <w:szCs w:val="16"/>
        </w:rPr>
      </w:pPr>
      <w:r w:rsidRPr="001D0C18">
        <w:rPr>
          <w:rStyle w:val="EndnoteReference"/>
          <w:sz w:val="16"/>
          <w:szCs w:val="16"/>
        </w:rPr>
        <w:endnoteRef/>
      </w:r>
      <w:r w:rsidRPr="001D0C18">
        <w:rPr>
          <w:sz w:val="16"/>
          <w:szCs w:val="16"/>
        </w:rPr>
        <w:t xml:space="preserve"> OECD 2013</w:t>
      </w:r>
      <w:r>
        <w:rPr>
          <w:sz w:val="16"/>
          <w:szCs w:val="16"/>
        </w:rPr>
        <w:t xml:space="preserve"> </w:t>
      </w:r>
      <w:r w:rsidRPr="001D0C18">
        <w:rPr>
          <w:sz w:val="16"/>
          <w:szCs w:val="16"/>
        </w:rPr>
        <w:t xml:space="preserve">Capital budgeting and procurement practices GOV/PGC/SBO(2013)2 </w:t>
      </w:r>
      <w:hyperlink r:id="rId8" w:history="1">
        <w:r w:rsidRPr="001D0C18">
          <w:rPr>
            <w:rStyle w:val="Hyperlink"/>
            <w:sz w:val="16"/>
            <w:szCs w:val="16"/>
          </w:rPr>
          <w:t>http://search.oecd.org/officialdocuments/displaydocumentpdf/?cote=GOV/PGC/SBO%282013%292&amp;doclanguage=en</w:t>
        </w:r>
      </w:hyperlink>
      <w:r w:rsidRPr="001D0C18">
        <w:rPr>
          <w:sz w:val="16"/>
          <w:szCs w:val="16"/>
        </w:rPr>
        <w:t xml:space="preserve"> ; EIB 2012 PPPs and their Financing in Europe: Re</w:t>
      </w:r>
      <w:r>
        <w:rPr>
          <w:sz w:val="16"/>
          <w:szCs w:val="16"/>
        </w:rPr>
        <w:t>cent Trends and EIB Involvement</w:t>
      </w:r>
      <w:r w:rsidRPr="001D0C18">
        <w:rPr>
          <w:sz w:val="16"/>
          <w:szCs w:val="16"/>
        </w:rPr>
        <w:t xml:space="preserve"> </w:t>
      </w:r>
    </w:p>
  </w:endnote>
  <w:endnote w:id="13">
    <w:p w:rsidR="006660F8" w:rsidRPr="00CE3EAF" w:rsidRDefault="006660F8">
      <w:pPr>
        <w:pStyle w:val="EndnoteText"/>
        <w:rPr>
          <w:b/>
          <w:sz w:val="16"/>
          <w:szCs w:val="16"/>
        </w:rPr>
      </w:pPr>
      <w:r w:rsidRPr="00CE3EAF">
        <w:rPr>
          <w:rStyle w:val="EndnoteReference"/>
          <w:sz w:val="16"/>
          <w:szCs w:val="16"/>
        </w:rPr>
        <w:endnoteRef/>
      </w:r>
      <w:r w:rsidRPr="00CE3EAF">
        <w:rPr>
          <w:sz w:val="16"/>
          <w:szCs w:val="16"/>
        </w:rPr>
        <w:t xml:space="preserve"> EIB 2012 PPPs and their Financing in Europe: Recent Trends and EIB Involvement </w:t>
      </w:r>
      <w:hyperlink r:id="rId9" w:history="1">
        <w:r w:rsidRPr="00CE3EAF">
          <w:rPr>
            <w:rStyle w:val="Hyperlink"/>
            <w:sz w:val="16"/>
            <w:szCs w:val="16"/>
          </w:rPr>
          <w:t>http://www.eib.org/attachments/efs/econ_note_2012_ppp_and_financing_in_europe_en.pdf</w:t>
        </w:r>
      </w:hyperlink>
    </w:p>
  </w:endnote>
  <w:endnote w:id="14">
    <w:p w:rsidR="006660F8" w:rsidRDefault="006660F8">
      <w:pPr>
        <w:pStyle w:val="EndnoteText"/>
      </w:pPr>
      <w:r w:rsidRPr="00CE3EAF">
        <w:rPr>
          <w:rStyle w:val="EndnoteReference"/>
          <w:sz w:val="16"/>
          <w:szCs w:val="16"/>
        </w:rPr>
        <w:endnoteRef/>
      </w:r>
      <w:r w:rsidRPr="00CE3EAF">
        <w:rPr>
          <w:sz w:val="16"/>
          <w:szCs w:val="16"/>
        </w:rPr>
        <w:t xml:space="preserve"> </w:t>
      </w:r>
      <w:r w:rsidRPr="00CE3EAF">
        <w:rPr>
          <w:bCs/>
          <w:iCs/>
          <w:sz w:val="16"/>
          <w:szCs w:val="16"/>
        </w:rPr>
        <w:t xml:space="preserve">PWC 2012 World overview of the PPP Markets OECD </w:t>
      </w:r>
      <w:r w:rsidRPr="00CE3EAF">
        <w:rPr>
          <w:sz w:val="16"/>
          <w:szCs w:val="16"/>
        </w:rPr>
        <w:t xml:space="preserve">26 March 2012 </w:t>
      </w:r>
      <w:hyperlink r:id="rId10" w:history="1">
        <w:r w:rsidRPr="00CE3EAF">
          <w:rPr>
            <w:rStyle w:val="Hyperlink"/>
            <w:sz w:val="16"/>
            <w:szCs w:val="16"/>
          </w:rPr>
          <w:t>http://www.oecd.org/dataoecd/9/0/49945473.pdf</w:t>
        </w:r>
      </w:hyperlink>
    </w:p>
  </w:endnote>
  <w:endnote w:id="15">
    <w:p w:rsidR="006660F8" w:rsidRPr="001D0C18" w:rsidRDefault="006660F8" w:rsidP="00D45FD0">
      <w:pPr>
        <w:pStyle w:val="EndnoteText"/>
        <w:rPr>
          <w:sz w:val="16"/>
          <w:szCs w:val="16"/>
        </w:rPr>
      </w:pPr>
      <w:r w:rsidRPr="001D0C18">
        <w:rPr>
          <w:rStyle w:val="EndnoteReference"/>
          <w:sz w:val="16"/>
          <w:szCs w:val="16"/>
        </w:rPr>
        <w:endnoteRef/>
      </w:r>
      <w:r w:rsidRPr="001D0C18">
        <w:rPr>
          <w:sz w:val="16"/>
          <w:szCs w:val="16"/>
        </w:rPr>
        <w:t xml:space="preserve"> OECD 2013</w:t>
      </w:r>
      <w:r>
        <w:rPr>
          <w:sz w:val="16"/>
          <w:szCs w:val="16"/>
        </w:rPr>
        <w:t xml:space="preserve"> </w:t>
      </w:r>
      <w:r w:rsidRPr="001D0C18">
        <w:rPr>
          <w:sz w:val="16"/>
          <w:szCs w:val="16"/>
        </w:rPr>
        <w:t xml:space="preserve">Capital budgeting and procurement practices GOV/PGC/SBO(2013)2 </w:t>
      </w:r>
      <w:hyperlink r:id="rId11" w:history="1">
        <w:r w:rsidRPr="001D0C18">
          <w:rPr>
            <w:rStyle w:val="Hyperlink"/>
            <w:sz w:val="16"/>
            <w:szCs w:val="16"/>
          </w:rPr>
          <w:t>http://search.oecd.org/officialdocuments/displaydocumentpdf/?cote=GOV/PGC/SBO%282013%292&amp;doclanguage=en</w:t>
        </w:r>
      </w:hyperlink>
      <w:r w:rsidRPr="001D0C18">
        <w:rPr>
          <w:sz w:val="16"/>
          <w:szCs w:val="16"/>
        </w:rPr>
        <w:t xml:space="preserve"> ; EIB 2012 PPPs and their Financing in Europe: Recent Trends and EIB Involvement</w:t>
      </w:r>
    </w:p>
    <w:p w:rsidR="006660F8" w:rsidRPr="001D0C18" w:rsidRDefault="006660F8" w:rsidP="00D45FD0">
      <w:pPr>
        <w:pStyle w:val="EndnoteText"/>
        <w:rPr>
          <w:sz w:val="16"/>
          <w:szCs w:val="16"/>
        </w:rPr>
      </w:pPr>
      <w:r>
        <w:rPr>
          <w:sz w:val="16"/>
          <w:szCs w:val="16"/>
        </w:rPr>
        <w:t xml:space="preserve"> </w:t>
      </w:r>
      <w:hyperlink r:id="rId12" w:history="1">
        <w:r w:rsidRPr="001D0C18">
          <w:rPr>
            <w:rStyle w:val="Hyperlink"/>
            <w:sz w:val="16"/>
            <w:szCs w:val="16"/>
          </w:rPr>
          <w:t>http://www.eib.org/attachments/efs/econ_note_2012_ppp_and_financing_in_europe_en.pdf</w:t>
        </w:r>
      </w:hyperlink>
      <w:r>
        <w:rPr>
          <w:sz w:val="16"/>
          <w:szCs w:val="16"/>
        </w:rPr>
        <w:t xml:space="preserve"> </w:t>
      </w:r>
    </w:p>
  </w:endnote>
  <w:endnote w:id="16">
    <w:p w:rsidR="006660F8" w:rsidRPr="001D0C18" w:rsidRDefault="006660F8" w:rsidP="00385FF5">
      <w:pPr>
        <w:pStyle w:val="EndnoteText"/>
        <w:rPr>
          <w:sz w:val="16"/>
          <w:szCs w:val="16"/>
        </w:rPr>
      </w:pPr>
      <w:r w:rsidRPr="001D0C18">
        <w:rPr>
          <w:rStyle w:val="EndnoteReference"/>
          <w:sz w:val="16"/>
          <w:szCs w:val="16"/>
        </w:rPr>
        <w:endnoteRef/>
      </w:r>
      <w:r w:rsidRPr="001D0C18">
        <w:rPr>
          <w:sz w:val="16"/>
          <w:szCs w:val="16"/>
        </w:rPr>
        <w:t xml:space="preserve"> OECD 2013</w:t>
      </w:r>
      <w:r>
        <w:rPr>
          <w:sz w:val="16"/>
          <w:szCs w:val="16"/>
        </w:rPr>
        <w:t xml:space="preserve"> </w:t>
      </w:r>
      <w:r w:rsidRPr="001D0C18">
        <w:rPr>
          <w:sz w:val="16"/>
          <w:szCs w:val="16"/>
        </w:rPr>
        <w:t xml:space="preserve">Capital budgeting and procurement practices GOV/PGC/SBO(2013)2 </w:t>
      </w:r>
      <w:hyperlink r:id="rId13" w:history="1">
        <w:r w:rsidRPr="001D0C18">
          <w:rPr>
            <w:rStyle w:val="Hyperlink"/>
            <w:sz w:val="16"/>
            <w:szCs w:val="16"/>
          </w:rPr>
          <w:t>http://search.oecd.org/officialdocuments/displaydocumentpdf/?cote=GOV/PGC/SBO%282013%292&amp;doclanguage=en</w:t>
        </w:r>
      </w:hyperlink>
      <w:r>
        <w:rPr>
          <w:sz w:val="16"/>
          <w:szCs w:val="16"/>
        </w:rPr>
        <w:t xml:space="preserve"> </w:t>
      </w:r>
    </w:p>
  </w:endnote>
  <w:endnote w:id="17">
    <w:p w:rsidR="006660F8" w:rsidRPr="001D0C18" w:rsidRDefault="006660F8" w:rsidP="00385FF5">
      <w:pPr>
        <w:pStyle w:val="EndnoteText"/>
        <w:rPr>
          <w:sz w:val="16"/>
          <w:szCs w:val="16"/>
        </w:rPr>
      </w:pPr>
      <w:r w:rsidRPr="001D0C18">
        <w:rPr>
          <w:rStyle w:val="EndnoteReference"/>
          <w:sz w:val="16"/>
          <w:szCs w:val="16"/>
        </w:rPr>
        <w:endnoteRef/>
      </w:r>
      <w:r w:rsidRPr="001D0C18">
        <w:rPr>
          <w:sz w:val="16"/>
          <w:szCs w:val="16"/>
        </w:rPr>
        <w:t xml:space="preserve"> EIB 2012 PPPs and their Financing in Europe: Recent Trends and EIB Involvement</w:t>
      </w:r>
    </w:p>
    <w:p w:rsidR="006660F8" w:rsidRPr="001D0C18" w:rsidRDefault="006660F8" w:rsidP="00385FF5">
      <w:pPr>
        <w:pStyle w:val="EndnoteText"/>
        <w:rPr>
          <w:sz w:val="16"/>
          <w:szCs w:val="16"/>
        </w:rPr>
      </w:pPr>
      <w:r>
        <w:rPr>
          <w:sz w:val="16"/>
          <w:szCs w:val="16"/>
        </w:rPr>
        <w:t xml:space="preserve"> </w:t>
      </w:r>
      <w:hyperlink r:id="rId14" w:history="1">
        <w:r w:rsidRPr="001D0C18">
          <w:rPr>
            <w:rStyle w:val="Hyperlink"/>
            <w:sz w:val="16"/>
            <w:szCs w:val="16"/>
          </w:rPr>
          <w:t>http://www.eib.org/attachments/efs/econ_note_2012_ppp_and_financing_in_europe_en.pdf</w:t>
        </w:r>
      </w:hyperlink>
    </w:p>
  </w:endnote>
  <w:endnote w:id="18">
    <w:p w:rsidR="006660F8" w:rsidRPr="001D0C18" w:rsidRDefault="006660F8" w:rsidP="00F84288">
      <w:pPr>
        <w:rPr>
          <w:sz w:val="16"/>
          <w:szCs w:val="16"/>
        </w:rPr>
      </w:pPr>
      <w:r w:rsidRPr="001D0C18">
        <w:rPr>
          <w:rStyle w:val="EndnoteReference"/>
          <w:sz w:val="16"/>
          <w:szCs w:val="16"/>
        </w:rPr>
        <w:endnoteRef/>
      </w:r>
      <w:r>
        <w:rPr>
          <w:sz w:val="16"/>
          <w:szCs w:val="16"/>
        </w:rPr>
        <w:t xml:space="preserve"> </w:t>
      </w:r>
      <w:r w:rsidRPr="001D0C18">
        <w:rPr>
          <w:sz w:val="16"/>
          <w:szCs w:val="16"/>
        </w:rPr>
        <w:t xml:space="preserve">Disastrous Public Works Projects: Der Spiegel 10 Jan 2013 </w:t>
      </w:r>
      <w:hyperlink r:id="rId15" w:history="1">
        <w:r w:rsidRPr="001D0C18">
          <w:rPr>
            <w:rStyle w:val="Hyperlink"/>
            <w:sz w:val="16"/>
            <w:szCs w:val="16"/>
          </w:rPr>
          <w:t>http://www.spiegel.de/international/business/disastrous-public-works-projects-in-germany-a-876856.html</w:t>
        </w:r>
      </w:hyperlink>
      <w:r w:rsidRPr="001D0C18">
        <w:rPr>
          <w:sz w:val="16"/>
          <w:szCs w:val="16"/>
        </w:rPr>
        <w:t xml:space="preserve"> </w:t>
      </w:r>
    </w:p>
  </w:endnote>
  <w:endnote w:id="19">
    <w:p w:rsidR="006660F8" w:rsidRPr="001D0C18" w:rsidRDefault="006660F8" w:rsidP="00F84288">
      <w:pPr>
        <w:rPr>
          <w:sz w:val="16"/>
          <w:szCs w:val="16"/>
        </w:rPr>
      </w:pPr>
      <w:r w:rsidRPr="001D0C18">
        <w:rPr>
          <w:rStyle w:val="EndnoteReference"/>
          <w:sz w:val="16"/>
          <w:szCs w:val="16"/>
        </w:rPr>
        <w:endnoteRef/>
      </w:r>
      <w:r w:rsidRPr="001D0C18">
        <w:rPr>
          <w:sz w:val="16"/>
          <w:szCs w:val="16"/>
        </w:rPr>
        <w:t xml:space="preserve"> PPP-Leuchtturm-Projekte – eine Spur des Scheiterns 3 Januar</w:t>
      </w:r>
      <w:r>
        <w:rPr>
          <w:sz w:val="16"/>
          <w:szCs w:val="16"/>
        </w:rPr>
        <w:t>y</w:t>
      </w:r>
      <w:r w:rsidRPr="001D0C18">
        <w:rPr>
          <w:sz w:val="16"/>
          <w:szCs w:val="16"/>
        </w:rPr>
        <w:t xml:space="preserve"> 2012 </w:t>
      </w:r>
    </w:p>
    <w:p w:rsidR="006660F8" w:rsidRPr="001D0C18" w:rsidRDefault="006660F8" w:rsidP="00F84288">
      <w:pPr>
        <w:rPr>
          <w:sz w:val="16"/>
          <w:szCs w:val="16"/>
        </w:rPr>
      </w:pPr>
      <w:r w:rsidRPr="001D0C18">
        <w:rPr>
          <w:sz w:val="16"/>
          <w:szCs w:val="16"/>
        </w:rPr>
        <w:t xml:space="preserve"> </w:t>
      </w:r>
      <w:hyperlink r:id="rId16" w:history="1">
        <w:r w:rsidRPr="001D0C18">
          <w:rPr>
            <w:rStyle w:val="Hyperlink"/>
            <w:sz w:val="16"/>
            <w:szCs w:val="16"/>
          </w:rPr>
          <w:t>http://www.gemeingut.org/2012/01/ppp-leuchtturm-projekte-eine-spur-des-scheiterns/</w:t>
        </w:r>
      </w:hyperlink>
      <w:r w:rsidRPr="001D0C18">
        <w:rPr>
          <w:sz w:val="16"/>
          <w:szCs w:val="16"/>
        </w:rPr>
        <w:t xml:space="preserve"> ;</w:t>
      </w:r>
      <w:r>
        <w:rPr>
          <w:sz w:val="16"/>
          <w:szCs w:val="16"/>
        </w:rPr>
        <w:t xml:space="preserve"> </w:t>
      </w:r>
      <w:r w:rsidRPr="001D0C18">
        <w:rPr>
          <w:sz w:val="16"/>
          <w:szCs w:val="16"/>
        </w:rPr>
        <w:t>Ausverkauf der A7 per PPP verhindert – Bauindustrie schäumt 1 Feb 2013</w:t>
      </w:r>
      <w:r>
        <w:rPr>
          <w:sz w:val="16"/>
          <w:szCs w:val="16"/>
        </w:rPr>
        <w:t xml:space="preserve"> </w:t>
      </w:r>
      <w:hyperlink r:id="rId17" w:history="1">
        <w:r w:rsidRPr="001D0C18">
          <w:rPr>
            <w:rStyle w:val="Hyperlink"/>
            <w:sz w:val="16"/>
            <w:szCs w:val="16"/>
          </w:rPr>
          <w:t>http://www.gemeingut.org/2013/02/presse_gib-ausverkauf-der-a7-per-ppp-verhindert-bauindustrie-schaumt/</w:t>
        </w:r>
      </w:hyperlink>
      <w:r w:rsidRPr="001D0C18">
        <w:rPr>
          <w:sz w:val="16"/>
          <w:szCs w:val="16"/>
        </w:rPr>
        <w:t xml:space="preserve"> ; </w:t>
      </w:r>
      <w:hyperlink r:id="rId18" w:history="1">
        <w:r w:rsidRPr="001D0C18">
          <w:rPr>
            <w:rStyle w:val="Hyperlink"/>
            <w:sz w:val="16"/>
            <w:szCs w:val="16"/>
          </w:rPr>
          <w:t>http://www.spiegel.de/international/germany/berlin-lays-cornerstone-on-controversial-palace-project-a-905366.html</w:t>
        </w:r>
      </w:hyperlink>
      <w:r w:rsidRPr="001D0C18">
        <w:rPr>
          <w:sz w:val="16"/>
          <w:szCs w:val="16"/>
        </w:rPr>
        <w:t xml:space="preserve"> </w:t>
      </w:r>
    </w:p>
  </w:endnote>
  <w:endnote w:id="20">
    <w:p w:rsidR="006660F8" w:rsidRPr="001D0C18" w:rsidRDefault="006660F8" w:rsidP="00E45505">
      <w:pPr>
        <w:pStyle w:val="EndnoteText"/>
        <w:rPr>
          <w:sz w:val="16"/>
          <w:szCs w:val="16"/>
        </w:rPr>
      </w:pPr>
      <w:r w:rsidRPr="001D0C18">
        <w:rPr>
          <w:rStyle w:val="EndnoteReference"/>
          <w:sz w:val="16"/>
          <w:szCs w:val="16"/>
        </w:rPr>
        <w:endnoteRef/>
      </w:r>
      <w:r w:rsidRPr="001D0C18">
        <w:rPr>
          <w:sz w:val="16"/>
          <w:szCs w:val="16"/>
        </w:rPr>
        <w:t xml:space="preserve"> World Bank/AFD 2010 Africa’s Infrastructure 2010</w:t>
      </w:r>
      <w:r>
        <w:rPr>
          <w:sz w:val="16"/>
          <w:szCs w:val="16"/>
        </w:rPr>
        <w:t xml:space="preserve"> </w:t>
      </w:r>
      <w:r w:rsidRPr="001D0C18">
        <w:rPr>
          <w:sz w:val="16"/>
          <w:szCs w:val="16"/>
        </w:rPr>
        <w:t xml:space="preserve">Table 8.3 p.186, and PSIRU calculations. Figures may not add exactly due to rounding. </w:t>
      </w:r>
      <w:hyperlink r:id="rId19" w:history="1">
        <w:r w:rsidRPr="001D0C18">
          <w:rPr>
            <w:rStyle w:val="Hyperlink"/>
            <w:sz w:val="16"/>
            <w:szCs w:val="16"/>
          </w:rPr>
          <w:t>http://www.infrastructureafrica.org/aicd/system/files/AIATT_Consolidated_smaller.pdf</w:t>
        </w:r>
      </w:hyperlink>
    </w:p>
  </w:endnote>
  <w:endnote w:id="21">
    <w:p w:rsidR="006660F8" w:rsidRPr="001D0C18" w:rsidRDefault="006660F8" w:rsidP="00DE129F">
      <w:pPr>
        <w:pStyle w:val="EndnoteText"/>
        <w:rPr>
          <w:sz w:val="16"/>
          <w:szCs w:val="16"/>
        </w:rPr>
      </w:pPr>
      <w:r w:rsidRPr="001D0C18">
        <w:rPr>
          <w:rStyle w:val="EndnoteReference"/>
          <w:sz w:val="16"/>
          <w:szCs w:val="16"/>
        </w:rPr>
        <w:endnoteRef/>
      </w:r>
      <w:r w:rsidRPr="001D0C18">
        <w:rPr>
          <w:sz w:val="16"/>
          <w:szCs w:val="16"/>
        </w:rPr>
        <w:t xml:space="preserve"> See Financing water and sanitation: public realities PSIRU 2012 </w:t>
      </w:r>
      <w:hyperlink r:id="rId20" w:history="1">
        <w:r w:rsidRPr="001D0C18">
          <w:rPr>
            <w:rStyle w:val="Hyperlink"/>
            <w:sz w:val="16"/>
            <w:szCs w:val="16"/>
          </w:rPr>
          <w:t>www.psiru.org</w:t>
        </w:r>
      </w:hyperlink>
      <w:r w:rsidRPr="001D0C18">
        <w:rPr>
          <w:sz w:val="16"/>
          <w:szCs w:val="16"/>
        </w:rPr>
        <w:t xml:space="preserve"> </w:t>
      </w:r>
    </w:p>
  </w:endnote>
  <w:endnote w:id="22">
    <w:p w:rsidR="006660F8" w:rsidRPr="001D0C18" w:rsidRDefault="006660F8" w:rsidP="00DE129F">
      <w:pPr>
        <w:rPr>
          <w:rFonts w:cstheme="minorHAnsi"/>
          <w:sz w:val="16"/>
          <w:szCs w:val="16"/>
        </w:rPr>
      </w:pPr>
      <w:r w:rsidRPr="001D0C18">
        <w:rPr>
          <w:rFonts w:cstheme="minorHAnsi"/>
          <w:sz w:val="16"/>
          <w:szCs w:val="16"/>
        </w:rPr>
        <w:endnoteRef/>
      </w:r>
      <w:r>
        <w:rPr>
          <w:rFonts w:cstheme="minorHAnsi"/>
          <w:sz w:val="16"/>
          <w:szCs w:val="16"/>
        </w:rPr>
        <w:t xml:space="preserve"> </w:t>
      </w:r>
      <w:r w:rsidRPr="001D0C18">
        <w:rPr>
          <w:rFonts w:cstheme="minorHAnsi"/>
          <w:sz w:val="16"/>
          <w:szCs w:val="16"/>
        </w:rPr>
        <w:t xml:space="preserve">WEO 2010: Chapter 8 "Energy poverty - How to make modern energy access universal?" </w:t>
      </w:r>
      <w:hyperlink r:id="rId21" w:history="1">
        <w:r w:rsidRPr="001D0C18">
          <w:rPr>
            <w:rStyle w:val="Hyperlink"/>
            <w:rFonts w:cstheme="minorHAnsi"/>
            <w:sz w:val="16"/>
            <w:szCs w:val="16"/>
          </w:rPr>
          <w:t>http://www.iea.org/weo/docs/weo2010/weo2010_poverty.pdf</w:t>
        </w:r>
      </w:hyperlink>
      <w:r w:rsidRPr="001D0C18">
        <w:rPr>
          <w:rFonts w:cstheme="minorHAnsi"/>
          <w:sz w:val="16"/>
          <w:szCs w:val="16"/>
        </w:rPr>
        <w:t xml:space="preserve"> </w:t>
      </w:r>
    </w:p>
  </w:endnote>
  <w:endnote w:id="23">
    <w:p w:rsidR="006660F8" w:rsidRPr="001D0C18" w:rsidRDefault="006660F8" w:rsidP="00DE129F">
      <w:pPr>
        <w:pStyle w:val="EndnoteText"/>
        <w:rPr>
          <w:sz w:val="16"/>
          <w:szCs w:val="16"/>
        </w:rPr>
      </w:pPr>
      <w:r w:rsidRPr="001D0C18">
        <w:rPr>
          <w:rStyle w:val="EndnoteReference"/>
          <w:sz w:val="16"/>
          <w:szCs w:val="16"/>
        </w:rPr>
        <w:endnoteRef/>
      </w:r>
      <w:r w:rsidRPr="001D0C18">
        <w:rPr>
          <w:sz w:val="16"/>
          <w:szCs w:val="16"/>
        </w:rPr>
        <w:t xml:space="preserve"> See Financing water and sanitation: public realities PSIRU 2012 </w:t>
      </w:r>
      <w:hyperlink r:id="rId22" w:history="1">
        <w:r w:rsidRPr="001D0C18">
          <w:rPr>
            <w:rStyle w:val="Hyperlink"/>
            <w:sz w:val="16"/>
            <w:szCs w:val="16"/>
          </w:rPr>
          <w:t>www.psiru.org</w:t>
        </w:r>
      </w:hyperlink>
      <w:r w:rsidRPr="001D0C18">
        <w:rPr>
          <w:sz w:val="16"/>
          <w:szCs w:val="16"/>
        </w:rPr>
        <w:t xml:space="preserve"> </w:t>
      </w:r>
    </w:p>
  </w:endnote>
  <w:endnote w:id="24">
    <w:p w:rsidR="006660F8" w:rsidRPr="001D0C18" w:rsidRDefault="006660F8" w:rsidP="009F2BFE">
      <w:pPr>
        <w:rPr>
          <w:sz w:val="16"/>
          <w:szCs w:val="16"/>
        </w:rPr>
      </w:pPr>
      <w:r w:rsidRPr="001D0C18">
        <w:rPr>
          <w:rStyle w:val="EndnoteReference"/>
          <w:sz w:val="16"/>
          <w:szCs w:val="16"/>
        </w:rPr>
        <w:endnoteRef/>
      </w:r>
      <w:r w:rsidRPr="001D0C18">
        <w:rPr>
          <w:sz w:val="16"/>
          <w:szCs w:val="16"/>
        </w:rPr>
        <w:t xml:space="preserve"> World Bank 2013 Indonesia Economic Quarterly March 2013: Pressures mounting</w:t>
      </w:r>
    </w:p>
    <w:p w:rsidR="006660F8" w:rsidRPr="001D0C18" w:rsidRDefault="006660F8" w:rsidP="009F2BFE">
      <w:pPr>
        <w:rPr>
          <w:sz w:val="16"/>
          <w:szCs w:val="16"/>
        </w:rPr>
      </w:pPr>
      <w:r w:rsidRPr="001D0C18">
        <w:rPr>
          <w:sz w:val="16"/>
          <w:szCs w:val="16"/>
        </w:rPr>
        <w:t xml:space="preserve"> </w:t>
      </w:r>
      <w:hyperlink r:id="rId23" w:history="1">
        <w:r w:rsidRPr="001D0C18">
          <w:rPr>
            <w:rStyle w:val="Hyperlink"/>
            <w:sz w:val="16"/>
            <w:szCs w:val="16"/>
          </w:rPr>
          <w:t>http://www.worldbank.org/en/news/feature/2013/03/19/indonesia-economic-quarterly-pressures-mounting</w:t>
        </w:r>
      </w:hyperlink>
      <w:r w:rsidRPr="001D0C18">
        <w:rPr>
          <w:sz w:val="16"/>
          <w:szCs w:val="16"/>
        </w:rPr>
        <w:t xml:space="preserve"> ; </w:t>
      </w:r>
    </w:p>
  </w:endnote>
  <w:endnote w:id="25">
    <w:p w:rsidR="006660F8" w:rsidRPr="001D0C18" w:rsidRDefault="006660F8" w:rsidP="00E45505">
      <w:pPr>
        <w:rPr>
          <w:sz w:val="16"/>
          <w:szCs w:val="16"/>
        </w:rPr>
      </w:pPr>
      <w:r w:rsidRPr="001D0C18">
        <w:rPr>
          <w:rStyle w:val="EndnoteReference"/>
          <w:sz w:val="16"/>
          <w:szCs w:val="16"/>
        </w:rPr>
        <w:endnoteRef/>
      </w:r>
      <w:r>
        <w:rPr>
          <w:sz w:val="16"/>
          <w:szCs w:val="16"/>
        </w:rPr>
        <w:t xml:space="preserve"> </w:t>
      </w:r>
      <w:r w:rsidRPr="001D0C18">
        <w:rPr>
          <w:sz w:val="16"/>
          <w:szCs w:val="16"/>
        </w:rPr>
        <w:t xml:space="preserve">‘Tax, Infrastructure, Anti-Corruption, Energy and the G20 | Lowy Institute for International Policy’. 2013. Accessed December 24. </w:t>
      </w:r>
      <w:hyperlink r:id="rId24" w:history="1">
        <w:r w:rsidRPr="001D0C18">
          <w:rPr>
            <w:rStyle w:val="Hyperlink"/>
            <w:sz w:val="16"/>
            <w:szCs w:val="16"/>
          </w:rPr>
          <w:t>http://www.lowyinstitute.org/publications/tax-infrastructure-anti-corruption-energy-and-g20</w:t>
        </w:r>
      </w:hyperlink>
      <w:r w:rsidRPr="001D0C18">
        <w:rPr>
          <w:sz w:val="16"/>
          <w:szCs w:val="16"/>
        </w:rPr>
        <w:t xml:space="preserve"> ; OECD Reviews of Regulatory Reform Sept 2012</w:t>
      </w:r>
      <w:r>
        <w:rPr>
          <w:sz w:val="16"/>
          <w:szCs w:val="16"/>
        </w:rPr>
        <w:t xml:space="preserve"> </w:t>
      </w:r>
      <w:r w:rsidRPr="001D0C18">
        <w:rPr>
          <w:sz w:val="16"/>
          <w:szCs w:val="16"/>
        </w:rPr>
        <w:t>Indonesia Public-Private Partnership Governance: Policy, Process And Structure</w:t>
      </w:r>
      <w:r>
        <w:rPr>
          <w:sz w:val="16"/>
          <w:szCs w:val="16"/>
        </w:rPr>
        <w:t xml:space="preserve"> </w:t>
      </w:r>
      <w:hyperlink r:id="rId25" w:history="1">
        <w:r w:rsidRPr="001D0C18">
          <w:rPr>
            <w:rStyle w:val="Hyperlink"/>
            <w:sz w:val="16"/>
            <w:szCs w:val="16"/>
          </w:rPr>
          <w:t>http://www.oecd.org/gov/regulatory-policy/Chap%206%20PPPs.pdf</w:t>
        </w:r>
      </w:hyperlink>
      <w:r w:rsidRPr="001D0C18">
        <w:rPr>
          <w:rStyle w:val="Hyperlink"/>
          <w:sz w:val="16"/>
          <w:szCs w:val="16"/>
        </w:rPr>
        <w:t xml:space="preserve"> ; </w:t>
      </w:r>
      <w:r w:rsidRPr="001D0C18">
        <w:rPr>
          <w:sz w:val="16"/>
          <w:szCs w:val="16"/>
        </w:rPr>
        <w:t>World Bank 2013 Indonesia Economic Quarterly March 2013: Pressures mounting</w:t>
      </w:r>
    </w:p>
    <w:p w:rsidR="006660F8" w:rsidRPr="001D0C18" w:rsidRDefault="006660F8" w:rsidP="00E45505">
      <w:pPr>
        <w:rPr>
          <w:sz w:val="16"/>
          <w:szCs w:val="16"/>
        </w:rPr>
      </w:pPr>
      <w:r w:rsidRPr="001D0C18">
        <w:rPr>
          <w:sz w:val="16"/>
          <w:szCs w:val="16"/>
        </w:rPr>
        <w:t xml:space="preserve"> </w:t>
      </w:r>
      <w:hyperlink r:id="rId26" w:history="1">
        <w:r w:rsidRPr="001D0C18">
          <w:rPr>
            <w:rStyle w:val="Hyperlink"/>
            <w:sz w:val="16"/>
            <w:szCs w:val="16"/>
          </w:rPr>
          <w:t>http://www.worldbank.org/en/news/feature/2013/03/19/indonesia-economic-quarterly-pressures-mounting</w:t>
        </w:r>
      </w:hyperlink>
      <w:r w:rsidRPr="001D0C18">
        <w:rPr>
          <w:rStyle w:val="Hyperlink"/>
          <w:sz w:val="16"/>
          <w:szCs w:val="16"/>
        </w:rPr>
        <w:t xml:space="preserve">; </w:t>
      </w:r>
    </w:p>
  </w:endnote>
  <w:endnote w:id="26">
    <w:p w:rsidR="006660F8" w:rsidRPr="001D0C18" w:rsidRDefault="006660F8" w:rsidP="00E45505">
      <w:pPr>
        <w:rPr>
          <w:sz w:val="16"/>
          <w:szCs w:val="16"/>
        </w:rPr>
      </w:pPr>
      <w:r w:rsidRPr="001D0C18">
        <w:rPr>
          <w:rStyle w:val="EndnoteReference"/>
          <w:sz w:val="16"/>
          <w:szCs w:val="16"/>
        </w:rPr>
        <w:endnoteRef/>
      </w:r>
      <w:r w:rsidRPr="001D0C18">
        <w:rPr>
          <w:sz w:val="16"/>
          <w:szCs w:val="16"/>
        </w:rPr>
        <w:t xml:space="preserve"> World Bank 2013 Indonesia Economic Quarterly March 2013: Pressures mounting</w:t>
      </w:r>
    </w:p>
    <w:p w:rsidR="006660F8" w:rsidRPr="001D0C18" w:rsidRDefault="006660F8" w:rsidP="00E45505">
      <w:pPr>
        <w:rPr>
          <w:sz w:val="16"/>
          <w:szCs w:val="16"/>
        </w:rPr>
      </w:pPr>
      <w:r w:rsidRPr="001D0C18">
        <w:rPr>
          <w:sz w:val="16"/>
          <w:szCs w:val="16"/>
        </w:rPr>
        <w:t xml:space="preserve"> </w:t>
      </w:r>
      <w:hyperlink r:id="rId27" w:history="1">
        <w:r w:rsidRPr="001D0C18">
          <w:rPr>
            <w:rStyle w:val="Hyperlink"/>
            <w:sz w:val="16"/>
            <w:szCs w:val="16"/>
          </w:rPr>
          <w:t>http://www.worldbank.org/en/news/feature/2013/03/19/indonesia-economic-quarterly-pressures-mounting</w:t>
        </w:r>
      </w:hyperlink>
      <w:r w:rsidRPr="001D0C18">
        <w:rPr>
          <w:sz w:val="16"/>
          <w:szCs w:val="16"/>
        </w:rPr>
        <w:t xml:space="preserve"> ; ‘Tax, Infrastructure, Anti-Corruption, Energy and the G20 | Lowy Institute for International Policy’. 2013. Accessed December 24. </w:t>
      </w:r>
      <w:hyperlink r:id="rId28" w:history="1">
        <w:r w:rsidRPr="001D0C18">
          <w:rPr>
            <w:rStyle w:val="Hyperlink"/>
            <w:sz w:val="16"/>
            <w:szCs w:val="16"/>
          </w:rPr>
          <w:t>http://www.lowyinstitute.org/publications/tax-infrastructure-anti-corruption-energy-and-g20</w:t>
        </w:r>
      </w:hyperlink>
      <w:r w:rsidRPr="001D0C18">
        <w:rPr>
          <w:sz w:val="16"/>
          <w:szCs w:val="16"/>
        </w:rPr>
        <w:t xml:space="preserve"> ; Business Monitor Online November 21, 2013 PPP Book Highlights Potential And Lacklustre Progress</w:t>
      </w:r>
    </w:p>
  </w:endnote>
  <w:endnote w:id="27">
    <w:p w:rsidR="006660F8" w:rsidRPr="001D0C18" w:rsidRDefault="006660F8" w:rsidP="00F84288">
      <w:pPr>
        <w:pStyle w:val="EndnoteText"/>
        <w:rPr>
          <w:sz w:val="16"/>
          <w:szCs w:val="16"/>
        </w:rPr>
      </w:pPr>
      <w:r w:rsidRPr="001D0C18">
        <w:rPr>
          <w:rStyle w:val="EndnoteReference"/>
          <w:sz w:val="16"/>
          <w:szCs w:val="16"/>
        </w:rPr>
        <w:endnoteRef/>
      </w:r>
      <w:r w:rsidRPr="001D0C18">
        <w:rPr>
          <w:sz w:val="16"/>
          <w:szCs w:val="16"/>
        </w:rPr>
        <w:t xml:space="preserve"> OECD Reviews of Regulatory Reform Sept 2012</w:t>
      </w:r>
      <w:r>
        <w:rPr>
          <w:sz w:val="16"/>
          <w:szCs w:val="16"/>
        </w:rPr>
        <w:t xml:space="preserve"> </w:t>
      </w:r>
      <w:r w:rsidRPr="00237AAF">
        <w:rPr>
          <w:bCs/>
          <w:sz w:val="16"/>
          <w:szCs w:val="16"/>
        </w:rPr>
        <w:t xml:space="preserve">Indonesia </w:t>
      </w:r>
      <w:r w:rsidRPr="001D0C18">
        <w:rPr>
          <w:sz w:val="16"/>
          <w:szCs w:val="16"/>
        </w:rPr>
        <w:t>Public-Private Partnership Governance: Policy, Process And Structure</w:t>
      </w:r>
      <w:r>
        <w:rPr>
          <w:sz w:val="16"/>
          <w:szCs w:val="16"/>
        </w:rPr>
        <w:t xml:space="preserve"> </w:t>
      </w:r>
      <w:hyperlink r:id="rId29" w:history="1">
        <w:r w:rsidRPr="001D0C18">
          <w:rPr>
            <w:rStyle w:val="Hyperlink"/>
            <w:sz w:val="16"/>
            <w:szCs w:val="16"/>
          </w:rPr>
          <w:t>http://www.oecd.org/gov/regulatory-policy/Chap%206%20PPPs.pdf</w:t>
        </w:r>
      </w:hyperlink>
    </w:p>
  </w:endnote>
  <w:endnote w:id="28">
    <w:p w:rsidR="006660F8" w:rsidRPr="001D0C18" w:rsidRDefault="006660F8" w:rsidP="00EA5ED2">
      <w:pPr>
        <w:pStyle w:val="EndnoteText"/>
        <w:rPr>
          <w:sz w:val="16"/>
          <w:szCs w:val="16"/>
        </w:rPr>
      </w:pPr>
      <w:r w:rsidRPr="001D0C18">
        <w:rPr>
          <w:rStyle w:val="EndnoteReference"/>
          <w:sz w:val="16"/>
          <w:szCs w:val="16"/>
        </w:rPr>
        <w:endnoteRef/>
      </w:r>
      <w:r w:rsidRPr="001D0C18">
        <w:rPr>
          <w:sz w:val="16"/>
          <w:szCs w:val="16"/>
        </w:rPr>
        <w:t xml:space="preserve"> </w:t>
      </w:r>
      <w:hyperlink r:id="rId30" w:history="1">
        <w:r w:rsidRPr="001D0C18">
          <w:rPr>
            <w:rStyle w:val="Hyperlink"/>
            <w:sz w:val="16"/>
            <w:szCs w:val="16"/>
          </w:rPr>
          <w:t>http://www.unece.org/ceci/documents/2009/ppp/session2tosppp09.html</w:t>
        </w:r>
      </w:hyperlink>
      <w:r w:rsidRPr="001D0C18">
        <w:rPr>
          <w:sz w:val="16"/>
          <w:szCs w:val="16"/>
        </w:rPr>
        <w:t xml:space="preserve"> </w:t>
      </w:r>
    </w:p>
  </w:endnote>
  <w:endnote w:id="29">
    <w:p w:rsidR="006660F8" w:rsidRPr="001D0C18" w:rsidRDefault="006660F8" w:rsidP="00EA5ED2">
      <w:pPr>
        <w:pStyle w:val="NormalWeb"/>
        <w:rPr>
          <w:sz w:val="16"/>
          <w:szCs w:val="16"/>
        </w:rPr>
      </w:pPr>
      <w:r w:rsidRPr="001D0C18">
        <w:rPr>
          <w:rStyle w:val="EndnoteReference"/>
          <w:sz w:val="16"/>
          <w:szCs w:val="16"/>
        </w:rPr>
        <w:endnoteRef/>
      </w:r>
      <w:r w:rsidRPr="001D0C18">
        <w:rPr>
          <w:sz w:val="16"/>
          <w:szCs w:val="16"/>
        </w:rPr>
        <w:t xml:space="preserve"> ‘Impact of the Global Financial Crisis - What Does It Mean for PPPs in the Short to Medium Term?’</w:t>
      </w:r>
      <w:r>
        <w:rPr>
          <w:sz w:val="16"/>
          <w:szCs w:val="16"/>
        </w:rPr>
        <w:t xml:space="preserve"> </w:t>
      </w:r>
      <w:r w:rsidRPr="001D0C18">
        <w:rPr>
          <w:sz w:val="16"/>
          <w:szCs w:val="16"/>
        </w:rPr>
        <w:t xml:space="preserve">Presentation by </w:t>
      </w:r>
      <w:r w:rsidRPr="001D0C18">
        <w:rPr>
          <w:bCs/>
          <w:sz w:val="16"/>
          <w:szCs w:val="16"/>
        </w:rPr>
        <w:t>Geoffrey Hamilton</w:t>
      </w:r>
      <w:r w:rsidRPr="001D0C18">
        <w:rPr>
          <w:sz w:val="16"/>
          <w:szCs w:val="16"/>
        </w:rPr>
        <w:t xml:space="preserve"> Chief of Section, Economic Cooperation and Integration Division, UNECE. 20 May 2009 to KDI/ADB/ADBI/WBI conference ‘</w:t>
      </w:r>
      <w:r w:rsidRPr="001D0C18">
        <w:rPr>
          <w:bCs/>
          <w:sz w:val="16"/>
          <w:szCs w:val="16"/>
        </w:rPr>
        <w:t xml:space="preserve">Knowledge Sharing on Infrastructure Public-Private Partnerships in Asia’ </w:t>
      </w:r>
      <w:r w:rsidRPr="001D0C18">
        <w:rPr>
          <w:sz w:val="16"/>
          <w:szCs w:val="16"/>
        </w:rPr>
        <w:t xml:space="preserve">19-21 May 2009 Seoul, Korea </w:t>
      </w:r>
      <w:hyperlink r:id="rId31" w:history="1">
        <w:r w:rsidRPr="001D0C18">
          <w:rPr>
            <w:rStyle w:val="Hyperlink"/>
            <w:sz w:val="16"/>
            <w:szCs w:val="16"/>
          </w:rPr>
          <w:t>http://pima.kdi.re.kr/eng/new/event/090619/9-4.pdf</w:t>
        </w:r>
      </w:hyperlink>
      <w:r w:rsidRPr="001D0C18">
        <w:rPr>
          <w:sz w:val="16"/>
          <w:szCs w:val="16"/>
        </w:rPr>
        <w:t xml:space="preserve"> </w:t>
      </w:r>
    </w:p>
    <w:p w:rsidR="006660F8" w:rsidRPr="001D0C18" w:rsidRDefault="006660F8" w:rsidP="00EA5ED2">
      <w:pPr>
        <w:pStyle w:val="EndnoteText"/>
        <w:rPr>
          <w:sz w:val="16"/>
          <w:szCs w:val="16"/>
        </w:rPr>
      </w:pPr>
      <w:r w:rsidRPr="001D0C18">
        <w:rPr>
          <w:sz w:val="16"/>
          <w:szCs w:val="16"/>
        </w:rPr>
        <w:t xml:space="preserve">South Korea, May 2009 </w:t>
      </w:r>
      <w:hyperlink r:id="rId32" w:history="1">
        <w:r w:rsidRPr="001D0C18">
          <w:rPr>
            <w:rStyle w:val="Hyperlink"/>
            <w:sz w:val="16"/>
            <w:szCs w:val="16"/>
          </w:rPr>
          <w:t>http://pimac.kdi.re.kr/eng/new/event_list7.jsp</w:t>
        </w:r>
      </w:hyperlink>
      <w:r w:rsidRPr="001D0C18">
        <w:rPr>
          <w:sz w:val="16"/>
          <w:szCs w:val="16"/>
        </w:rPr>
        <w:t xml:space="preserve"> </w:t>
      </w:r>
    </w:p>
  </w:endnote>
  <w:endnote w:id="30">
    <w:p w:rsidR="006660F8" w:rsidRPr="001D0C18" w:rsidRDefault="006660F8" w:rsidP="00EA5ED2">
      <w:pPr>
        <w:pStyle w:val="EndnoteText"/>
        <w:rPr>
          <w:sz w:val="16"/>
          <w:szCs w:val="16"/>
        </w:rPr>
      </w:pPr>
      <w:r w:rsidRPr="001D0C18">
        <w:rPr>
          <w:rStyle w:val="EndnoteReference"/>
          <w:sz w:val="16"/>
          <w:szCs w:val="16"/>
        </w:rPr>
        <w:endnoteRef/>
      </w:r>
      <w:r w:rsidRPr="001D0C18">
        <w:rPr>
          <w:sz w:val="16"/>
          <w:szCs w:val="16"/>
        </w:rPr>
        <w:t xml:space="preserve"> South Korea, May 2009 </w:t>
      </w:r>
      <w:hyperlink r:id="rId33" w:history="1">
        <w:r w:rsidRPr="001D0C18">
          <w:rPr>
            <w:rStyle w:val="Hyperlink"/>
            <w:sz w:val="16"/>
            <w:szCs w:val="16"/>
          </w:rPr>
          <w:t>http://pimac.kdi.re.kr/eng/new/event_list7.jsp</w:t>
        </w:r>
      </w:hyperlink>
    </w:p>
  </w:endnote>
  <w:endnote w:id="31">
    <w:p w:rsidR="006660F8" w:rsidRPr="001D0C18" w:rsidRDefault="006660F8" w:rsidP="00C827B0">
      <w:pPr>
        <w:pStyle w:val="EndnoteText"/>
        <w:rPr>
          <w:sz w:val="16"/>
          <w:szCs w:val="16"/>
        </w:rPr>
      </w:pPr>
      <w:r w:rsidRPr="001D0C18">
        <w:rPr>
          <w:rStyle w:val="EndnoteReference"/>
          <w:sz w:val="16"/>
          <w:szCs w:val="16"/>
        </w:rPr>
        <w:endnoteRef/>
      </w:r>
      <w:r w:rsidRPr="001D0C18">
        <w:rPr>
          <w:sz w:val="16"/>
          <w:szCs w:val="16"/>
        </w:rPr>
        <w:t xml:space="preserve"> South Korea, May 2009</w:t>
      </w:r>
      <w:hyperlink r:id="rId34" w:history="1">
        <w:r w:rsidRPr="001D0C18">
          <w:rPr>
            <w:rStyle w:val="Hyperlink"/>
            <w:sz w:val="16"/>
            <w:szCs w:val="16"/>
          </w:rPr>
          <w:t>http://pimac.kdi.re.kr/eng/new/event_list7.jsp</w:t>
        </w:r>
      </w:hyperlink>
    </w:p>
  </w:endnote>
  <w:endnote w:id="32">
    <w:p w:rsidR="006660F8" w:rsidRPr="001D0C18" w:rsidRDefault="006660F8" w:rsidP="00532688">
      <w:pPr>
        <w:pStyle w:val="EndnoteText"/>
        <w:rPr>
          <w:sz w:val="16"/>
          <w:szCs w:val="16"/>
        </w:rPr>
      </w:pPr>
      <w:r w:rsidRPr="001D0C18">
        <w:rPr>
          <w:rStyle w:val="EndnoteReference"/>
          <w:sz w:val="16"/>
          <w:szCs w:val="16"/>
        </w:rPr>
        <w:endnoteRef/>
      </w:r>
      <w:r w:rsidRPr="001D0C18">
        <w:rPr>
          <w:sz w:val="16"/>
          <w:szCs w:val="16"/>
        </w:rPr>
        <w:t xml:space="preserve"> </w:t>
      </w:r>
      <w:r w:rsidRPr="001D0C18">
        <w:rPr>
          <w:bCs/>
          <w:sz w:val="16"/>
          <w:szCs w:val="16"/>
        </w:rPr>
        <w:t xml:space="preserve">The Effects of the Financial Crisis on Public-Private Partnerships . IMF Working Paper </w:t>
      </w:r>
      <w:r w:rsidRPr="001D0C18">
        <w:rPr>
          <w:sz w:val="16"/>
          <w:szCs w:val="16"/>
        </w:rPr>
        <w:t xml:space="preserve">WP/ 09/144 July 2009 Figure 1, p.6, corporate credit spreads over 5yr US Treasury </w:t>
      </w:r>
      <w:hyperlink r:id="rId35" w:history="1">
        <w:r w:rsidRPr="001D0C18">
          <w:rPr>
            <w:rStyle w:val="Hyperlink"/>
            <w:sz w:val="16"/>
            <w:szCs w:val="16"/>
          </w:rPr>
          <w:t>http://www.imf.org/external/pubs/cat/longres.cfm?sk=23065.0</w:t>
        </w:r>
      </w:hyperlink>
    </w:p>
  </w:endnote>
  <w:endnote w:id="33">
    <w:p w:rsidR="006660F8" w:rsidRPr="00CE3EAF" w:rsidRDefault="006660F8">
      <w:pPr>
        <w:pStyle w:val="EndnoteText"/>
        <w:rPr>
          <w:sz w:val="16"/>
          <w:szCs w:val="16"/>
        </w:rPr>
      </w:pPr>
      <w:r w:rsidRPr="00CE3EAF">
        <w:rPr>
          <w:rStyle w:val="EndnoteReference"/>
          <w:sz w:val="16"/>
          <w:szCs w:val="16"/>
        </w:rPr>
        <w:endnoteRef/>
      </w:r>
      <w:r w:rsidRPr="00CE3EAF">
        <w:rPr>
          <w:sz w:val="16"/>
          <w:szCs w:val="16"/>
        </w:rPr>
        <w:t xml:space="preserve"> Guillermo Perry. </w:t>
      </w:r>
      <w:r w:rsidRPr="00CE3EAF">
        <w:rPr>
          <w:bCs/>
          <w:sz w:val="16"/>
          <w:szCs w:val="16"/>
        </w:rPr>
        <w:t xml:space="preserve">Growing Business or Development Priority? </w:t>
      </w:r>
      <w:r w:rsidRPr="00CE3EAF">
        <w:rPr>
          <w:sz w:val="16"/>
          <w:szCs w:val="16"/>
        </w:rPr>
        <w:t xml:space="preserve">Multilateral Development Banks’ Direct Support to Private Firms CGD Brief April 2011 </w:t>
      </w:r>
      <w:hyperlink r:id="rId36" w:history="1">
        <w:r w:rsidRPr="00CE3EAF">
          <w:rPr>
            <w:rStyle w:val="Hyperlink"/>
            <w:sz w:val="16"/>
            <w:szCs w:val="16"/>
          </w:rPr>
          <w:t>http://international.cgdev.org/sites/default/files/1424993_file_Perry_PrivFirms_FINAL.pdf</w:t>
        </w:r>
      </w:hyperlink>
    </w:p>
  </w:endnote>
  <w:endnote w:id="34">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World Bank et al Feb 2013 </w:t>
      </w:r>
      <w:r w:rsidRPr="001D0C18">
        <w:rPr>
          <w:bCs/>
          <w:sz w:val="16"/>
          <w:szCs w:val="16"/>
        </w:rPr>
        <w:t>Long-Term Investment Financing for Growth and Development: Umbrella Paper (February 2013)</w:t>
      </w:r>
      <w:r>
        <w:rPr>
          <w:bCs/>
          <w:sz w:val="16"/>
          <w:szCs w:val="16"/>
        </w:rPr>
        <w:t xml:space="preserve"> </w:t>
      </w:r>
      <w:hyperlink r:id="rId37" w:history="1">
        <w:r w:rsidRPr="001D0C18">
          <w:rPr>
            <w:rStyle w:val="Hyperlink"/>
            <w:bCs/>
            <w:sz w:val="16"/>
            <w:szCs w:val="16"/>
          </w:rPr>
          <w:t>http://en.g20russia.ru/news/20130228/781245645.html</w:t>
        </w:r>
      </w:hyperlink>
      <w:r w:rsidRPr="001D0C18">
        <w:rPr>
          <w:bCs/>
          <w:sz w:val="16"/>
          <w:szCs w:val="16"/>
        </w:rPr>
        <w:t xml:space="preserve"> and</w:t>
      </w:r>
      <w:r>
        <w:rPr>
          <w:bCs/>
          <w:sz w:val="16"/>
          <w:szCs w:val="16"/>
        </w:rPr>
        <w:t xml:space="preserve"> </w:t>
      </w:r>
      <w:hyperlink r:id="rId38" w:history="1">
        <w:r w:rsidRPr="001D0C18">
          <w:rPr>
            <w:rStyle w:val="Hyperlink"/>
            <w:bCs/>
            <w:sz w:val="16"/>
            <w:szCs w:val="16"/>
          </w:rPr>
          <w:t>http://en.g20russia.ru/load/781245667</w:t>
        </w:r>
      </w:hyperlink>
      <w:r w:rsidRPr="001D0C18">
        <w:rPr>
          <w:sz w:val="16"/>
          <w:szCs w:val="16"/>
        </w:rPr>
        <w:t xml:space="preserve"> ; World Bank Oct 2013 Financing for Development</w:t>
      </w:r>
      <w:r>
        <w:rPr>
          <w:sz w:val="16"/>
          <w:szCs w:val="16"/>
        </w:rPr>
        <w:t xml:space="preserve"> </w:t>
      </w:r>
      <w:hyperlink r:id="rId39" w:history="1">
        <w:r w:rsidRPr="001D0C18">
          <w:rPr>
            <w:rStyle w:val="Hyperlink"/>
            <w:sz w:val="16"/>
            <w:szCs w:val="16"/>
          </w:rPr>
          <w:t>http://www.worldbank.org/content/dam/Worldbank/document/Poverty documents/WB-PREM financing-for-development-pub-10-11-13web.pdf</w:t>
        </w:r>
      </w:hyperlink>
    </w:p>
  </w:endnote>
  <w:endnote w:id="35">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IFC Annual Report 2013</w:t>
      </w:r>
      <w:r>
        <w:rPr>
          <w:sz w:val="16"/>
          <w:szCs w:val="16"/>
        </w:rPr>
        <w:t xml:space="preserve"> </w:t>
      </w:r>
      <w:hyperlink r:id="rId40" w:history="1">
        <w:r w:rsidRPr="001D0C18">
          <w:rPr>
            <w:rStyle w:val="Hyperlink"/>
            <w:sz w:val="16"/>
            <w:szCs w:val="16"/>
          </w:rPr>
          <w:t>http://www.ifc.org/wps/wcm/connect/corp_ext_content/ifc_external_corporate_site/annual+report/2013_online_report/2013_printed_report/ar2013</w:t>
        </w:r>
      </w:hyperlink>
      <w:r w:rsidRPr="001D0C18">
        <w:rPr>
          <w:sz w:val="16"/>
          <w:szCs w:val="16"/>
        </w:rPr>
        <w:t xml:space="preserve"> </w:t>
      </w:r>
    </w:p>
  </w:endnote>
  <w:endnote w:id="36">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See </w:t>
      </w:r>
      <w:hyperlink r:id="rId41" w:history="1">
        <w:r w:rsidRPr="001D0C18">
          <w:rPr>
            <w:rStyle w:val="Hyperlink"/>
            <w:sz w:val="16"/>
            <w:szCs w:val="16"/>
          </w:rPr>
          <w:t>http://www.ifc.org/wps/wcm/connect/bdac3e00407f53ce850b95cdd0ee9c33/SectorSheets_Power.pdf?MOD=AJPERES</w:t>
        </w:r>
      </w:hyperlink>
      <w:r w:rsidRPr="001D0C18">
        <w:rPr>
          <w:sz w:val="16"/>
          <w:szCs w:val="16"/>
        </w:rPr>
        <w:t xml:space="preserve"> </w:t>
      </w:r>
    </w:p>
  </w:endnote>
  <w:endnote w:id="37">
    <w:p w:rsidR="006660F8" w:rsidRPr="001D0C18" w:rsidRDefault="006660F8" w:rsidP="00327ABE">
      <w:pPr>
        <w:pStyle w:val="EndnoteText"/>
        <w:rPr>
          <w:sz w:val="16"/>
          <w:szCs w:val="16"/>
          <w:lang w:val="pt-BR"/>
        </w:rPr>
      </w:pPr>
      <w:r w:rsidRPr="001D0C18">
        <w:rPr>
          <w:rStyle w:val="EndnoteReference"/>
          <w:sz w:val="16"/>
          <w:szCs w:val="16"/>
        </w:rPr>
        <w:endnoteRef/>
      </w:r>
      <w:r>
        <w:rPr>
          <w:sz w:val="16"/>
          <w:szCs w:val="16"/>
          <w:lang w:val="pt-BR"/>
        </w:rPr>
        <w:t xml:space="preserve"> </w:t>
      </w:r>
      <w:r w:rsidRPr="001D0C18">
        <w:rPr>
          <w:sz w:val="16"/>
          <w:szCs w:val="16"/>
          <w:lang w:val="pt-BR"/>
        </w:rPr>
        <w:t xml:space="preserve">IFC AEGEA Saneamento </w:t>
      </w:r>
      <w:hyperlink r:id="rId42" w:history="1">
        <w:r w:rsidRPr="001D0C18">
          <w:rPr>
            <w:rStyle w:val="Hyperlink"/>
            <w:sz w:val="16"/>
            <w:szCs w:val="16"/>
            <w:lang w:val="pt-BR"/>
          </w:rPr>
          <w:t>https://ifcndd.ifc.org/ifcext/spiwebsite1.nsf/78e3b305216fcdba85257a8b0075079d/0dd0ea74e45ff42f852579d6005ae81c?opendocument</w:t>
        </w:r>
      </w:hyperlink>
      <w:r w:rsidRPr="001D0C18">
        <w:rPr>
          <w:sz w:val="16"/>
          <w:szCs w:val="16"/>
          <w:lang w:val="pt-BR"/>
        </w:rPr>
        <w:t xml:space="preserve"> </w:t>
      </w:r>
    </w:p>
  </w:endnote>
  <w:endnote w:id="38">
    <w:p w:rsidR="006660F8" w:rsidRPr="001D0C18" w:rsidRDefault="006660F8" w:rsidP="00BF058F">
      <w:pPr>
        <w:rPr>
          <w:sz w:val="16"/>
          <w:szCs w:val="16"/>
        </w:rPr>
      </w:pPr>
      <w:r w:rsidRPr="001D0C18">
        <w:rPr>
          <w:rStyle w:val="EndnoteReference"/>
          <w:sz w:val="16"/>
          <w:szCs w:val="16"/>
        </w:rPr>
        <w:endnoteRef/>
      </w:r>
      <w:hyperlink r:id="rId43" w:history="1">
        <w:r w:rsidRPr="001D0C18">
          <w:rPr>
            <w:rStyle w:val="Hyperlink"/>
            <w:sz w:val="16"/>
            <w:szCs w:val="16"/>
          </w:rPr>
          <w:t>Philippine Daily Inquirer</w:t>
        </w:r>
      </w:hyperlink>
      <w:r w:rsidRPr="001D0C18">
        <w:rPr>
          <w:bCs/>
          <w:sz w:val="16"/>
          <w:szCs w:val="16"/>
        </w:rPr>
        <w:t xml:space="preserve"> 21 August 2013 Olongapo starts paying up power debts</w:t>
      </w:r>
      <w:r w:rsidRPr="001D0C18">
        <w:rPr>
          <w:sz w:val="16"/>
          <w:szCs w:val="16"/>
        </w:rPr>
        <w:t xml:space="preserve"> </w:t>
      </w:r>
      <w:hyperlink r:id="rId44" w:history="1">
        <w:r w:rsidRPr="001D0C18">
          <w:rPr>
            <w:rStyle w:val="Hyperlink"/>
            <w:sz w:val="16"/>
            <w:szCs w:val="16"/>
          </w:rPr>
          <w:t>http://newsinfo.inquirer.net/471603/olongapo-starts-paying-up-power-debts</w:t>
        </w:r>
      </w:hyperlink>
      <w:r w:rsidRPr="001D0C18">
        <w:rPr>
          <w:sz w:val="16"/>
          <w:szCs w:val="16"/>
        </w:rPr>
        <w:t xml:space="preserve"> </w:t>
      </w:r>
    </w:p>
  </w:endnote>
  <w:endnote w:id="39">
    <w:p w:rsidR="006660F8" w:rsidRPr="001D0C18" w:rsidRDefault="006660F8" w:rsidP="00BF058F">
      <w:pPr>
        <w:rPr>
          <w:sz w:val="16"/>
          <w:szCs w:val="16"/>
        </w:rPr>
      </w:pPr>
      <w:r w:rsidRPr="001D0C18">
        <w:rPr>
          <w:rStyle w:val="EndnoteReference"/>
          <w:sz w:val="16"/>
          <w:szCs w:val="16"/>
        </w:rPr>
        <w:endnoteRef/>
      </w:r>
      <w:r>
        <w:rPr>
          <w:sz w:val="16"/>
          <w:szCs w:val="16"/>
        </w:rPr>
        <w:t xml:space="preserve"> </w:t>
      </w:r>
      <w:r w:rsidRPr="001D0C18">
        <w:rPr>
          <w:sz w:val="16"/>
          <w:szCs w:val="16"/>
        </w:rPr>
        <w:t xml:space="preserve">Tirana Times 24 Dec 2013 </w:t>
      </w:r>
      <w:r w:rsidRPr="001D0C18">
        <w:rPr>
          <w:bCs/>
          <w:sz w:val="16"/>
          <w:szCs w:val="16"/>
        </w:rPr>
        <w:t xml:space="preserve">Kurum offers Euro 110 million for four hydropower plants </w:t>
      </w:r>
      <w:hyperlink r:id="rId45" w:history="1">
        <w:r w:rsidRPr="001D0C18">
          <w:rPr>
            <w:rStyle w:val="Hyperlink"/>
            <w:bCs/>
            <w:sz w:val="16"/>
            <w:szCs w:val="16"/>
          </w:rPr>
          <w:t>http://www.tiranatimes.com/news.php?id=14633&amp;cat=2</w:t>
        </w:r>
      </w:hyperlink>
      <w:r w:rsidRPr="001D0C18">
        <w:rPr>
          <w:bCs/>
          <w:sz w:val="16"/>
          <w:szCs w:val="16"/>
        </w:rPr>
        <w:t xml:space="preserve"> ; SEE</w:t>
      </w:r>
      <w:r>
        <w:rPr>
          <w:bCs/>
          <w:sz w:val="16"/>
          <w:szCs w:val="16"/>
        </w:rPr>
        <w:t xml:space="preserve"> </w:t>
      </w:r>
      <w:r w:rsidRPr="001D0C18">
        <w:rPr>
          <w:bCs/>
          <w:sz w:val="16"/>
          <w:szCs w:val="16"/>
        </w:rPr>
        <w:t>news December 20, 2013IFC lends 106 mln euro to Albania's Kurum International for HPP projects</w:t>
      </w:r>
      <w:r>
        <w:rPr>
          <w:bCs/>
          <w:sz w:val="16"/>
          <w:szCs w:val="16"/>
        </w:rPr>
        <w:t xml:space="preserve"> </w:t>
      </w:r>
      <w:hyperlink r:id="rId46" w:history="1">
        <w:r w:rsidRPr="001D0C18">
          <w:rPr>
            <w:rStyle w:val="Hyperlink"/>
            <w:bCs/>
            <w:sz w:val="16"/>
            <w:szCs w:val="16"/>
          </w:rPr>
          <w:t>https://renewables.seenews.com/news/ifc-lends-106-mln-euro-to-albanias-kurum-international-for-hpp-projects-396204</w:t>
        </w:r>
      </w:hyperlink>
      <w:r w:rsidRPr="001D0C18">
        <w:rPr>
          <w:bCs/>
          <w:sz w:val="16"/>
          <w:szCs w:val="16"/>
        </w:rPr>
        <w:t xml:space="preserve"> ; </w:t>
      </w:r>
      <w:hyperlink r:id="rId47" w:tgtFrame="_parent" w:history="1">
        <w:r w:rsidRPr="001D0C18">
          <w:rPr>
            <w:rStyle w:val="Hyperlink"/>
            <w:bCs/>
            <w:sz w:val="16"/>
            <w:szCs w:val="16"/>
          </w:rPr>
          <w:t>CEZ formally initiates arbitration proceedings against Albania in electricity dispute</w:t>
        </w:r>
      </w:hyperlink>
      <w:r>
        <w:rPr>
          <w:rStyle w:val="Hyperlink"/>
          <w:bCs/>
          <w:sz w:val="16"/>
          <w:szCs w:val="16"/>
        </w:rPr>
        <w:t xml:space="preserve"> </w:t>
      </w:r>
      <w:r w:rsidRPr="001D0C18">
        <w:rPr>
          <w:bCs/>
          <w:sz w:val="16"/>
          <w:szCs w:val="16"/>
        </w:rPr>
        <w:t xml:space="preserve">IHS Global Insight, May 17, 2013, In Brief, 331 words, Andrew Neff </w:t>
      </w:r>
    </w:p>
  </w:endnote>
  <w:endnote w:id="40">
    <w:p w:rsidR="006660F8" w:rsidRPr="00CE3EAF" w:rsidRDefault="006660F8" w:rsidP="00327ABE">
      <w:pPr>
        <w:pStyle w:val="EndnoteText"/>
        <w:rPr>
          <w:sz w:val="16"/>
          <w:szCs w:val="16"/>
        </w:rPr>
      </w:pPr>
      <w:r w:rsidRPr="00CE3EAF">
        <w:rPr>
          <w:rStyle w:val="EndnoteReference"/>
          <w:sz w:val="16"/>
          <w:szCs w:val="16"/>
        </w:rPr>
        <w:endnoteRef/>
      </w:r>
      <w:r w:rsidRPr="00CE3EAF">
        <w:rPr>
          <w:sz w:val="16"/>
          <w:szCs w:val="16"/>
        </w:rPr>
        <w:t xml:space="preserve"> Cordiant: Infrastructure Crisis Facility – Debt Pool</w:t>
      </w:r>
      <w:r>
        <w:rPr>
          <w:sz w:val="16"/>
          <w:szCs w:val="16"/>
        </w:rPr>
        <w:t xml:space="preserve"> </w:t>
      </w:r>
      <w:hyperlink r:id="rId48" w:history="1">
        <w:r w:rsidRPr="00CE3EAF">
          <w:rPr>
            <w:rStyle w:val="Hyperlink"/>
            <w:sz w:val="16"/>
            <w:szCs w:val="16"/>
          </w:rPr>
          <w:t>http://www.cordiantcap.com/investment-program/icf-debt-pool/</w:t>
        </w:r>
      </w:hyperlink>
      <w:r w:rsidRPr="00CE3EAF">
        <w:rPr>
          <w:sz w:val="16"/>
          <w:szCs w:val="16"/>
        </w:rPr>
        <w:t xml:space="preserve"> </w:t>
      </w:r>
    </w:p>
  </w:endnote>
  <w:endnote w:id="41">
    <w:p w:rsidR="006660F8" w:rsidRPr="00CE3EAF" w:rsidRDefault="006660F8" w:rsidP="00EC4A5D">
      <w:pPr>
        <w:rPr>
          <w:sz w:val="16"/>
          <w:szCs w:val="16"/>
        </w:rPr>
      </w:pPr>
      <w:r w:rsidRPr="00CE3EAF">
        <w:rPr>
          <w:rStyle w:val="EndnoteReference"/>
          <w:sz w:val="16"/>
          <w:szCs w:val="16"/>
        </w:rPr>
        <w:endnoteRef/>
      </w:r>
      <w:r>
        <w:rPr>
          <w:sz w:val="16"/>
          <w:szCs w:val="16"/>
        </w:rPr>
        <w:t xml:space="preserve"> </w:t>
      </w:r>
      <w:hyperlink r:id="rId49" w:history="1">
        <w:r w:rsidRPr="00CE3EAF">
          <w:rPr>
            <w:rStyle w:val="Hyperlink"/>
            <w:sz w:val="16"/>
            <w:szCs w:val="16"/>
          </w:rPr>
          <w:t>http://www.addaxbioenergy.com/en/the-makeni-project/development-partners.php</w:t>
        </w:r>
      </w:hyperlink>
      <w:r w:rsidRPr="00CE3EAF">
        <w:rPr>
          <w:sz w:val="16"/>
          <w:szCs w:val="16"/>
        </w:rPr>
        <w:t xml:space="preserve">; </w:t>
      </w:r>
      <w:hyperlink r:id="rId50" w:history="1">
        <w:r w:rsidRPr="00CE3EAF">
          <w:rPr>
            <w:rStyle w:val="Hyperlink"/>
            <w:sz w:val="16"/>
            <w:szCs w:val="16"/>
          </w:rPr>
          <w:t>http://www.afdb.org/fileadmin/uploads/afdb/Documents/Environmental-and-Social-Assessments/Addax%20Bioenergy%20-%20ESHIA%20summary%20-%20Final%20EN.pdf</w:t>
        </w:r>
      </w:hyperlink>
      <w:r w:rsidRPr="00CE3EAF">
        <w:rPr>
          <w:sz w:val="16"/>
          <w:szCs w:val="16"/>
        </w:rPr>
        <w:t>;</w:t>
      </w:r>
      <w:r>
        <w:rPr>
          <w:sz w:val="16"/>
          <w:szCs w:val="16"/>
        </w:rPr>
        <w:t xml:space="preserve"> </w:t>
      </w:r>
      <w:hyperlink r:id="rId51" w:history="1">
        <w:r w:rsidRPr="00CE3EAF">
          <w:rPr>
            <w:rStyle w:val="Hyperlink"/>
            <w:sz w:val="16"/>
            <w:szCs w:val="16"/>
          </w:rPr>
          <w:t>http://www.pidg.org/what-we-do/projects/sierra-leone/addax-bioenergy</w:t>
        </w:r>
      </w:hyperlink>
      <w:r w:rsidRPr="00CE3EAF">
        <w:rPr>
          <w:sz w:val="16"/>
          <w:szCs w:val="16"/>
        </w:rPr>
        <w:t xml:space="preserve">; </w:t>
      </w:r>
      <w:hyperlink r:id="rId52" w:history="1">
        <w:r w:rsidRPr="00CE3EAF">
          <w:rPr>
            <w:rStyle w:val="Hyperlink"/>
            <w:sz w:val="16"/>
            <w:szCs w:val="16"/>
          </w:rPr>
          <w:t>http://www.actionaid.org.uk/sites/default/files/publications/brokenpromises_0.pdf</w:t>
        </w:r>
      </w:hyperlink>
      <w:r w:rsidRPr="00CE3EAF">
        <w:rPr>
          <w:sz w:val="16"/>
          <w:szCs w:val="16"/>
        </w:rPr>
        <w:t>; The Independent (London) September 2, 2013 Biofuel project funded by UK 'leaves Africans without food'; Africa News December 18, 2010 Sierra Leone; What a Strategic Cabinet Reshuffle</w:t>
      </w:r>
      <w:r w:rsidRPr="00CE3EAF">
        <w:rPr>
          <w:bCs/>
          <w:sz w:val="16"/>
          <w:szCs w:val="16"/>
        </w:rPr>
        <w:t>:</w:t>
      </w:r>
      <w:r w:rsidRPr="00CE3EAF">
        <w:rPr>
          <w:sz w:val="16"/>
          <w:szCs w:val="16"/>
        </w:rPr>
        <w:t xml:space="preserve"> Concord Times (Freetown); Sierra Express media 12 March 2013 </w:t>
      </w:r>
      <w:r w:rsidRPr="00CE3EAF">
        <w:rPr>
          <w:bCs/>
          <w:sz w:val="16"/>
          <w:szCs w:val="16"/>
        </w:rPr>
        <w:t>Worreh Yeama people say no to Addax Bioenergy</w:t>
      </w:r>
    </w:p>
  </w:endnote>
  <w:endnote w:id="42">
    <w:p w:rsidR="006660F8" w:rsidRPr="00CE3EAF" w:rsidRDefault="006660F8">
      <w:pPr>
        <w:pStyle w:val="EndnoteText"/>
        <w:rPr>
          <w:sz w:val="16"/>
          <w:szCs w:val="16"/>
        </w:rPr>
      </w:pPr>
      <w:r w:rsidRPr="00CE3EAF">
        <w:rPr>
          <w:rStyle w:val="EndnoteReference"/>
          <w:sz w:val="16"/>
          <w:szCs w:val="16"/>
        </w:rPr>
        <w:endnoteRef/>
      </w:r>
      <w:r w:rsidRPr="00CE3EAF">
        <w:rPr>
          <w:sz w:val="16"/>
          <w:szCs w:val="16"/>
        </w:rPr>
        <w:t xml:space="preserve"> </w:t>
      </w:r>
      <w:hyperlink r:id="rId53" w:history="1">
        <w:r w:rsidRPr="00CE3EAF">
          <w:rPr>
            <w:rStyle w:val="Hyperlink"/>
            <w:sz w:val="16"/>
            <w:szCs w:val="16"/>
          </w:rPr>
          <w:t>http://www.pidg.org/impact/case-studies/calidda-case-study</w:t>
        </w:r>
      </w:hyperlink>
      <w:r w:rsidRPr="00CE3EAF">
        <w:rPr>
          <w:sz w:val="16"/>
          <w:szCs w:val="16"/>
        </w:rPr>
        <w:t xml:space="preserve"> , </w:t>
      </w:r>
      <w:hyperlink r:id="rId54" w:history="1">
        <w:r w:rsidRPr="00CE3EAF">
          <w:rPr>
            <w:rStyle w:val="Hyperlink"/>
            <w:sz w:val="16"/>
            <w:szCs w:val="16"/>
          </w:rPr>
          <w:t>http://ifcext.ifc.org/ifcext/spiwebsite1.nsf/ProjectDisplay/SPI_DP28031</w:t>
        </w:r>
      </w:hyperlink>
      <w:r w:rsidRPr="00CE3EAF">
        <w:rPr>
          <w:sz w:val="16"/>
          <w:szCs w:val="16"/>
        </w:rPr>
        <w:t xml:space="preserve"> </w:t>
      </w:r>
    </w:p>
  </w:endnote>
  <w:endnote w:id="43">
    <w:p w:rsidR="006660F8" w:rsidRPr="00CE3EAF" w:rsidRDefault="006660F8">
      <w:pPr>
        <w:pStyle w:val="EndnoteText"/>
        <w:rPr>
          <w:sz w:val="16"/>
          <w:szCs w:val="16"/>
        </w:rPr>
      </w:pPr>
      <w:r w:rsidRPr="00CE3EAF">
        <w:rPr>
          <w:rStyle w:val="EndnoteReference"/>
          <w:sz w:val="16"/>
          <w:szCs w:val="16"/>
        </w:rPr>
        <w:endnoteRef/>
      </w:r>
      <w:r w:rsidRPr="00CE3EAF">
        <w:rPr>
          <w:sz w:val="16"/>
          <w:szCs w:val="16"/>
        </w:rPr>
        <w:t xml:space="preserve"> PPIAF Annual report 2013 </w:t>
      </w:r>
      <w:hyperlink r:id="rId55" w:history="1">
        <w:r w:rsidRPr="00CE3EAF">
          <w:rPr>
            <w:rStyle w:val="Hyperlink"/>
            <w:sz w:val="16"/>
            <w:szCs w:val="16"/>
          </w:rPr>
          <w:t>http://www.ppiaf.org/sites/ppiaf.org/files/publication/PPIAF-Annual-Report-2013-Final.pdf</w:t>
        </w:r>
      </w:hyperlink>
      <w:r w:rsidRPr="00CE3EAF">
        <w:rPr>
          <w:sz w:val="16"/>
          <w:szCs w:val="16"/>
        </w:rPr>
        <w:t xml:space="preserve"> </w:t>
      </w:r>
    </w:p>
  </w:endnote>
  <w:endnote w:id="44">
    <w:p w:rsidR="006660F8" w:rsidRPr="00CE3EAF" w:rsidRDefault="006660F8" w:rsidP="00886DB0">
      <w:pPr>
        <w:jc w:val="both"/>
        <w:rPr>
          <w:sz w:val="16"/>
          <w:szCs w:val="16"/>
        </w:rPr>
      </w:pPr>
      <w:r w:rsidRPr="00CE3EAF">
        <w:rPr>
          <w:rStyle w:val="EndnoteReference"/>
          <w:sz w:val="16"/>
          <w:szCs w:val="16"/>
        </w:rPr>
        <w:endnoteRef/>
      </w:r>
      <w:r>
        <w:rPr>
          <w:sz w:val="16"/>
          <w:szCs w:val="16"/>
        </w:rPr>
        <w:t xml:space="preserve"> </w:t>
      </w:r>
      <w:r w:rsidRPr="00CE3EAF">
        <w:rPr>
          <w:sz w:val="16"/>
          <w:szCs w:val="16"/>
        </w:rPr>
        <w:t>ADB 2012 Public-Private Partnership Operational Plan 2012-2020</w:t>
      </w:r>
    </w:p>
    <w:p w:rsidR="006660F8" w:rsidRPr="00CE3EAF" w:rsidRDefault="006660F8" w:rsidP="00886DB0">
      <w:pPr>
        <w:jc w:val="both"/>
        <w:rPr>
          <w:sz w:val="16"/>
          <w:szCs w:val="16"/>
        </w:rPr>
      </w:pPr>
      <w:r>
        <w:rPr>
          <w:sz w:val="16"/>
          <w:szCs w:val="16"/>
        </w:rPr>
        <w:t xml:space="preserve"> </w:t>
      </w:r>
      <w:hyperlink r:id="rId56" w:history="1">
        <w:r w:rsidRPr="00CE3EAF">
          <w:rPr>
            <w:rStyle w:val="Hyperlink"/>
            <w:sz w:val="16"/>
            <w:szCs w:val="16"/>
          </w:rPr>
          <w:t>http://www.adb.org/documents/public-private-partnership-operational-plan-2012-2020</w:t>
        </w:r>
      </w:hyperlink>
      <w:r w:rsidRPr="00CE3EAF">
        <w:rPr>
          <w:sz w:val="16"/>
          <w:szCs w:val="16"/>
        </w:rPr>
        <w:t xml:space="preserve"> </w:t>
      </w:r>
    </w:p>
  </w:endnote>
  <w:endnote w:id="45">
    <w:p w:rsidR="006660F8" w:rsidRPr="001D0C18" w:rsidRDefault="006660F8" w:rsidP="0029090A">
      <w:pPr>
        <w:pStyle w:val="EndnoteText"/>
        <w:rPr>
          <w:sz w:val="16"/>
          <w:szCs w:val="16"/>
        </w:rPr>
      </w:pPr>
      <w:r w:rsidRPr="00CE3EAF">
        <w:rPr>
          <w:rStyle w:val="EndnoteReference"/>
          <w:sz w:val="16"/>
          <w:szCs w:val="16"/>
        </w:rPr>
        <w:endnoteRef/>
      </w:r>
      <w:r w:rsidRPr="00CE3EAF">
        <w:rPr>
          <w:sz w:val="16"/>
          <w:szCs w:val="16"/>
        </w:rPr>
        <w:t xml:space="preserve"> Colombia: Program to support PPPS in infrastructure (CO - L1131 ) section</w:t>
      </w:r>
      <w:r w:rsidRPr="001D0C18">
        <w:rPr>
          <w:sz w:val="16"/>
          <w:szCs w:val="16"/>
        </w:rPr>
        <w:t xml:space="preserve"> 1.31</w:t>
      </w:r>
      <w:hyperlink r:id="rId57" w:history="1">
        <w:r w:rsidRPr="001D0C18">
          <w:rPr>
            <w:rStyle w:val="Hyperlink"/>
            <w:sz w:val="16"/>
            <w:szCs w:val="16"/>
          </w:rPr>
          <w:t>http://idbdocs.iadb.org/wsdocs/getdocument.aspx?docnum=38230580</w:t>
        </w:r>
      </w:hyperlink>
      <w:r w:rsidRPr="001D0C18">
        <w:rPr>
          <w:sz w:val="16"/>
          <w:szCs w:val="16"/>
        </w:rPr>
        <w:t xml:space="preserve"> </w:t>
      </w:r>
    </w:p>
  </w:endnote>
  <w:endnote w:id="46">
    <w:p w:rsidR="006660F8" w:rsidRPr="00CE3EAF" w:rsidRDefault="006660F8">
      <w:pPr>
        <w:pStyle w:val="EndnoteText"/>
        <w:rPr>
          <w:sz w:val="16"/>
          <w:szCs w:val="16"/>
        </w:rPr>
      </w:pPr>
      <w:r w:rsidRPr="00CE3EAF">
        <w:rPr>
          <w:rStyle w:val="EndnoteReference"/>
          <w:sz w:val="16"/>
          <w:szCs w:val="16"/>
        </w:rPr>
        <w:endnoteRef/>
      </w:r>
      <w:r>
        <w:rPr>
          <w:sz w:val="16"/>
          <w:szCs w:val="16"/>
        </w:rPr>
        <w:t xml:space="preserve"> </w:t>
      </w:r>
      <w:hyperlink r:id="rId58" w:history="1">
        <w:r w:rsidRPr="00CE3EAF">
          <w:rPr>
            <w:rStyle w:val="Hyperlink"/>
            <w:sz w:val="16"/>
            <w:szCs w:val="16"/>
          </w:rPr>
          <w:t>http://www.afdb.org/en/topics-and-sectors/sectors/private-sector/areas-of-focus/infrastructure-finance/</w:t>
        </w:r>
      </w:hyperlink>
      <w:r w:rsidRPr="00CE3EAF">
        <w:rPr>
          <w:sz w:val="16"/>
          <w:szCs w:val="16"/>
        </w:rPr>
        <w:t xml:space="preserve"> , </w:t>
      </w:r>
      <w:hyperlink r:id="rId59" w:history="1">
        <w:r w:rsidRPr="00CE3EAF">
          <w:rPr>
            <w:rStyle w:val="Hyperlink"/>
            <w:sz w:val="16"/>
            <w:szCs w:val="16"/>
          </w:rPr>
          <w:t>http://www.afdb.org/en/news-and-events/article/africa-health-forum-afdb-holds-first-forum-on-development-of-health-in-africa-12784/</w:t>
        </w:r>
      </w:hyperlink>
      <w:r w:rsidRPr="00CE3EAF">
        <w:rPr>
          <w:sz w:val="16"/>
          <w:szCs w:val="16"/>
        </w:rPr>
        <w:t xml:space="preserve"> </w:t>
      </w:r>
    </w:p>
  </w:endnote>
  <w:endnote w:id="47">
    <w:p w:rsidR="006660F8" w:rsidRPr="001D0C18" w:rsidRDefault="006660F8" w:rsidP="00835BC3">
      <w:pPr>
        <w:pStyle w:val="EndnoteText"/>
        <w:rPr>
          <w:sz w:val="16"/>
          <w:szCs w:val="16"/>
        </w:rPr>
      </w:pPr>
      <w:r w:rsidRPr="001D0C18">
        <w:rPr>
          <w:rStyle w:val="EndnoteReference"/>
          <w:sz w:val="16"/>
          <w:szCs w:val="16"/>
        </w:rPr>
        <w:endnoteRef/>
      </w:r>
      <w:r w:rsidRPr="001D0C18">
        <w:rPr>
          <w:sz w:val="16"/>
          <w:szCs w:val="16"/>
        </w:rPr>
        <w:t xml:space="preserve"> </w:t>
      </w:r>
      <w:hyperlink r:id="rId60" w:history="1">
        <w:r w:rsidRPr="001D0C18">
          <w:rPr>
            <w:rStyle w:val="Hyperlink"/>
            <w:sz w:val="16"/>
            <w:szCs w:val="16"/>
          </w:rPr>
          <w:t>http://www3.weforum.org/docs/GAC/2013/WEF_GAC_MidtermReports_2012-14.pdf</w:t>
        </w:r>
      </w:hyperlink>
      <w:r w:rsidRPr="001D0C18">
        <w:rPr>
          <w:sz w:val="16"/>
          <w:szCs w:val="16"/>
        </w:rPr>
        <w:t xml:space="preserve"> </w:t>
      </w:r>
    </w:p>
  </w:endnote>
  <w:endnote w:id="48">
    <w:p w:rsidR="006660F8" w:rsidRPr="001D0C18" w:rsidRDefault="006660F8" w:rsidP="00835BC3">
      <w:pPr>
        <w:pStyle w:val="EndnoteText"/>
        <w:rPr>
          <w:sz w:val="16"/>
          <w:szCs w:val="16"/>
        </w:rPr>
      </w:pPr>
      <w:r w:rsidRPr="001D0C18">
        <w:rPr>
          <w:rStyle w:val="EndnoteReference"/>
          <w:sz w:val="16"/>
          <w:szCs w:val="16"/>
        </w:rPr>
        <w:endnoteRef/>
      </w:r>
      <w:r w:rsidRPr="001D0C18">
        <w:rPr>
          <w:sz w:val="16"/>
          <w:szCs w:val="16"/>
        </w:rPr>
        <w:t xml:space="preserve"> ‘World Bank Presents Umbrella Report on Financing Investments’. 2013. </w:t>
      </w:r>
      <w:r w:rsidRPr="001D0C18">
        <w:rPr>
          <w:i/>
          <w:iCs/>
          <w:sz w:val="16"/>
          <w:szCs w:val="16"/>
        </w:rPr>
        <w:t>G20</w:t>
      </w:r>
      <w:r w:rsidRPr="001D0C18">
        <w:rPr>
          <w:sz w:val="16"/>
          <w:szCs w:val="16"/>
        </w:rPr>
        <w:t xml:space="preserve">. Accessed April 10. </w:t>
      </w:r>
      <w:hyperlink r:id="rId61" w:history="1">
        <w:r w:rsidRPr="001D0C18">
          <w:rPr>
            <w:rStyle w:val="Hyperlink"/>
            <w:sz w:val="16"/>
            <w:szCs w:val="16"/>
          </w:rPr>
          <w:t>http://www.g20.org/news/20130228/781245645.html</w:t>
        </w:r>
      </w:hyperlink>
      <w:r w:rsidRPr="001D0C18">
        <w:rPr>
          <w:sz w:val="16"/>
          <w:szCs w:val="16"/>
        </w:rPr>
        <w:t xml:space="preserve"> </w:t>
      </w:r>
    </w:p>
  </w:endnote>
  <w:endnote w:id="49">
    <w:p w:rsidR="006660F8" w:rsidRPr="001D0C18" w:rsidRDefault="006660F8" w:rsidP="00835BC3">
      <w:pPr>
        <w:pStyle w:val="EndnoteText"/>
        <w:rPr>
          <w:sz w:val="16"/>
          <w:szCs w:val="16"/>
        </w:rPr>
      </w:pPr>
      <w:r w:rsidRPr="001D0C18">
        <w:rPr>
          <w:rStyle w:val="EndnoteReference"/>
          <w:sz w:val="16"/>
          <w:szCs w:val="16"/>
        </w:rPr>
        <w:endnoteRef/>
      </w:r>
      <w:r w:rsidRPr="001D0C18">
        <w:rPr>
          <w:sz w:val="16"/>
          <w:szCs w:val="16"/>
        </w:rPr>
        <w:t xml:space="preserve"> </w:t>
      </w:r>
      <w:hyperlink r:id="rId62" w:history="1">
        <w:r w:rsidRPr="001D0C18">
          <w:rPr>
            <w:rStyle w:val="Hyperlink"/>
            <w:sz w:val="16"/>
            <w:szCs w:val="16"/>
          </w:rPr>
          <w:t>http://www.boell.org/downloads/Responsible_Investment_in_Infrastructure.pdf</w:t>
        </w:r>
      </w:hyperlink>
      <w:r w:rsidRPr="001D0C18">
        <w:rPr>
          <w:sz w:val="16"/>
          <w:szCs w:val="16"/>
        </w:rPr>
        <w:t xml:space="preserve"> </w:t>
      </w:r>
    </w:p>
  </w:endnote>
  <w:endnote w:id="50">
    <w:p w:rsidR="006660F8" w:rsidRPr="00E75CD9" w:rsidRDefault="006660F8" w:rsidP="00835BC3">
      <w:pPr>
        <w:pStyle w:val="EndnoteText"/>
        <w:rPr>
          <w:sz w:val="16"/>
          <w:szCs w:val="16"/>
          <w:lang w:val="es-ES_tradnl"/>
        </w:rPr>
      </w:pPr>
      <w:r w:rsidRPr="001D0C18">
        <w:rPr>
          <w:rStyle w:val="EndnoteReference"/>
          <w:sz w:val="16"/>
          <w:szCs w:val="16"/>
        </w:rPr>
        <w:endnoteRef/>
      </w:r>
      <w:r w:rsidRPr="00E75CD9">
        <w:rPr>
          <w:sz w:val="16"/>
          <w:szCs w:val="16"/>
          <w:lang w:val="es-ES_tradnl"/>
        </w:rPr>
        <w:t xml:space="preserve"> ‘G20Australia2014conceptpaper.pdf’. 2014 </w:t>
      </w:r>
      <w:hyperlink r:id="rId63" w:history="1">
        <w:r w:rsidRPr="00E75CD9">
          <w:rPr>
            <w:rStyle w:val="Hyperlink"/>
            <w:sz w:val="16"/>
            <w:szCs w:val="16"/>
            <w:lang w:val="es-ES_tradnl"/>
          </w:rPr>
          <w:t>http://www.g20.org/sites/default/files/g20_resources/library/G20Australia2014conceptpaper.pdf</w:t>
        </w:r>
      </w:hyperlink>
      <w:r w:rsidRPr="00E75CD9">
        <w:rPr>
          <w:sz w:val="16"/>
          <w:szCs w:val="16"/>
          <w:lang w:val="es-ES_tradnl"/>
        </w:rPr>
        <w:t xml:space="preserve"> </w:t>
      </w:r>
    </w:p>
  </w:endnote>
  <w:endnote w:id="51">
    <w:p w:rsidR="006660F8" w:rsidRPr="001D0C18" w:rsidRDefault="006660F8" w:rsidP="00835BC3">
      <w:pPr>
        <w:pStyle w:val="EndnoteText"/>
        <w:rPr>
          <w:sz w:val="16"/>
          <w:szCs w:val="16"/>
        </w:rPr>
      </w:pPr>
      <w:r w:rsidRPr="001D0C18">
        <w:rPr>
          <w:rStyle w:val="EndnoteReference"/>
          <w:sz w:val="16"/>
          <w:szCs w:val="16"/>
        </w:rPr>
        <w:endnoteRef/>
      </w:r>
      <w:r w:rsidRPr="001D0C18">
        <w:rPr>
          <w:sz w:val="16"/>
          <w:szCs w:val="16"/>
        </w:rPr>
        <w:t xml:space="preserve"> ‘Think20 Papers 2014: Policy Recommendations for the Brisbane G20 Summit | Lowy Institute for International Policy’. 2014. Accessed January 2. </w:t>
      </w:r>
      <w:hyperlink r:id="rId64" w:history="1">
        <w:r w:rsidRPr="001D0C18">
          <w:rPr>
            <w:rStyle w:val="Hyperlink"/>
            <w:sz w:val="16"/>
            <w:szCs w:val="16"/>
          </w:rPr>
          <w:t>http://www.lowyinstitute.org/publications/think20-papers-2014-G20</w:t>
        </w:r>
      </w:hyperlink>
      <w:r w:rsidRPr="001D0C18">
        <w:rPr>
          <w:sz w:val="16"/>
          <w:szCs w:val="16"/>
        </w:rPr>
        <w:t xml:space="preserve"> </w:t>
      </w:r>
    </w:p>
  </w:endnote>
  <w:endnote w:id="52">
    <w:p w:rsidR="006660F8" w:rsidRPr="001D0C18" w:rsidRDefault="006660F8" w:rsidP="00835BC3">
      <w:pPr>
        <w:pStyle w:val="EndnoteText"/>
        <w:rPr>
          <w:sz w:val="16"/>
          <w:szCs w:val="16"/>
        </w:rPr>
      </w:pPr>
      <w:r w:rsidRPr="001D0C18">
        <w:rPr>
          <w:rStyle w:val="EndnoteReference"/>
          <w:sz w:val="16"/>
          <w:szCs w:val="16"/>
        </w:rPr>
        <w:endnoteRef/>
      </w:r>
      <w:r w:rsidRPr="001D0C18">
        <w:rPr>
          <w:sz w:val="16"/>
          <w:szCs w:val="16"/>
        </w:rPr>
        <w:t xml:space="preserve"> ‘Infrastructure: Overcoming Sovereign-Debt Phobia’. 2013. Accessed December 24. </w:t>
      </w:r>
      <w:hyperlink r:id="rId65" w:history="1">
        <w:r w:rsidRPr="001D0C18">
          <w:rPr>
            <w:rStyle w:val="Hyperlink"/>
            <w:sz w:val="16"/>
            <w:szCs w:val="16"/>
          </w:rPr>
          <w:t>http://www.lowyinterpreter.org/post/2013/11/28/Infrastructure-overcoming-sovereign-debt-phobia.aspx</w:t>
        </w:r>
      </w:hyperlink>
      <w:r w:rsidRPr="001D0C18">
        <w:rPr>
          <w:sz w:val="16"/>
          <w:szCs w:val="16"/>
        </w:rPr>
        <w:t xml:space="preserve"> ; ‘Infrastructure: The Limits of PPPs’. 2013. Accessed December 24. </w:t>
      </w:r>
      <w:hyperlink r:id="rId66" w:history="1">
        <w:r w:rsidRPr="001D0C18">
          <w:rPr>
            <w:rStyle w:val="Hyperlink"/>
            <w:sz w:val="16"/>
            <w:szCs w:val="16"/>
          </w:rPr>
          <w:t>http://www.lowyinterpreter.org/post/2013/07/01/Infrastructure-The-limits-of-PPPs.aspx</w:t>
        </w:r>
      </w:hyperlink>
      <w:r w:rsidRPr="001D0C18">
        <w:rPr>
          <w:sz w:val="16"/>
          <w:szCs w:val="16"/>
        </w:rPr>
        <w:t xml:space="preserve"> </w:t>
      </w:r>
    </w:p>
  </w:endnote>
  <w:endnote w:id="53">
    <w:p w:rsidR="006660F8" w:rsidRPr="001D0C18" w:rsidRDefault="006660F8" w:rsidP="00835BC3">
      <w:pPr>
        <w:pStyle w:val="EndnoteText"/>
        <w:rPr>
          <w:sz w:val="16"/>
          <w:szCs w:val="16"/>
        </w:rPr>
      </w:pPr>
      <w:r w:rsidRPr="001D0C18">
        <w:rPr>
          <w:rStyle w:val="EndnoteReference"/>
          <w:sz w:val="16"/>
          <w:szCs w:val="16"/>
        </w:rPr>
        <w:endnoteRef/>
      </w:r>
      <w:r w:rsidRPr="001D0C18">
        <w:rPr>
          <w:sz w:val="16"/>
          <w:szCs w:val="16"/>
        </w:rPr>
        <w:t xml:space="preserve"> ‘Infrastructure: Overcoming Sovereign-Debt Phobia’. 2013. Accessed December 24. </w:t>
      </w:r>
      <w:hyperlink r:id="rId67" w:history="1">
        <w:r w:rsidRPr="001D0C18">
          <w:rPr>
            <w:rStyle w:val="Hyperlink"/>
            <w:sz w:val="16"/>
            <w:szCs w:val="16"/>
          </w:rPr>
          <w:t>http://www.lowyinterpreter.org/post/2013/11/28/Infrastructure-overcoming-sovereign-debt-phobia.aspx</w:t>
        </w:r>
      </w:hyperlink>
      <w:r w:rsidRPr="001D0C18">
        <w:rPr>
          <w:sz w:val="16"/>
          <w:szCs w:val="16"/>
        </w:rPr>
        <w:t xml:space="preserve"> ; ‘Infrastructure: The Limits of PPPs’. 2013. Accessed December 24. </w:t>
      </w:r>
      <w:hyperlink r:id="rId68" w:history="1">
        <w:r w:rsidRPr="001D0C18">
          <w:rPr>
            <w:rStyle w:val="Hyperlink"/>
            <w:sz w:val="16"/>
            <w:szCs w:val="16"/>
          </w:rPr>
          <w:t>http://www.lowyinterpreter.org/post/2013/07/01/Infrastructure-The-limits-of-PPPs.aspx</w:t>
        </w:r>
      </w:hyperlink>
      <w:r w:rsidRPr="001D0C18">
        <w:rPr>
          <w:sz w:val="16"/>
          <w:szCs w:val="16"/>
        </w:rPr>
        <w:t xml:space="preserve"> </w:t>
      </w:r>
    </w:p>
  </w:endnote>
  <w:endnote w:id="54">
    <w:p w:rsidR="006660F8" w:rsidRPr="00CE3EAF" w:rsidRDefault="006660F8">
      <w:pPr>
        <w:pStyle w:val="EndnoteText"/>
        <w:rPr>
          <w:sz w:val="16"/>
          <w:szCs w:val="16"/>
        </w:rPr>
      </w:pPr>
      <w:r w:rsidRPr="00CE3EAF">
        <w:rPr>
          <w:rStyle w:val="EndnoteReference"/>
          <w:sz w:val="16"/>
          <w:szCs w:val="16"/>
        </w:rPr>
        <w:endnoteRef/>
      </w:r>
      <w:r w:rsidRPr="00CE3EAF">
        <w:rPr>
          <w:sz w:val="16"/>
          <w:szCs w:val="16"/>
        </w:rPr>
        <w:t xml:space="preserve"> </w:t>
      </w:r>
      <w:hyperlink r:id="rId69" w:history="1">
        <w:r w:rsidRPr="00CE3EAF">
          <w:rPr>
            <w:rStyle w:val="Hyperlink"/>
            <w:iCs/>
            <w:sz w:val="16"/>
            <w:szCs w:val="16"/>
          </w:rPr>
          <w:t>www.</w:t>
        </w:r>
        <w:r w:rsidRPr="00CE3EAF">
          <w:rPr>
            <w:rStyle w:val="Hyperlink"/>
            <w:bCs/>
            <w:iCs/>
            <w:sz w:val="16"/>
            <w:szCs w:val="16"/>
          </w:rPr>
          <w:t>tuac</w:t>
        </w:r>
        <w:r w:rsidRPr="00CE3EAF">
          <w:rPr>
            <w:rStyle w:val="Hyperlink"/>
            <w:iCs/>
            <w:sz w:val="16"/>
            <w:szCs w:val="16"/>
          </w:rPr>
          <w:t>.org</w:t>
        </w:r>
      </w:hyperlink>
      <w:r w:rsidRPr="00CE3EAF">
        <w:rPr>
          <w:iCs/>
          <w:sz w:val="16"/>
          <w:szCs w:val="16"/>
        </w:rPr>
        <w:t xml:space="preserve"> </w:t>
      </w:r>
    </w:p>
  </w:endnote>
  <w:endnote w:id="55">
    <w:p w:rsidR="006660F8" w:rsidRPr="001D0C18" w:rsidRDefault="006660F8" w:rsidP="00835BC3">
      <w:pPr>
        <w:pStyle w:val="EndnoteText"/>
        <w:rPr>
          <w:sz w:val="16"/>
          <w:szCs w:val="16"/>
        </w:rPr>
      </w:pPr>
      <w:r w:rsidRPr="001D0C18">
        <w:rPr>
          <w:rStyle w:val="EndnoteReference"/>
          <w:sz w:val="16"/>
          <w:szCs w:val="16"/>
        </w:rPr>
        <w:endnoteRef/>
      </w:r>
      <w:r w:rsidRPr="001D0C18">
        <w:rPr>
          <w:sz w:val="16"/>
          <w:szCs w:val="16"/>
        </w:rPr>
        <w:t xml:space="preserve"> </w:t>
      </w:r>
      <w:hyperlink r:id="rId70" w:history="1">
        <w:r w:rsidRPr="001D0C18">
          <w:rPr>
            <w:rStyle w:val="Hyperlink"/>
            <w:sz w:val="16"/>
            <w:szCs w:val="16"/>
          </w:rPr>
          <w:t>http://www.unece.org/ceci/ppp.html</w:t>
        </w:r>
      </w:hyperlink>
      <w:r w:rsidRPr="001D0C18">
        <w:rPr>
          <w:sz w:val="16"/>
          <w:szCs w:val="16"/>
        </w:rPr>
        <w:t xml:space="preserve"> </w:t>
      </w:r>
    </w:p>
  </w:endnote>
  <w:endnote w:id="56">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71" w:history="1">
        <w:r w:rsidRPr="001D0C18">
          <w:rPr>
            <w:rStyle w:val="Hyperlink"/>
            <w:sz w:val="16"/>
            <w:szCs w:val="16"/>
          </w:rPr>
          <w:t>http://www.eib.org/epec/g2g/i-project-identification/12/125/index.htm</w:t>
        </w:r>
      </w:hyperlink>
      <w:r w:rsidRPr="001D0C18">
        <w:rPr>
          <w:sz w:val="16"/>
          <w:szCs w:val="16"/>
        </w:rPr>
        <w:t xml:space="preserve"> </w:t>
      </w:r>
    </w:p>
  </w:endnote>
  <w:endnote w:id="57">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72" w:history="1">
        <w:r w:rsidRPr="001D0C18">
          <w:rPr>
            <w:rStyle w:val="Hyperlink"/>
            <w:sz w:val="16"/>
            <w:szCs w:val="16"/>
          </w:rPr>
          <w:t>http://ec.europa.eu/economy_finance/financial_operations/investment/europe_2020/index_en.htm</w:t>
        </w:r>
      </w:hyperlink>
      <w:r w:rsidRPr="001D0C18">
        <w:rPr>
          <w:sz w:val="16"/>
          <w:szCs w:val="16"/>
        </w:rPr>
        <w:t xml:space="preserve"> </w:t>
      </w:r>
    </w:p>
  </w:endnote>
  <w:endnote w:id="58">
    <w:p w:rsidR="006660F8" w:rsidRPr="001D0C18" w:rsidRDefault="006660F8" w:rsidP="00C50D9C">
      <w:pPr>
        <w:pStyle w:val="EndnoteText"/>
        <w:rPr>
          <w:sz w:val="16"/>
          <w:szCs w:val="16"/>
        </w:rPr>
      </w:pPr>
      <w:r w:rsidRPr="001D0C18">
        <w:rPr>
          <w:rStyle w:val="EndnoteReference"/>
          <w:sz w:val="16"/>
          <w:szCs w:val="16"/>
        </w:rPr>
        <w:endnoteRef/>
      </w:r>
      <w:r w:rsidRPr="001D0C18">
        <w:rPr>
          <w:sz w:val="16"/>
          <w:szCs w:val="16"/>
        </w:rPr>
        <w:t xml:space="preserve"> </w:t>
      </w:r>
      <w:hyperlink r:id="rId73" w:history="1">
        <w:r w:rsidRPr="001D0C18">
          <w:rPr>
            <w:rStyle w:val="Hyperlink"/>
            <w:sz w:val="16"/>
            <w:szCs w:val="16"/>
          </w:rPr>
          <w:t>http://tentea.ec.europa.eu/download/events/2013PPPworkshop/presentations/3ouaki.pdf</w:t>
        </w:r>
      </w:hyperlink>
      <w:r w:rsidRPr="001D0C18">
        <w:rPr>
          <w:sz w:val="16"/>
          <w:szCs w:val="16"/>
        </w:rPr>
        <w:t xml:space="preserve"> </w:t>
      </w:r>
    </w:p>
  </w:endnote>
  <w:endnote w:id="59">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74" w:history="1">
        <w:r w:rsidRPr="001D0C18">
          <w:rPr>
            <w:rStyle w:val="Hyperlink"/>
            <w:sz w:val="16"/>
            <w:szCs w:val="16"/>
          </w:rPr>
          <w:t>http://europa.eu/rapid/press-release_SPEECH-12-789_en.htm?locale=en</w:t>
        </w:r>
      </w:hyperlink>
      <w:r w:rsidRPr="001D0C18">
        <w:rPr>
          <w:sz w:val="16"/>
          <w:szCs w:val="16"/>
        </w:rPr>
        <w:t xml:space="preserve"> </w:t>
      </w:r>
    </w:p>
  </w:endnote>
  <w:endnote w:id="60">
    <w:p w:rsidR="006660F8" w:rsidRPr="001D0C18" w:rsidRDefault="006660F8" w:rsidP="005C37EF">
      <w:pPr>
        <w:pStyle w:val="EndnoteText"/>
        <w:rPr>
          <w:sz w:val="16"/>
          <w:szCs w:val="16"/>
        </w:rPr>
      </w:pPr>
      <w:r w:rsidRPr="001D0C18">
        <w:rPr>
          <w:rStyle w:val="EndnoteReference"/>
          <w:sz w:val="16"/>
          <w:szCs w:val="16"/>
        </w:rPr>
        <w:endnoteRef/>
      </w:r>
      <w:r w:rsidRPr="001D0C18">
        <w:rPr>
          <w:sz w:val="16"/>
          <w:szCs w:val="16"/>
        </w:rPr>
        <w:t xml:space="preserve"> </w:t>
      </w:r>
      <w:hyperlink r:id="rId75" w:history="1">
        <w:r w:rsidRPr="001D0C18">
          <w:rPr>
            <w:rStyle w:val="Hyperlink"/>
            <w:sz w:val="16"/>
            <w:szCs w:val="16"/>
          </w:rPr>
          <w:t>http://europa.eu/rapid/press-release_SPEECH-12-789_en.htm?locale=en</w:t>
        </w:r>
      </w:hyperlink>
      <w:r w:rsidRPr="001D0C18">
        <w:rPr>
          <w:sz w:val="16"/>
          <w:szCs w:val="16"/>
        </w:rPr>
        <w:t xml:space="preserve"> </w:t>
      </w:r>
    </w:p>
  </w:endnote>
  <w:endnote w:id="61">
    <w:p w:rsidR="006660F8" w:rsidRPr="001D0C18" w:rsidRDefault="006660F8" w:rsidP="00C50D9C">
      <w:pPr>
        <w:pStyle w:val="EndnoteText"/>
        <w:rPr>
          <w:sz w:val="16"/>
          <w:szCs w:val="16"/>
        </w:rPr>
      </w:pPr>
      <w:r w:rsidRPr="001D0C18">
        <w:rPr>
          <w:rStyle w:val="EndnoteReference"/>
          <w:sz w:val="16"/>
          <w:szCs w:val="16"/>
        </w:rPr>
        <w:endnoteRef/>
      </w:r>
      <w:r w:rsidRPr="001D0C18">
        <w:rPr>
          <w:sz w:val="16"/>
          <w:szCs w:val="16"/>
        </w:rPr>
        <w:t xml:space="preserve"> </w:t>
      </w:r>
      <w:hyperlink r:id="rId76" w:history="1">
        <w:r w:rsidRPr="001D0C18">
          <w:rPr>
            <w:rStyle w:val="Hyperlink"/>
            <w:sz w:val="16"/>
            <w:szCs w:val="16"/>
          </w:rPr>
          <w:t>http://tentea.ec.europa.eu/download/events/2013PPPworkshop/presentations/3ouaki.pdf</w:t>
        </w:r>
      </w:hyperlink>
      <w:r w:rsidRPr="001D0C18">
        <w:rPr>
          <w:sz w:val="16"/>
          <w:szCs w:val="16"/>
        </w:rPr>
        <w:t xml:space="preserve"> </w:t>
      </w:r>
    </w:p>
  </w:endnote>
  <w:endnote w:id="62">
    <w:p w:rsidR="006660F8" w:rsidRPr="001D0C18" w:rsidRDefault="006660F8" w:rsidP="0078248B">
      <w:pPr>
        <w:pStyle w:val="EndnoteText"/>
        <w:rPr>
          <w:sz w:val="16"/>
          <w:szCs w:val="16"/>
        </w:rPr>
      </w:pPr>
      <w:r w:rsidRPr="001D0C18">
        <w:rPr>
          <w:rStyle w:val="EndnoteReference"/>
          <w:sz w:val="16"/>
          <w:szCs w:val="16"/>
        </w:rPr>
        <w:endnoteRef/>
      </w:r>
      <w:r>
        <w:rPr>
          <w:sz w:val="16"/>
          <w:szCs w:val="16"/>
        </w:rPr>
        <w:t xml:space="preserve"> </w:t>
      </w:r>
      <w:r w:rsidRPr="001D0C18">
        <w:rPr>
          <w:sz w:val="16"/>
          <w:szCs w:val="16"/>
        </w:rPr>
        <w:t xml:space="preserve">See </w:t>
      </w:r>
      <w:hyperlink r:id="rId77" w:history="1">
        <w:r w:rsidRPr="001D0C18">
          <w:rPr>
            <w:rStyle w:val="Hyperlink"/>
            <w:sz w:val="16"/>
            <w:szCs w:val="16"/>
          </w:rPr>
          <w:t>http://www.eib.org/about/</w:t>
        </w:r>
      </w:hyperlink>
      <w:r w:rsidRPr="001D0C18">
        <w:rPr>
          <w:sz w:val="16"/>
          <w:szCs w:val="16"/>
        </w:rPr>
        <w:t xml:space="preserve"> </w:t>
      </w:r>
    </w:p>
  </w:endnote>
  <w:endnote w:id="63">
    <w:p w:rsidR="006660F8" w:rsidRPr="00CE3EAF" w:rsidRDefault="006660F8" w:rsidP="0078248B">
      <w:pPr>
        <w:pStyle w:val="EndnoteText"/>
        <w:rPr>
          <w:sz w:val="16"/>
          <w:szCs w:val="16"/>
        </w:rPr>
      </w:pPr>
      <w:r w:rsidRPr="00CE3EAF">
        <w:rPr>
          <w:rStyle w:val="EndnoteReference"/>
          <w:sz w:val="16"/>
          <w:szCs w:val="16"/>
        </w:rPr>
        <w:endnoteRef/>
      </w:r>
      <w:r>
        <w:rPr>
          <w:sz w:val="16"/>
          <w:szCs w:val="16"/>
        </w:rPr>
        <w:t xml:space="preserve"> </w:t>
      </w:r>
      <w:r w:rsidRPr="00CE3EAF">
        <w:rPr>
          <w:sz w:val="16"/>
          <w:szCs w:val="16"/>
        </w:rPr>
        <w:t>EIB 2012 PPPs and their Financing in Europe: Recent Trends and EIB Involvement</w:t>
      </w:r>
    </w:p>
    <w:p w:rsidR="006660F8" w:rsidRPr="00CE3EAF" w:rsidRDefault="006660F8" w:rsidP="0078248B">
      <w:pPr>
        <w:pStyle w:val="EndnoteText"/>
        <w:rPr>
          <w:sz w:val="16"/>
          <w:szCs w:val="16"/>
        </w:rPr>
      </w:pPr>
      <w:r>
        <w:rPr>
          <w:sz w:val="16"/>
          <w:szCs w:val="16"/>
        </w:rPr>
        <w:t xml:space="preserve"> </w:t>
      </w:r>
      <w:hyperlink r:id="rId78" w:history="1">
        <w:r w:rsidRPr="00CE3EAF">
          <w:rPr>
            <w:rStyle w:val="Hyperlink"/>
            <w:sz w:val="16"/>
            <w:szCs w:val="16"/>
          </w:rPr>
          <w:t>http://www.eib.org/attachments/efs/econ_note_2012_ppp_and_financing_in_europe_en.pdf</w:t>
        </w:r>
      </w:hyperlink>
      <w:r w:rsidRPr="00CE3EAF">
        <w:rPr>
          <w:sz w:val="16"/>
          <w:szCs w:val="16"/>
        </w:rPr>
        <w:t xml:space="preserve"> </w:t>
      </w:r>
    </w:p>
  </w:endnote>
  <w:endnote w:id="64">
    <w:p w:rsidR="006660F8" w:rsidRPr="00F67A57" w:rsidRDefault="006660F8" w:rsidP="005C377E">
      <w:pPr>
        <w:rPr>
          <w:szCs w:val="20"/>
        </w:rPr>
      </w:pPr>
      <w:r w:rsidRPr="00CE3EAF">
        <w:rPr>
          <w:rStyle w:val="EndnoteReference"/>
          <w:sz w:val="16"/>
          <w:szCs w:val="16"/>
        </w:rPr>
        <w:endnoteRef/>
      </w:r>
      <w:r w:rsidRPr="00CE3EAF">
        <w:rPr>
          <w:sz w:val="16"/>
          <w:szCs w:val="16"/>
        </w:rPr>
        <w:t xml:space="preserve"> See Public-Private partnerships. Law in Transition 2007 EBRD </w:t>
      </w:r>
      <w:hyperlink r:id="rId79" w:history="1">
        <w:r w:rsidRPr="00CE3EAF">
          <w:rPr>
            <w:rStyle w:val="Hyperlink"/>
            <w:sz w:val="16"/>
            <w:szCs w:val="16"/>
          </w:rPr>
          <w:t>http://www.ebrd.org/pubs/legal/lit071.htm</w:t>
        </w:r>
      </w:hyperlink>
      <w:r w:rsidRPr="00CE3EAF">
        <w:rPr>
          <w:sz w:val="16"/>
          <w:szCs w:val="16"/>
        </w:rPr>
        <w:t xml:space="preserve">; </w:t>
      </w:r>
      <w:hyperlink r:id="rId80" w:history="1">
        <w:r w:rsidRPr="00CE3EAF">
          <w:rPr>
            <w:rStyle w:val="Hyperlink"/>
            <w:sz w:val="16"/>
            <w:szCs w:val="16"/>
          </w:rPr>
          <w:t>http://www.ebrd.com/pages/research/analysis/surveys/sci_methodology.shtml</w:t>
        </w:r>
      </w:hyperlink>
      <w:r w:rsidRPr="00CE3EAF">
        <w:rPr>
          <w:sz w:val="16"/>
          <w:szCs w:val="16"/>
        </w:rPr>
        <w:t xml:space="preserve">; and EBRD Transition Report 2010: Recovery and Reform </w:t>
      </w:r>
      <w:hyperlink r:id="rId81" w:history="1">
        <w:r w:rsidRPr="00CE3EAF">
          <w:rPr>
            <w:rStyle w:val="Hyperlink"/>
            <w:sz w:val="16"/>
            <w:szCs w:val="16"/>
          </w:rPr>
          <w:t>http://www.ebrd.com/pages/research/publications/flagships/transition.shtml</w:t>
        </w:r>
      </w:hyperlink>
      <w:r w:rsidRPr="00CE3EAF">
        <w:rPr>
          <w:sz w:val="16"/>
          <w:szCs w:val="16"/>
        </w:rPr>
        <w:t xml:space="preserve"> ; and EIU 2013 Evaluating the environment for public-private partnerships in Eastern Europe and the Commonwealth of Independent States </w:t>
      </w:r>
      <w:hyperlink r:id="rId82" w:history="1">
        <w:r w:rsidRPr="00CE3EAF">
          <w:rPr>
            <w:rStyle w:val="Hyperlink"/>
            <w:sz w:val="16"/>
            <w:szCs w:val="16"/>
          </w:rPr>
          <w:t>http://www.ebrd.com/downloads/news/eecis.pdf</w:t>
        </w:r>
      </w:hyperlink>
      <w:r>
        <w:rPr>
          <w:szCs w:val="20"/>
        </w:rPr>
        <w:t xml:space="preserve"> </w:t>
      </w:r>
    </w:p>
  </w:endnote>
  <w:endnote w:id="65">
    <w:p w:rsidR="006660F8" w:rsidRPr="001D0C18" w:rsidRDefault="006660F8" w:rsidP="002557B0">
      <w:pPr>
        <w:pStyle w:val="EndnoteText"/>
        <w:rPr>
          <w:sz w:val="16"/>
          <w:szCs w:val="16"/>
          <w:lang w:val="pt-BR"/>
        </w:rPr>
      </w:pPr>
      <w:r w:rsidRPr="001D0C18">
        <w:rPr>
          <w:rStyle w:val="EndnoteReference"/>
          <w:sz w:val="16"/>
          <w:szCs w:val="16"/>
        </w:rPr>
        <w:endnoteRef/>
      </w:r>
      <w:r w:rsidRPr="001D0C18">
        <w:rPr>
          <w:sz w:val="16"/>
          <w:szCs w:val="16"/>
          <w:lang w:val="pt-BR"/>
        </w:rPr>
        <w:t xml:space="preserve"> Section 4.1</w:t>
      </w:r>
    </w:p>
  </w:endnote>
  <w:endnote w:id="66">
    <w:p w:rsidR="006660F8" w:rsidRPr="001D0C18" w:rsidRDefault="006660F8" w:rsidP="00E87F01">
      <w:pPr>
        <w:rPr>
          <w:sz w:val="16"/>
          <w:szCs w:val="16"/>
          <w:lang w:val="pt-BR"/>
        </w:rPr>
      </w:pPr>
      <w:r w:rsidRPr="001D0C18">
        <w:rPr>
          <w:rStyle w:val="EndnoteReference"/>
          <w:sz w:val="16"/>
          <w:szCs w:val="16"/>
        </w:rPr>
        <w:endnoteRef/>
      </w:r>
      <w:r w:rsidRPr="001D0C18">
        <w:rPr>
          <w:sz w:val="16"/>
          <w:szCs w:val="16"/>
          <w:lang w:val="pt-BR"/>
        </w:rPr>
        <w:t xml:space="preserve"> </w:t>
      </w:r>
      <w:hyperlink r:id="rId83" w:history="1">
        <w:r w:rsidRPr="001D0C18">
          <w:rPr>
            <w:rStyle w:val="Hyperlink"/>
            <w:sz w:val="16"/>
            <w:szCs w:val="16"/>
            <w:lang w:val="pt-BR"/>
          </w:rPr>
          <w:t>http://www.pppbrasil.com.br/portal/</w:t>
        </w:r>
      </w:hyperlink>
      <w:r w:rsidRPr="001D0C18">
        <w:rPr>
          <w:sz w:val="16"/>
          <w:szCs w:val="16"/>
          <w:lang w:val="pt-BR"/>
        </w:rPr>
        <w:t xml:space="preserve">; </w:t>
      </w:r>
      <w:hyperlink r:id="rId84" w:history="1">
        <w:r w:rsidRPr="001D0C18">
          <w:rPr>
            <w:rStyle w:val="Hyperlink"/>
            <w:sz w:val="16"/>
            <w:szCs w:val="16"/>
            <w:lang w:val="pt-BR"/>
          </w:rPr>
          <w:t>http://economia.estadao.com.br/noticias/economia-brasil,aposta-para-melhorar-infraestrutura-so-11-ppps-estao-em-operacao-no-brasil,170241,0.htm</w:t>
        </w:r>
      </w:hyperlink>
      <w:r w:rsidRPr="001D0C18">
        <w:rPr>
          <w:sz w:val="16"/>
          <w:szCs w:val="16"/>
          <w:lang w:val="pt-BR"/>
        </w:rPr>
        <w:t xml:space="preserve">; </w:t>
      </w:r>
      <w:hyperlink r:id="rId85" w:history="1">
        <w:r w:rsidRPr="001D0C18">
          <w:rPr>
            <w:rStyle w:val="Hyperlink"/>
            <w:sz w:val="16"/>
            <w:szCs w:val="16"/>
            <w:lang w:val="pt-BR"/>
          </w:rPr>
          <w:t>http://www.pppbrasil.com.br/portal/content/paran%C3%A1-analisa-projeto-de-lei-sobre-garantias-do-poder-concedente-%C3%A0s-concession%C3%A1rias-de-ppps</w:t>
        </w:r>
      </w:hyperlink>
      <w:r w:rsidRPr="001D0C18">
        <w:rPr>
          <w:sz w:val="16"/>
          <w:szCs w:val="16"/>
          <w:lang w:val="pt-BR"/>
        </w:rPr>
        <w:t xml:space="preserve"> ; Portosenavios</w:t>
      </w:r>
      <w:r>
        <w:rPr>
          <w:sz w:val="16"/>
          <w:szCs w:val="16"/>
          <w:lang w:val="pt-BR"/>
        </w:rPr>
        <w:t xml:space="preserve"> </w:t>
      </w:r>
      <w:r w:rsidRPr="001D0C18">
        <w:rPr>
          <w:sz w:val="16"/>
          <w:szCs w:val="16"/>
          <w:lang w:val="pt-BR"/>
        </w:rPr>
        <w:t xml:space="preserve">05 Novembro 2013 </w:t>
      </w:r>
      <w:r w:rsidRPr="001D0C18">
        <w:rPr>
          <w:bCs/>
          <w:sz w:val="16"/>
          <w:szCs w:val="16"/>
          <w:lang w:val="pt-BR"/>
        </w:rPr>
        <w:t>Estados buscam novos recursos para ampliar investimento em PPPs</w:t>
      </w:r>
      <w:r>
        <w:rPr>
          <w:bCs/>
          <w:sz w:val="16"/>
          <w:szCs w:val="16"/>
          <w:lang w:val="pt-BR"/>
        </w:rPr>
        <w:t xml:space="preserve"> </w:t>
      </w:r>
      <w:hyperlink r:id="rId86" w:history="1">
        <w:r w:rsidRPr="001D0C18">
          <w:rPr>
            <w:rStyle w:val="Hyperlink"/>
            <w:sz w:val="16"/>
            <w:szCs w:val="16"/>
            <w:lang w:val="pt-BR"/>
          </w:rPr>
          <w:t>http://www.portosenavios.com.br/geral/21562-estados-buscam-novos-recursos-para-ampliar-investimento-em-ppps</w:t>
        </w:r>
      </w:hyperlink>
      <w:r w:rsidRPr="001D0C18">
        <w:rPr>
          <w:sz w:val="16"/>
          <w:szCs w:val="16"/>
          <w:lang w:val="pt-BR"/>
        </w:rPr>
        <w:t xml:space="preserve"> </w:t>
      </w:r>
    </w:p>
  </w:endnote>
  <w:endnote w:id="67">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UK Treasury news released 62/12 18 July 2012</w:t>
      </w:r>
      <w:r>
        <w:rPr>
          <w:sz w:val="16"/>
          <w:szCs w:val="16"/>
        </w:rPr>
        <w:t xml:space="preserve"> </w:t>
      </w:r>
      <w:hyperlink r:id="rId87" w:history="1">
        <w:r w:rsidRPr="001D0C18">
          <w:rPr>
            <w:rStyle w:val="Hyperlink"/>
            <w:sz w:val="16"/>
            <w:szCs w:val="16"/>
          </w:rPr>
          <w:t>http://www.hm-treasury.gov.uk/press_62_12.htm</w:t>
        </w:r>
      </w:hyperlink>
      <w:r w:rsidRPr="001D0C18">
        <w:rPr>
          <w:sz w:val="16"/>
          <w:szCs w:val="16"/>
        </w:rPr>
        <w:t xml:space="preserve"> , </w:t>
      </w:r>
      <w:hyperlink r:id="rId88" w:history="1">
        <w:r w:rsidRPr="001D0C18">
          <w:rPr>
            <w:rStyle w:val="Hyperlink"/>
            <w:sz w:val="16"/>
            <w:szCs w:val="16"/>
          </w:rPr>
          <w:t>https://www.gov.uk/government/news/chancellor-announces-uk-guarantees-scheme</w:t>
        </w:r>
      </w:hyperlink>
      <w:r>
        <w:rPr>
          <w:sz w:val="16"/>
          <w:szCs w:val="16"/>
        </w:rPr>
        <w:t xml:space="preserve"> </w:t>
      </w:r>
      <w:r w:rsidRPr="001D0C18">
        <w:rPr>
          <w:sz w:val="16"/>
          <w:szCs w:val="16"/>
        </w:rPr>
        <w:t xml:space="preserve">; </w:t>
      </w:r>
      <w:hyperlink r:id="rId89" w:history="1">
        <w:r w:rsidRPr="001D0C18">
          <w:rPr>
            <w:rStyle w:val="Hyperlink"/>
            <w:sz w:val="16"/>
            <w:szCs w:val="16"/>
          </w:rPr>
          <w:t>https://www.gov.uk/government/publications/uk-guarantees-scheme-key-documents</w:t>
        </w:r>
      </w:hyperlink>
      <w:r w:rsidRPr="001D0C18">
        <w:rPr>
          <w:sz w:val="16"/>
          <w:szCs w:val="16"/>
        </w:rPr>
        <w:t xml:space="preserve"> </w:t>
      </w:r>
    </w:p>
  </w:endnote>
  <w:endnote w:id="68">
    <w:p w:rsidR="006660F8" w:rsidRPr="001D0C18" w:rsidRDefault="006660F8" w:rsidP="00732B04">
      <w:pPr>
        <w:pStyle w:val="EndnoteText"/>
        <w:rPr>
          <w:sz w:val="16"/>
          <w:szCs w:val="16"/>
        </w:rPr>
      </w:pPr>
      <w:r w:rsidRPr="001D0C18">
        <w:rPr>
          <w:rStyle w:val="EndnoteReference"/>
          <w:sz w:val="16"/>
          <w:szCs w:val="16"/>
        </w:rPr>
        <w:endnoteRef/>
      </w:r>
      <w:r w:rsidRPr="001D0C18">
        <w:rPr>
          <w:sz w:val="16"/>
          <w:szCs w:val="16"/>
        </w:rPr>
        <w:t xml:space="preserve"> </w:t>
      </w:r>
      <w:hyperlink r:id="rId90" w:history="1">
        <w:r w:rsidRPr="001D0C18">
          <w:rPr>
            <w:rStyle w:val="Hyperlink"/>
            <w:sz w:val="16"/>
            <w:szCs w:val="16"/>
          </w:rPr>
          <w:t>http://www.europapress.es/economia/noticia-fomento-dara-avales-lograr-financiacion-privada-obra-publica-20090630124906.html</w:t>
        </w:r>
      </w:hyperlink>
      <w:r w:rsidRPr="001D0C18">
        <w:rPr>
          <w:sz w:val="16"/>
          <w:szCs w:val="16"/>
        </w:rPr>
        <w:t xml:space="preserve"> ; Deloitte Securing the Foundations European Powers of Construction. 2009. P.30 </w:t>
      </w:r>
      <w:hyperlink r:id="rId91" w:history="1">
        <w:r w:rsidRPr="001D0C18">
          <w:rPr>
            <w:rStyle w:val="Hyperlink"/>
            <w:sz w:val="16"/>
            <w:szCs w:val="16"/>
          </w:rPr>
          <w:t>https://www.deloitte.com/view/en_GB/uk/industries/eiu/article/eeb1463dc14e4210VgnVCM200000bb42f00aRCRD.htm</w:t>
        </w:r>
      </w:hyperlink>
      <w:r w:rsidRPr="001D0C18">
        <w:rPr>
          <w:sz w:val="16"/>
          <w:szCs w:val="16"/>
        </w:rPr>
        <w:t xml:space="preserve"> </w:t>
      </w:r>
    </w:p>
  </w:endnote>
  <w:endnote w:id="69">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92" w:history="1">
        <w:r w:rsidRPr="001D0C18">
          <w:rPr>
            <w:rStyle w:val="Hyperlink"/>
            <w:sz w:val="16"/>
            <w:szCs w:val="16"/>
          </w:rPr>
          <w:t>http://www.iifcl.org/Content/profile.aspx</w:t>
        </w:r>
      </w:hyperlink>
      <w:r>
        <w:rPr>
          <w:sz w:val="16"/>
          <w:szCs w:val="16"/>
        </w:rPr>
        <w:t xml:space="preserve"> </w:t>
      </w:r>
    </w:p>
  </w:endnote>
  <w:endnote w:id="70">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93" w:tgtFrame="_blank" w:history="1">
        <w:r w:rsidRPr="001D0C18">
          <w:rPr>
            <w:rStyle w:val="Hyperlink"/>
            <w:sz w:val="16"/>
            <w:szCs w:val="16"/>
          </w:rPr>
          <w:t>http://www.imf.org/external/pubs/ft/wp/2009/wp09144.pdf</w:t>
        </w:r>
      </w:hyperlink>
    </w:p>
  </w:endnote>
  <w:endnote w:id="71">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94" w:history="1">
        <w:r w:rsidRPr="001D0C18">
          <w:rPr>
            <w:rStyle w:val="Hyperlink"/>
            <w:sz w:val="16"/>
            <w:szCs w:val="16"/>
          </w:rPr>
          <w:t>http://www.premier.vic.gov.au/premier/australias-biggest-desalination-plant-to-secure-water-and-jobs.html</w:t>
        </w:r>
      </w:hyperlink>
      <w:r w:rsidRPr="001D0C18">
        <w:rPr>
          <w:sz w:val="16"/>
          <w:szCs w:val="16"/>
        </w:rPr>
        <w:t xml:space="preserve"> </w:t>
      </w:r>
    </w:p>
  </w:endnote>
  <w:endnote w:id="72">
    <w:p w:rsidR="006660F8" w:rsidRPr="001D0C18" w:rsidRDefault="006660F8" w:rsidP="009072EF">
      <w:pPr>
        <w:pStyle w:val="EndnoteText"/>
        <w:rPr>
          <w:sz w:val="16"/>
          <w:szCs w:val="16"/>
        </w:rPr>
      </w:pPr>
      <w:r w:rsidRPr="001D0C18">
        <w:rPr>
          <w:rStyle w:val="EndnoteReference"/>
          <w:sz w:val="16"/>
          <w:szCs w:val="16"/>
        </w:rPr>
        <w:endnoteRef/>
      </w:r>
      <w:r w:rsidRPr="001D0C18">
        <w:rPr>
          <w:sz w:val="16"/>
          <w:szCs w:val="16"/>
        </w:rPr>
        <w:t xml:space="preserve"> Bloomberg Nov 27, 2013Private Toll Road Investors Shift Revenue Risk to States By David Mildenberg </w:t>
      </w:r>
    </w:p>
    <w:p w:rsidR="006660F8" w:rsidRPr="001D0C18" w:rsidRDefault="00A723E5" w:rsidP="009072EF">
      <w:pPr>
        <w:pStyle w:val="EndnoteText"/>
        <w:rPr>
          <w:sz w:val="16"/>
          <w:szCs w:val="16"/>
        </w:rPr>
      </w:pPr>
      <w:hyperlink r:id="rId95" w:history="1">
        <w:r w:rsidR="006660F8" w:rsidRPr="001D0C18">
          <w:rPr>
            <w:rStyle w:val="Hyperlink"/>
            <w:sz w:val="16"/>
            <w:szCs w:val="16"/>
          </w:rPr>
          <w:t>http://www.bloomberg.com/news/2013-11-27/private-toll-road-investors-shift-revenue-risk-to-states.html</w:t>
        </w:r>
      </w:hyperlink>
      <w:r w:rsidR="006660F8" w:rsidRPr="001D0C18">
        <w:rPr>
          <w:sz w:val="16"/>
          <w:szCs w:val="16"/>
        </w:rPr>
        <w:t xml:space="preserve"> ; Infrastructure Journal 17 Jan 2013 Toll Roads: Big Trouble Down Under IJ Interviews Dr Robert Bain</w:t>
      </w:r>
    </w:p>
    <w:p w:rsidR="006660F8" w:rsidRPr="001D0C18" w:rsidRDefault="00A723E5" w:rsidP="009072EF">
      <w:pPr>
        <w:pStyle w:val="EndnoteText"/>
        <w:rPr>
          <w:sz w:val="16"/>
          <w:szCs w:val="16"/>
        </w:rPr>
      </w:pPr>
      <w:hyperlink r:id="rId96" w:history="1">
        <w:r w:rsidR="006660F8" w:rsidRPr="001D0C18">
          <w:rPr>
            <w:rStyle w:val="Hyperlink"/>
            <w:sz w:val="16"/>
            <w:szCs w:val="16"/>
          </w:rPr>
          <w:t>http://www.robbain.com/Toll%20Roads.pdf</w:t>
        </w:r>
      </w:hyperlink>
      <w:r w:rsidR="006660F8" w:rsidRPr="001D0C18">
        <w:rPr>
          <w:sz w:val="16"/>
          <w:szCs w:val="16"/>
        </w:rPr>
        <w:t xml:space="preserve"> </w:t>
      </w:r>
    </w:p>
  </w:endnote>
  <w:endnote w:id="73">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97" w:history="1">
        <w:r w:rsidRPr="001D0C18">
          <w:rPr>
            <w:rStyle w:val="Hyperlink"/>
            <w:sz w:val="16"/>
            <w:szCs w:val="16"/>
          </w:rPr>
          <w:t>http://timesofindia.indiatimes.com/business/india-business/Public-private-projects-have-problems-Montek-Singh-Ahluwalia/articleshow/22131210.cms</w:t>
        </w:r>
      </w:hyperlink>
      <w:r w:rsidRPr="001D0C18">
        <w:rPr>
          <w:sz w:val="16"/>
          <w:szCs w:val="16"/>
        </w:rPr>
        <w:t xml:space="preserve"> </w:t>
      </w:r>
    </w:p>
  </w:endnote>
  <w:endnote w:id="74">
    <w:p w:rsidR="006660F8" w:rsidRPr="001D0C18" w:rsidRDefault="006660F8" w:rsidP="00084FAB">
      <w:pPr>
        <w:rPr>
          <w:sz w:val="16"/>
          <w:szCs w:val="16"/>
        </w:rPr>
      </w:pPr>
      <w:r w:rsidRPr="001D0C18">
        <w:rPr>
          <w:rStyle w:val="EndnoteReference"/>
          <w:sz w:val="16"/>
          <w:szCs w:val="16"/>
        </w:rPr>
        <w:endnoteRef/>
      </w:r>
      <w:r w:rsidRPr="001D0C18">
        <w:rPr>
          <w:sz w:val="16"/>
          <w:szCs w:val="16"/>
        </w:rPr>
        <w:t xml:space="preserve"> The Lawyer</w:t>
      </w:r>
      <w:r>
        <w:rPr>
          <w:sz w:val="16"/>
          <w:szCs w:val="16"/>
        </w:rPr>
        <w:t xml:space="preserve"> </w:t>
      </w:r>
      <w:r w:rsidRPr="001D0C18">
        <w:rPr>
          <w:sz w:val="16"/>
          <w:szCs w:val="16"/>
        </w:rPr>
        <w:t xml:space="preserve">6 September 2010 </w:t>
      </w:r>
      <w:hyperlink r:id="rId98" w:history="1">
        <w:r w:rsidRPr="001D0C18">
          <w:rPr>
            <w:rStyle w:val="Hyperlink"/>
            <w:sz w:val="16"/>
            <w:szCs w:val="16"/>
          </w:rPr>
          <w:t>http://www.thelawyer.com/does-failure-of-tfl-deals-spell-the-end-of-the-line-for-ppp-bonanza/1005403.article</w:t>
        </w:r>
      </w:hyperlink>
      <w:r w:rsidRPr="001D0C18">
        <w:rPr>
          <w:rStyle w:val="Hyperlink"/>
          <w:sz w:val="16"/>
          <w:szCs w:val="16"/>
        </w:rPr>
        <w:t xml:space="preserve">; </w:t>
      </w:r>
      <w:r w:rsidRPr="001D0C18">
        <w:rPr>
          <w:sz w:val="16"/>
          <w:szCs w:val="16"/>
        </w:rPr>
        <w:t>The Economist May 15, 2010</w:t>
      </w:r>
      <w:r>
        <w:rPr>
          <w:sz w:val="16"/>
          <w:szCs w:val="16"/>
        </w:rPr>
        <w:t xml:space="preserve"> </w:t>
      </w:r>
      <w:r w:rsidRPr="001D0C18">
        <w:rPr>
          <w:sz w:val="16"/>
          <w:szCs w:val="16"/>
        </w:rPr>
        <w:t>F</w:t>
      </w:r>
      <w:r w:rsidRPr="001D0C18">
        <w:rPr>
          <w:bCs/>
          <w:sz w:val="16"/>
          <w:szCs w:val="16"/>
        </w:rPr>
        <w:t xml:space="preserve">inis; The Tube upgrade deals </w:t>
      </w:r>
      <w:hyperlink r:id="rId99" w:history="1">
        <w:r w:rsidRPr="001D0C18">
          <w:rPr>
            <w:rStyle w:val="Hyperlink"/>
            <w:bCs/>
            <w:sz w:val="16"/>
            <w:szCs w:val="16"/>
          </w:rPr>
          <w:t>http://www.economist.com/node/16113111</w:t>
        </w:r>
      </w:hyperlink>
      <w:r w:rsidRPr="001D0C18">
        <w:rPr>
          <w:bCs/>
          <w:sz w:val="16"/>
          <w:szCs w:val="16"/>
        </w:rPr>
        <w:t xml:space="preserve"> ; </w:t>
      </w:r>
      <w:r w:rsidRPr="001D0C18">
        <w:rPr>
          <w:sz w:val="16"/>
          <w:szCs w:val="16"/>
        </w:rPr>
        <w:t xml:space="preserve">Christian Wolmar 22 May 2010 Rail 644: Why the PPP was doomed from the start </w:t>
      </w:r>
      <w:hyperlink r:id="rId100" w:history="1">
        <w:r w:rsidRPr="001D0C18">
          <w:rPr>
            <w:rStyle w:val="Hyperlink"/>
            <w:sz w:val="16"/>
            <w:szCs w:val="16"/>
          </w:rPr>
          <w:t>http://www.christianwolmar.co.uk/2010/05/rail-644-why-the-ppp-was-doomed-from-the-start/</w:t>
        </w:r>
      </w:hyperlink>
      <w:r w:rsidRPr="001D0C18">
        <w:rPr>
          <w:rStyle w:val="Hyperlink"/>
          <w:sz w:val="16"/>
          <w:szCs w:val="16"/>
        </w:rPr>
        <w:t xml:space="preserve"> ; </w:t>
      </w:r>
    </w:p>
  </w:endnote>
  <w:endnote w:id="75">
    <w:p w:rsidR="006660F8" w:rsidRPr="001D0C18" w:rsidRDefault="006660F8" w:rsidP="00E55FAE">
      <w:pPr>
        <w:pStyle w:val="EndnoteText"/>
        <w:rPr>
          <w:sz w:val="16"/>
          <w:szCs w:val="16"/>
        </w:rPr>
      </w:pPr>
      <w:r w:rsidRPr="001D0C18">
        <w:rPr>
          <w:rStyle w:val="EndnoteReference"/>
          <w:sz w:val="16"/>
          <w:szCs w:val="16"/>
        </w:rPr>
        <w:endnoteRef/>
      </w:r>
      <w:r w:rsidRPr="001D0C18">
        <w:rPr>
          <w:sz w:val="16"/>
          <w:szCs w:val="16"/>
        </w:rPr>
        <w:t xml:space="preserve"> </w:t>
      </w:r>
      <w:hyperlink r:id="rId101" w:history="1">
        <w:r w:rsidRPr="001D0C18">
          <w:rPr>
            <w:rStyle w:val="Hyperlink"/>
            <w:sz w:val="16"/>
            <w:szCs w:val="16"/>
          </w:rPr>
          <w:t>http://www.ifc.org/wps/wcm/connect/industry_ext_content/ifc_external_corporate_site/industries/financial+markets/news/healthafricafeature</w:t>
        </w:r>
      </w:hyperlink>
      <w:r w:rsidRPr="001D0C18">
        <w:rPr>
          <w:sz w:val="16"/>
          <w:szCs w:val="16"/>
        </w:rPr>
        <w:t xml:space="preserve"> ;</w:t>
      </w:r>
      <w:r>
        <w:rPr>
          <w:sz w:val="16"/>
          <w:szCs w:val="16"/>
        </w:rPr>
        <w:t xml:space="preserve"> </w:t>
      </w:r>
      <w:hyperlink r:id="rId102" w:history="1">
        <w:r w:rsidRPr="001D0C18">
          <w:rPr>
            <w:rStyle w:val="Hyperlink"/>
            <w:sz w:val="16"/>
            <w:szCs w:val="16"/>
          </w:rPr>
          <w:t>http://mckinseyonsociety.com/downloads/reports/Global-Public-Health/IFC_HealthinAfrica_Final.pdf</w:t>
        </w:r>
      </w:hyperlink>
      <w:r w:rsidRPr="001D0C18">
        <w:rPr>
          <w:sz w:val="16"/>
          <w:szCs w:val="16"/>
        </w:rPr>
        <w:t xml:space="preserve"> ; </w:t>
      </w:r>
      <w:hyperlink r:id="rId103" w:history="1">
        <w:r w:rsidRPr="001D0C18">
          <w:rPr>
            <w:rStyle w:val="Hyperlink"/>
            <w:sz w:val="16"/>
            <w:szCs w:val="16"/>
          </w:rPr>
          <w:t>http://www.afdb.org/en/topics-and-sectors/initiatives-partnerships/health-in-africa-fund/</w:t>
        </w:r>
      </w:hyperlink>
      <w:r w:rsidRPr="001D0C18">
        <w:rPr>
          <w:sz w:val="16"/>
          <w:szCs w:val="16"/>
        </w:rPr>
        <w:t xml:space="preserve"> ;</w:t>
      </w:r>
    </w:p>
  </w:endnote>
  <w:endnote w:id="76">
    <w:p w:rsidR="006660F8" w:rsidRPr="001D0C18" w:rsidRDefault="006660F8" w:rsidP="00EC45B4">
      <w:pPr>
        <w:pStyle w:val="EndnoteText"/>
        <w:rPr>
          <w:bCs/>
          <w:sz w:val="16"/>
          <w:szCs w:val="16"/>
        </w:rPr>
      </w:pPr>
      <w:r w:rsidRPr="001D0C18">
        <w:rPr>
          <w:rStyle w:val="EndnoteReference"/>
          <w:sz w:val="16"/>
          <w:szCs w:val="16"/>
        </w:rPr>
        <w:endnoteRef/>
      </w:r>
      <w:r w:rsidRPr="001D0C18">
        <w:rPr>
          <w:sz w:val="16"/>
          <w:szCs w:val="16"/>
        </w:rPr>
        <w:t xml:space="preserve"> FT May 8, 2012 </w:t>
      </w:r>
      <w:r w:rsidRPr="001D0C18">
        <w:rPr>
          <w:bCs/>
          <w:sz w:val="16"/>
          <w:szCs w:val="16"/>
        </w:rPr>
        <w:t>Infrastructure: Pressing need for better transport</w:t>
      </w:r>
    </w:p>
    <w:p w:rsidR="006660F8" w:rsidRPr="001D0C18" w:rsidRDefault="006660F8" w:rsidP="00EC45B4">
      <w:pPr>
        <w:pStyle w:val="EndnoteText"/>
        <w:rPr>
          <w:sz w:val="16"/>
          <w:szCs w:val="16"/>
        </w:rPr>
      </w:pPr>
      <w:r>
        <w:rPr>
          <w:sz w:val="16"/>
          <w:szCs w:val="16"/>
        </w:rPr>
        <w:t xml:space="preserve"> </w:t>
      </w:r>
      <w:hyperlink r:id="rId104" w:anchor="axzz2mROn9frU" w:history="1">
        <w:r w:rsidRPr="001D0C18">
          <w:rPr>
            <w:rStyle w:val="Hyperlink"/>
            <w:sz w:val="16"/>
            <w:szCs w:val="16"/>
          </w:rPr>
          <w:t>http://www.ft.com/cms/s/0/4fd1e216-9441-11e1-bb47-00144feab49a.html#axzz2mROn9frU</w:t>
        </w:r>
      </w:hyperlink>
      <w:r w:rsidRPr="001D0C18">
        <w:rPr>
          <w:rStyle w:val="Hyperlink"/>
          <w:sz w:val="16"/>
          <w:szCs w:val="16"/>
        </w:rPr>
        <w:t xml:space="preserve"> ; </w:t>
      </w:r>
    </w:p>
  </w:endnote>
  <w:endnote w:id="77">
    <w:p w:rsidR="006660F8" w:rsidRPr="001D0C18" w:rsidRDefault="006660F8" w:rsidP="00EC45B4">
      <w:pPr>
        <w:rPr>
          <w:sz w:val="16"/>
          <w:szCs w:val="16"/>
        </w:rPr>
      </w:pPr>
      <w:r w:rsidRPr="001D0C18">
        <w:rPr>
          <w:rStyle w:val="EndnoteReference"/>
          <w:sz w:val="16"/>
          <w:szCs w:val="16"/>
        </w:rPr>
        <w:endnoteRef/>
      </w:r>
      <w:r w:rsidRPr="001D0C18">
        <w:rPr>
          <w:sz w:val="16"/>
          <w:szCs w:val="16"/>
        </w:rPr>
        <w:t xml:space="preserve"> </w:t>
      </w:r>
      <w:hyperlink r:id="rId105" w:history="1">
        <w:r w:rsidRPr="001D0C18">
          <w:rPr>
            <w:rStyle w:val="Hyperlink"/>
            <w:sz w:val="16"/>
            <w:szCs w:val="16"/>
          </w:rPr>
          <w:t>http://www.theguardian.com/society/2011/nov/05/nhs-reforms-mckinsey-conflict-interest</w:t>
        </w:r>
      </w:hyperlink>
      <w:r w:rsidRPr="001D0C18">
        <w:rPr>
          <w:sz w:val="16"/>
          <w:szCs w:val="16"/>
        </w:rPr>
        <w:t xml:space="preserve"> ; </w:t>
      </w:r>
      <w:r w:rsidRPr="001D0C18">
        <w:rPr>
          <w:bCs/>
          <w:sz w:val="16"/>
          <w:szCs w:val="16"/>
        </w:rPr>
        <w:t xml:space="preserve">Behind closed doors: how much power does McKinsey wield? </w:t>
      </w:r>
      <w:r w:rsidRPr="001D0C18">
        <w:rPr>
          <w:iCs/>
          <w:sz w:val="16"/>
          <w:szCs w:val="16"/>
        </w:rPr>
        <w:t xml:space="preserve">BMJ 2012; 344 doi: http://dx.doi.org/10.1136/bmj.e2905 (Published 9 May 2012); </w:t>
      </w:r>
      <w:hyperlink r:id="rId106" w:history="1">
        <w:r w:rsidRPr="001D0C18">
          <w:rPr>
            <w:rStyle w:val="Hyperlink"/>
            <w:iCs/>
            <w:sz w:val="16"/>
            <w:szCs w:val="16"/>
          </w:rPr>
          <w:t>http://www.dailymail.co.uk/news/article-2099940/NHS-health-reforms-Extent-McKinsey--Companys-role-Andrew-Lansleys-proposals.html</w:t>
        </w:r>
      </w:hyperlink>
      <w:r w:rsidRPr="001D0C18">
        <w:rPr>
          <w:bCs/>
          <w:iCs/>
          <w:sz w:val="16"/>
          <w:szCs w:val="16"/>
        </w:rPr>
        <w:t xml:space="preserve"> </w:t>
      </w:r>
    </w:p>
  </w:endnote>
  <w:endnote w:id="78">
    <w:p w:rsidR="006660F8" w:rsidRPr="001D0C18" w:rsidRDefault="006660F8" w:rsidP="00EC45B4">
      <w:pPr>
        <w:pStyle w:val="EndnoteText"/>
        <w:rPr>
          <w:sz w:val="16"/>
          <w:szCs w:val="16"/>
        </w:rPr>
      </w:pPr>
      <w:r w:rsidRPr="001D0C18">
        <w:rPr>
          <w:rStyle w:val="EndnoteReference"/>
          <w:sz w:val="16"/>
          <w:szCs w:val="16"/>
        </w:rPr>
        <w:endnoteRef/>
      </w:r>
      <w:r w:rsidRPr="001D0C18">
        <w:rPr>
          <w:sz w:val="16"/>
          <w:szCs w:val="16"/>
        </w:rPr>
        <w:t xml:space="preserve"> McKinsey ‘Investors’ </w:t>
      </w:r>
      <w:hyperlink r:id="rId107" w:history="1">
        <w:r w:rsidRPr="001D0C18">
          <w:rPr>
            <w:rStyle w:val="Hyperlink"/>
            <w:sz w:val="16"/>
            <w:szCs w:val="16"/>
          </w:rPr>
          <w:t>http://www.mckinsey.com/client_service/infrastructure/expertise/investors</w:t>
        </w:r>
      </w:hyperlink>
      <w:r w:rsidRPr="001D0C18">
        <w:rPr>
          <w:sz w:val="16"/>
          <w:szCs w:val="16"/>
        </w:rPr>
        <w:t xml:space="preserve"> </w:t>
      </w:r>
    </w:p>
  </w:endnote>
  <w:endnote w:id="79">
    <w:p w:rsidR="006660F8" w:rsidRPr="001D0C18" w:rsidRDefault="006660F8" w:rsidP="00FC4CDF">
      <w:pPr>
        <w:rPr>
          <w:sz w:val="16"/>
          <w:szCs w:val="16"/>
        </w:rPr>
      </w:pPr>
      <w:r w:rsidRPr="001D0C18">
        <w:rPr>
          <w:rStyle w:val="EndnoteReference"/>
          <w:sz w:val="16"/>
          <w:szCs w:val="16"/>
        </w:rPr>
        <w:endnoteRef/>
      </w:r>
      <w:r w:rsidRPr="001D0C18">
        <w:rPr>
          <w:sz w:val="16"/>
          <w:szCs w:val="16"/>
        </w:rPr>
        <w:t xml:space="preserve"> Sikka, Prem. 2009. ‘Financial Crisis and the Silence of the Auditors’. </w:t>
      </w:r>
      <w:r w:rsidRPr="001D0C18">
        <w:rPr>
          <w:i/>
          <w:iCs/>
          <w:sz w:val="16"/>
          <w:szCs w:val="16"/>
        </w:rPr>
        <w:t>Accounting, Organizations and Society</w:t>
      </w:r>
      <w:r w:rsidRPr="001D0C18">
        <w:rPr>
          <w:sz w:val="16"/>
          <w:szCs w:val="16"/>
        </w:rPr>
        <w:t xml:space="preserve"> 34 (6–7) (August): 868–873. </w:t>
      </w:r>
      <w:hyperlink r:id="rId108" w:history="1">
        <w:r w:rsidRPr="001D0C18">
          <w:rPr>
            <w:rStyle w:val="Hyperlink"/>
            <w:sz w:val="16"/>
            <w:szCs w:val="16"/>
          </w:rPr>
          <w:t>http://www.sciencedirect.com/science/article/pii/S036136820900018X</w:t>
        </w:r>
      </w:hyperlink>
      <w:r w:rsidRPr="001D0C18">
        <w:rPr>
          <w:sz w:val="16"/>
          <w:szCs w:val="16"/>
        </w:rPr>
        <w:t xml:space="preserve"> </w:t>
      </w:r>
    </w:p>
  </w:endnote>
  <w:endnote w:id="80">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109" w:history="1">
        <w:r w:rsidRPr="001D0C18">
          <w:rPr>
            <w:rStyle w:val="Hyperlink"/>
            <w:sz w:val="16"/>
            <w:szCs w:val="16"/>
          </w:rPr>
          <w:t>http://www.theguardian.com/commentisfree/2012/dec/10/end-tax-scams-by-hitting-big-four</w:t>
        </w:r>
      </w:hyperlink>
      <w:r w:rsidRPr="001D0C18">
        <w:rPr>
          <w:sz w:val="16"/>
          <w:szCs w:val="16"/>
        </w:rPr>
        <w:t xml:space="preserve"> ; </w:t>
      </w:r>
      <w:hyperlink r:id="rId110" w:history="1">
        <w:r w:rsidRPr="001D0C18">
          <w:rPr>
            <w:rStyle w:val="Hyperlink"/>
            <w:sz w:val="16"/>
            <w:szCs w:val="16"/>
          </w:rPr>
          <w:t>http://www.theguardian.com/commentisfree/2012/dec/08/predatory-practices-accountancy-firms?guni=Article:in%20body%20link</w:t>
        </w:r>
      </w:hyperlink>
      <w:r w:rsidRPr="001D0C18">
        <w:rPr>
          <w:sz w:val="16"/>
          <w:szCs w:val="16"/>
        </w:rPr>
        <w:t xml:space="preserve"> </w:t>
      </w:r>
    </w:p>
  </w:endnote>
  <w:endnote w:id="81">
    <w:p w:rsidR="006660F8" w:rsidRPr="001D0C18" w:rsidRDefault="006660F8" w:rsidP="00A31234">
      <w:pPr>
        <w:rPr>
          <w:sz w:val="16"/>
          <w:szCs w:val="16"/>
        </w:rPr>
      </w:pPr>
      <w:r w:rsidRPr="001D0C18">
        <w:rPr>
          <w:rStyle w:val="EndnoteReference"/>
          <w:color w:val="000000"/>
          <w:sz w:val="16"/>
          <w:szCs w:val="16"/>
        </w:rPr>
        <w:endnoteRef/>
      </w:r>
      <w:r w:rsidRPr="001D0C18">
        <w:rPr>
          <w:sz w:val="16"/>
          <w:szCs w:val="16"/>
        </w:rPr>
        <w:t xml:space="preserve"> The Economist August 30, 2008 U.S. Edition Taking its toll; Australian finance</w:t>
      </w:r>
      <w:r w:rsidRPr="001D0C18">
        <w:rPr>
          <w:b/>
          <w:bCs/>
          <w:sz w:val="16"/>
          <w:szCs w:val="16"/>
        </w:rPr>
        <w:t>:</w:t>
      </w:r>
      <w:r w:rsidRPr="001D0C18">
        <w:rPr>
          <w:sz w:val="16"/>
          <w:szCs w:val="16"/>
        </w:rPr>
        <w:t xml:space="preserve"> Troubles at Australia's debt-laden infrastructure funds</w:t>
      </w:r>
    </w:p>
  </w:endnote>
  <w:endnote w:id="82">
    <w:p w:rsidR="006660F8" w:rsidRPr="001D0C18" w:rsidRDefault="006660F8">
      <w:pPr>
        <w:pStyle w:val="EndnoteText"/>
        <w:rPr>
          <w:sz w:val="16"/>
          <w:szCs w:val="16"/>
        </w:rPr>
      </w:pPr>
      <w:r w:rsidRPr="001D0C18">
        <w:rPr>
          <w:rStyle w:val="EndnoteReference"/>
          <w:sz w:val="16"/>
          <w:szCs w:val="16"/>
        </w:rPr>
        <w:endnoteRef/>
      </w:r>
      <w:r>
        <w:rPr>
          <w:sz w:val="16"/>
          <w:szCs w:val="16"/>
        </w:rPr>
        <w:t xml:space="preserve"> </w:t>
      </w:r>
      <w:r w:rsidRPr="001D0C18">
        <w:rPr>
          <w:sz w:val="16"/>
          <w:szCs w:val="16"/>
        </w:rPr>
        <w:t xml:space="preserve">‘More than Bricks and Mortar’. The Corner House 2013 </w:t>
      </w:r>
      <w:hyperlink r:id="rId111" w:history="1">
        <w:r w:rsidRPr="001D0C18">
          <w:rPr>
            <w:rStyle w:val="Hyperlink"/>
            <w:sz w:val="16"/>
            <w:szCs w:val="16"/>
          </w:rPr>
          <w:t>http://www.thecornerhouse.org.uk/resource/more-bricks-and-mortar</w:t>
        </w:r>
      </w:hyperlink>
      <w:r w:rsidRPr="001D0C18">
        <w:rPr>
          <w:sz w:val="16"/>
          <w:szCs w:val="16"/>
        </w:rPr>
        <w:t xml:space="preserve"> </w:t>
      </w:r>
    </w:p>
  </w:endnote>
  <w:endnote w:id="83">
    <w:p w:rsidR="006660F8" w:rsidRPr="001D0C18" w:rsidRDefault="006660F8" w:rsidP="008D1B6E">
      <w:pPr>
        <w:pStyle w:val="EndnoteText"/>
        <w:rPr>
          <w:sz w:val="16"/>
          <w:szCs w:val="16"/>
        </w:rPr>
      </w:pPr>
      <w:r w:rsidRPr="001D0C18">
        <w:rPr>
          <w:rStyle w:val="EndnoteReference"/>
          <w:sz w:val="16"/>
          <w:szCs w:val="16"/>
        </w:rPr>
        <w:endnoteRef/>
      </w:r>
      <w:r w:rsidRPr="001D0C18">
        <w:rPr>
          <w:sz w:val="16"/>
          <w:szCs w:val="16"/>
        </w:rPr>
        <w:t xml:space="preserve"> </w:t>
      </w:r>
      <w:hyperlink r:id="rId112" w:history="1">
        <w:r w:rsidRPr="001D0C18">
          <w:rPr>
            <w:rStyle w:val="Hyperlink"/>
            <w:sz w:val="16"/>
            <w:szCs w:val="16"/>
          </w:rPr>
          <w:t>http://www.hanshep.org/</w:t>
        </w:r>
      </w:hyperlink>
      <w:r w:rsidRPr="001D0C18">
        <w:rPr>
          <w:sz w:val="16"/>
          <w:szCs w:val="16"/>
        </w:rPr>
        <w:t xml:space="preserve"> </w:t>
      </w:r>
    </w:p>
  </w:endnote>
  <w:endnote w:id="84">
    <w:p w:rsidR="006660F8" w:rsidRPr="001D0C18" w:rsidRDefault="006660F8" w:rsidP="008D1B6E">
      <w:pPr>
        <w:pStyle w:val="EndnoteText"/>
        <w:rPr>
          <w:sz w:val="16"/>
          <w:szCs w:val="16"/>
        </w:rPr>
      </w:pPr>
      <w:r w:rsidRPr="001D0C18">
        <w:rPr>
          <w:rStyle w:val="EndnoteReference"/>
          <w:sz w:val="16"/>
          <w:szCs w:val="16"/>
        </w:rPr>
        <w:endnoteRef/>
      </w:r>
      <w:r w:rsidRPr="001D0C18">
        <w:rPr>
          <w:sz w:val="16"/>
          <w:szCs w:val="16"/>
        </w:rPr>
        <w:t xml:space="preserve"> </w:t>
      </w:r>
      <w:hyperlink r:id="rId113" w:history="1">
        <w:r w:rsidRPr="001D0C18">
          <w:rPr>
            <w:rStyle w:val="Hyperlink"/>
            <w:sz w:val="16"/>
            <w:szCs w:val="16"/>
          </w:rPr>
          <w:t>http://ghif.com/</w:t>
        </w:r>
      </w:hyperlink>
      <w:r w:rsidRPr="001D0C18">
        <w:rPr>
          <w:sz w:val="16"/>
          <w:szCs w:val="16"/>
        </w:rPr>
        <w:t xml:space="preserve"> ; </w:t>
      </w:r>
      <w:hyperlink r:id="rId114" w:history="1">
        <w:r w:rsidRPr="001D0C18">
          <w:rPr>
            <w:rStyle w:val="Hyperlink"/>
            <w:sz w:val="16"/>
            <w:szCs w:val="16"/>
          </w:rPr>
          <w:t>http://www.hanshep.org/member-area/programmes/pilot-health-ppp-advisory-facility/health-ppps-different-solutions-for-different-needs.pdf</w:t>
        </w:r>
      </w:hyperlink>
    </w:p>
  </w:endnote>
  <w:endnote w:id="85">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115" w:history="1">
        <w:r w:rsidRPr="001D0C18">
          <w:rPr>
            <w:rStyle w:val="Hyperlink"/>
            <w:sz w:val="16"/>
            <w:szCs w:val="16"/>
          </w:rPr>
          <w:t>http://www.ifc.org/wps/wcm/connect/industry_ext_content/ifc_external_corporate_site/industries/financial+markets/news/healthafricafeature</w:t>
        </w:r>
      </w:hyperlink>
      <w:r w:rsidRPr="001D0C18">
        <w:rPr>
          <w:sz w:val="16"/>
          <w:szCs w:val="16"/>
        </w:rPr>
        <w:t xml:space="preserve"> ;</w:t>
      </w:r>
      <w:r>
        <w:rPr>
          <w:sz w:val="16"/>
          <w:szCs w:val="16"/>
        </w:rPr>
        <w:t xml:space="preserve"> </w:t>
      </w:r>
      <w:hyperlink r:id="rId116" w:history="1">
        <w:r w:rsidRPr="001D0C18">
          <w:rPr>
            <w:rStyle w:val="Hyperlink"/>
            <w:sz w:val="16"/>
            <w:szCs w:val="16"/>
          </w:rPr>
          <w:t>http://mckinseyonsociety.com/downloads/reports/Global-Public-Health/IFC_HealthinAfrica_Final.pdf</w:t>
        </w:r>
      </w:hyperlink>
      <w:r w:rsidRPr="001D0C18">
        <w:rPr>
          <w:sz w:val="16"/>
          <w:szCs w:val="16"/>
        </w:rPr>
        <w:t xml:space="preserve"> ; </w:t>
      </w:r>
      <w:hyperlink r:id="rId117" w:history="1">
        <w:r w:rsidRPr="001D0C18">
          <w:rPr>
            <w:rStyle w:val="Hyperlink"/>
            <w:sz w:val="16"/>
            <w:szCs w:val="16"/>
          </w:rPr>
          <w:t>http://www.afdb.org/en/topics-and-sectors/initiatives-partnerships/health-in-africa-fund/</w:t>
        </w:r>
      </w:hyperlink>
      <w:r w:rsidRPr="001D0C18">
        <w:rPr>
          <w:sz w:val="16"/>
          <w:szCs w:val="16"/>
        </w:rPr>
        <w:t xml:space="preserve"> ;</w:t>
      </w:r>
    </w:p>
  </w:endnote>
  <w:endnote w:id="86">
    <w:p w:rsidR="006660F8" w:rsidRPr="001D0C18" w:rsidRDefault="006660F8">
      <w:pPr>
        <w:pStyle w:val="EndnoteText"/>
        <w:rPr>
          <w:sz w:val="16"/>
          <w:szCs w:val="16"/>
        </w:rPr>
      </w:pPr>
      <w:r w:rsidRPr="001D0C18">
        <w:rPr>
          <w:rStyle w:val="EndnoteReference"/>
          <w:sz w:val="16"/>
          <w:szCs w:val="16"/>
        </w:rPr>
        <w:endnoteRef/>
      </w:r>
      <w:hyperlink r:id="rId118" w:history="1">
        <w:r w:rsidRPr="00C57609">
          <w:rPr>
            <w:rStyle w:val="Hyperlink"/>
            <w:sz w:val="16"/>
            <w:szCs w:val="16"/>
          </w:rPr>
          <w:t>http://www.ifc.org/wps/wcm/connect/371fad804e4a94708c54ac7a9dd66321/Health+Services+and+Life+Sciences_062413_v5.pdf?MOD=AJPERES</w:t>
        </w:r>
      </w:hyperlink>
      <w:r w:rsidRPr="001D0C18">
        <w:rPr>
          <w:sz w:val="16"/>
          <w:szCs w:val="16"/>
        </w:rPr>
        <w:t>;</w:t>
      </w:r>
      <w:r>
        <w:rPr>
          <w:sz w:val="16"/>
          <w:szCs w:val="16"/>
        </w:rPr>
        <w:t xml:space="preserve"> </w:t>
      </w:r>
      <w:hyperlink r:id="rId119" w:history="1">
        <w:r w:rsidRPr="001D0C18">
          <w:rPr>
            <w:rStyle w:val="Hyperlink"/>
            <w:sz w:val="16"/>
            <w:szCs w:val="16"/>
          </w:rPr>
          <w:t>http://www.ifhafund.com/</w:t>
        </w:r>
      </w:hyperlink>
      <w:r w:rsidRPr="001D0C18">
        <w:rPr>
          <w:sz w:val="16"/>
          <w:szCs w:val="16"/>
        </w:rPr>
        <w:t xml:space="preserve"> ; </w:t>
      </w:r>
      <w:hyperlink r:id="rId120" w:history="1">
        <w:r w:rsidRPr="001D0C18">
          <w:rPr>
            <w:rStyle w:val="Hyperlink"/>
            <w:sz w:val="16"/>
            <w:szCs w:val="16"/>
          </w:rPr>
          <w:t>http://www.privateequityafrica.com/funds/aureos-health-fund-closes-at-105-4m/</w:t>
        </w:r>
      </w:hyperlink>
      <w:r w:rsidRPr="001D0C18">
        <w:rPr>
          <w:sz w:val="16"/>
          <w:szCs w:val="16"/>
        </w:rPr>
        <w:t xml:space="preserve"> </w:t>
      </w:r>
    </w:p>
  </w:endnote>
  <w:endnote w:id="87">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121" w:history="1">
        <w:r w:rsidRPr="001D0C18">
          <w:rPr>
            <w:rStyle w:val="Hyperlink"/>
            <w:sz w:val="16"/>
            <w:szCs w:val="16"/>
          </w:rPr>
          <w:t>http://www.privateequityafrica.com/funds/abraaj-to-raise-1bn-health-fund/</w:t>
        </w:r>
      </w:hyperlink>
      <w:r w:rsidRPr="001D0C18">
        <w:rPr>
          <w:sz w:val="16"/>
          <w:szCs w:val="16"/>
        </w:rPr>
        <w:t xml:space="preserve"> , </w:t>
      </w:r>
      <w:hyperlink r:id="rId122" w:history="1">
        <w:r w:rsidRPr="001D0C18">
          <w:rPr>
            <w:rStyle w:val="Hyperlink"/>
            <w:sz w:val="16"/>
            <w:szCs w:val="16"/>
          </w:rPr>
          <w:t>http://ifcext.ifc.org/ifcext/spiwebsite1.nsf/651aeb16abd09c1f8525797d006976ba/7f82831138f0fb7485257c43006d1dad?opendocument</w:t>
        </w:r>
      </w:hyperlink>
      <w:r w:rsidRPr="001D0C18">
        <w:rPr>
          <w:sz w:val="16"/>
          <w:szCs w:val="16"/>
        </w:rPr>
        <w:t xml:space="preserve"> </w:t>
      </w:r>
    </w:p>
  </w:endnote>
  <w:endnote w:id="88">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w:t>
      </w:r>
      <w:hyperlink r:id="rId123" w:history="1">
        <w:r w:rsidRPr="001D0C18">
          <w:rPr>
            <w:rStyle w:val="Hyperlink"/>
            <w:sz w:val="16"/>
            <w:szCs w:val="16"/>
          </w:rPr>
          <w:t>http://www.ifc.org/wps/wcm/connect/region__ext_content/regions/sub-saharan+africa/news/lesothohospital</w:t>
        </w:r>
      </w:hyperlink>
      <w:r w:rsidRPr="001D0C18">
        <w:rPr>
          <w:sz w:val="16"/>
          <w:szCs w:val="16"/>
        </w:rPr>
        <w:t xml:space="preserve"> </w:t>
      </w:r>
    </w:p>
  </w:endnote>
  <w:endnote w:id="89">
    <w:p w:rsidR="006660F8" w:rsidRPr="001D0C18" w:rsidRDefault="006660F8" w:rsidP="00042AEC">
      <w:pPr>
        <w:rPr>
          <w:sz w:val="16"/>
          <w:szCs w:val="16"/>
        </w:rPr>
      </w:pPr>
      <w:r w:rsidRPr="001D0C18">
        <w:rPr>
          <w:rStyle w:val="EndnoteReference"/>
          <w:sz w:val="16"/>
          <w:szCs w:val="16"/>
        </w:rPr>
        <w:endnoteRef/>
      </w:r>
      <w:r w:rsidRPr="001D0C18">
        <w:rPr>
          <w:sz w:val="16"/>
          <w:szCs w:val="16"/>
        </w:rPr>
        <w:t xml:space="preserve"> </w:t>
      </w:r>
      <w:hyperlink r:id="rId124" w:tooltip="Permanent Link to Lesotho hospital public private partnership: new model or false start?" w:history="1">
        <w:r w:rsidRPr="001D0C18">
          <w:rPr>
            <w:rStyle w:val="Hyperlink"/>
            <w:bCs/>
            <w:sz w:val="16"/>
            <w:szCs w:val="16"/>
          </w:rPr>
          <w:t xml:space="preserve">Lesotho hospital public private partnership: new model or false start? </w:t>
        </w:r>
      </w:hyperlink>
      <w:r w:rsidRPr="001D0C18">
        <w:rPr>
          <w:sz w:val="16"/>
          <w:szCs w:val="16"/>
        </w:rPr>
        <w:t xml:space="preserve"> Posted by </w:t>
      </w:r>
      <w:hyperlink r:id="rId125" w:tooltip="Posts by John Lister" w:history="1">
        <w:r w:rsidRPr="001D0C18">
          <w:rPr>
            <w:rStyle w:val="Hyperlink"/>
            <w:sz w:val="16"/>
            <w:szCs w:val="16"/>
          </w:rPr>
          <w:t>John Lister</w:t>
        </w:r>
      </w:hyperlink>
      <w:r w:rsidRPr="001D0C18">
        <w:rPr>
          <w:sz w:val="16"/>
          <w:szCs w:val="16"/>
        </w:rPr>
        <w:t xml:space="preserve"> on Dec 16th, 2011 in </w:t>
      </w:r>
      <w:hyperlink r:id="rId126" w:tooltip="View all posts in Public-private partnerships" w:history="1">
        <w:r w:rsidRPr="001D0C18">
          <w:rPr>
            <w:rStyle w:val="Hyperlink"/>
            <w:sz w:val="16"/>
            <w:szCs w:val="16"/>
          </w:rPr>
          <w:t>Public-private partnerships</w:t>
        </w:r>
      </w:hyperlink>
      <w:r w:rsidRPr="001D0C18">
        <w:rPr>
          <w:sz w:val="16"/>
          <w:szCs w:val="16"/>
        </w:rPr>
        <w:t xml:space="preserve"> </w:t>
      </w:r>
      <w:hyperlink r:id="rId127" w:history="1">
        <w:r w:rsidRPr="001D0C18">
          <w:rPr>
            <w:rStyle w:val="Hyperlink"/>
            <w:sz w:val="16"/>
            <w:szCs w:val="16"/>
          </w:rPr>
          <w:t>http://www.globalhealthcheck.org/?p=481</w:t>
        </w:r>
      </w:hyperlink>
      <w:r w:rsidRPr="001D0C18">
        <w:rPr>
          <w:sz w:val="16"/>
          <w:szCs w:val="16"/>
        </w:rPr>
        <w:t xml:space="preserve"> ;</w:t>
      </w:r>
      <w:r>
        <w:rPr>
          <w:sz w:val="16"/>
          <w:szCs w:val="16"/>
        </w:rPr>
        <w:t xml:space="preserve"> </w:t>
      </w:r>
    </w:p>
    <w:p w:rsidR="006660F8" w:rsidRPr="001D0C18" w:rsidRDefault="006660F8" w:rsidP="00042AEC">
      <w:pPr>
        <w:rPr>
          <w:sz w:val="16"/>
          <w:szCs w:val="16"/>
        </w:rPr>
      </w:pPr>
      <w:r w:rsidRPr="001D0C18">
        <w:rPr>
          <w:sz w:val="16"/>
          <w:szCs w:val="16"/>
        </w:rPr>
        <w:t xml:space="preserve"> </w:t>
      </w:r>
      <w:r w:rsidRPr="001D0C18">
        <w:rPr>
          <w:bCs/>
          <w:iCs/>
          <w:sz w:val="16"/>
          <w:szCs w:val="16"/>
        </w:rPr>
        <w:t>Health System Innovation in Lesotho</w:t>
      </w:r>
      <w:r>
        <w:rPr>
          <w:bCs/>
          <w:iCs/>
          <w:sz w:val="16"/>
          <w:szCs w:val="16"/>
        </w:rPr>
        <w:t xml:space="preserve"> </w:t>
      </w:r>
      <w:r w:rsidRPr="001D0C18">
        <w:rPr>
          <w:bCs/>
          <w:iCs/>
          <w:sz w:val="16"/>
          <w:szCs w:val="16"/>
        </w:rPr>
        <w:t xml:space="preserve">2013 </w:t>
      </w:r>
      <w:r w:rsidRPr="001D0C18">
        <w:rPr>
          <w:sz w:val="16"/>
          <w:szCs w:val="16"/>
        </w:rPr>
        <w:t xml:space="preserve">UCSF and PwC </w:t>
      </w:r>
      <w:hyperlink r:id="rId128" w:history="1">
        <w:r w:rsidRPr="001D0C18">
          <w:rPr>
            <w:rStyle w:val="Hyperlink"/>
            <w:sz w:val="16"/>
            <w:szCs w:val="16"/>
          </w:rPr>
          <w:t>http://globalhealthsciences.ucsf.edu/news-events/ucsf-and-pwc-publish-case-study-on-innovative-public-private-partnership-in-lesotho</w:t>
        </w:r>
      </w:hyperlink>
      <w:r w:rsidRPr="001D0C18">
        <w:rPr>
          <w:sz w:val="16"/>
          <w:szCs w:val="16"/>
        </w:rPr>
        <w:t xml:space="preserve"> ;</w:t>
      </w:r>
    </w:p>
  </w:endnote>
  <w:endnote w:id="90">
    <w:p w:rsidR="006660F8" w:rsidRPr="001D0C18" w:rsidRDefault="006660F8" w:rsidP="00F66291">
      <w:pPr>
        <w:pStyle w:val="EndnoteText"/>
        <w:rPr>
          <w:sz w:val="16"/>
          <w:szCs w:val="16"/>
        </w:rPr>
      </w:pPr>
      <w:r w:rsidRPr="001D0C18">
        <w:rPr>
          <w:rStyle w:val="EndnoteReference"/>
          <w:sz w:val="16"/>
          <w:szCs w:val="16"/>
        </w:rPr>
        <w:endnoteRef/>
      </w:r>
      <w:r w:rsidRPr="001D0C18">
        <w:rPr>
          <w:sz w:val="16"/>
          <w:szCs w:val="16"/>
        </w:rPr>
        <w:t xml:space="preserve"> PSIRU 2012 Corruption and Public Services </w:t>
      </w:r>
      <w:hyperlink r:id="rId129" w:history="1">
        <w:r w:rsidRPr="001D0C18">
          <w:rPr>
            <w:rStyle w:val="Hyperlink"/>
            <w:sz w:val="16"/>
            <w:szCs w:val="16"/>
          </w:rPr>
          <w:t>http://www.psiru.org/sites/default/files/2012-11-Corruption.docx</w:t>
        </w:r>
      </w:hyperlink>
      <w:r w:rsidRPr="001D0C18">
        <w:rPr>
          <w:sz w:val="16"/>
          <w:szCs w:val="16"/>
        </w:rPr>
        <w:t xml:space="preserve"> </w:t>
      </w:r>
    </w:p>
  </w:endnote>
  <w:endnote w:id="91">
    <w:p w:rsidR="006660F8" w:rsidRPr="001D0C18" w:rsidRDefault="006660F8" w:rsidP="00192C03">
      <w:pPr>
        <w:pStyle w:val="EndnoteText"/>
        <w:rPr>
          <w:sz w:val="16"/>
          <w:szCs w:val="16"/>
        </w:rPr>
      </w:pPr>
      <w:r w:rsidRPr="001D0C18">
        <w:rPr>
          <w:rStyle w:val="EndnoteReference"/>
          <w:sz w:val="16"/>
          <w:szCs w:val="16"/>
        </w:rPr>
        <w:endnoteRef/>
      </w:r>
      <w:r>
        <w:rPr>
          <w:sz w:val="16"/>
          <w:szCs w:val="16"/>
        </w:rPr>
        <w:t xml:space="preserve"> </w:t>
      </w:r>
      <w:hyperlink r:id="rId130" w:history="1">
        <w:r w:rsidRPr="001D0C18">
          <w:rPr>
            <w:rStyle w:val="Hyperlink"/>
            <w:sz w:val="16"/>
            <w:szCs w:val="16"/>
          </w:rPr>
          <w:t>http://www.imf.org/external/np/seminars/eng/2013/caribbean/pdf/ppps.pdf</w:t>
        </w:r>
      </w:hyperlink>
      <w:r w:rsidRPr="001D0C18">
        <w:rPr>
          <w:sz w:val="16"/>
          <w:szCs w:val="16"/>
        </w:rPr>
        <w:t xml:space="preserve"> SHAPING NEW PARTNERSHIPS FOR NATIONAL DEVELOPMENT October 2012 Development Bank of Jamaica Limited </w:t>
      </w:r>
      <w:hyperlink r:id="rId131" w:history="1">
        <w:r w:rsidRPr="001D0C18">
          <w:rPr>
            <w:rStyle w:val="Hyperlink"/>
            <w:sz w:val="16"/>
            <w:szCs w:val="16"/>
          </w:rPr>
          <w:t>http://dbankjm.com/files/tion_of_a_Public-Private_Partnership_Program.pdf</w:t>
        </w:r>
      </w:hyperlink>
      <w:r w:rsidRPr="001D0C18">
        <w:rPr>
          <w:sz w:val="16"/>
          <w:szCs w:val="16"/>
        </w:rPr>
        <w:t xml:space="preserve"> Jamaica Gleaner 12 May 2013 </w:t>
      </w:r>
      <w:hyperlink r:id="rId132" w:history="1">
        <w:r w:rsidRPr="001D0C18">
          <w:rPr>
            <w:rStyle w:val="Hyperlink"/>
            <w:sz w:val="16"/>
            <w:szCs w:val="16"/>
          </w:rPr>
          <w:t>http://jamaica-gleaner.com/gleaner/20130512/focus/focus5.html</w:t>
        </w:r>
      </w:hyperlink>
      <w:r w:rsidRPr="001D0C18">
        <w:rPr>
          <w:sz w:val="16"/>
          <w:szCs w:val="16"/>
        </w:rPr>
        <w:t>; IADB</w:t>
      </w:r>
      <w:r>
        <w:rPr>
          <w:sz w:val="16"/>
          <w:szCs w:val="16"/>
        </w:rPr>
        <w:t xml:space="preserve"> </w:t>
      </w:r>
      <w:r w:rsidRPr="001D0C18">
        <w:rPr>
          <w:sz w:val="16"/>
          <w:szCs w:val="16"/>
        </w:rPr>
        <w:t>13 June 2013 MIF, Development Bank of Jamaica and Jamaican Ministry of Finance promote public-private partnerships</w:t>
      </w:r>
      <w:hyperlink r:id="rId133" w:history="1">
        <w:r w:rsidRPr="001D0C18">
          <w:rPr>
            <w:rStyle w:val="Hyperlink"/>
            <w:sz w:val="16"/>
            <w:szCs w:val="16"/>
          </w:rPr>
          <w:t>http://www5.iadb.org/mif/home/news/pressreleases/tabid/467/artmid/3819/articleid/107/language/en-us/default.aspx</w:t>
        </w:r>
      </w:hyperlink>
      <w:r w:rsidRPr="001D0C18">
        <w:rPr>
          <w:sz w:val="16"/>
          <w:szCs w:val="16"/>
        </w:rPr>
        <w:t xml:space="preserve"> </w:t>
      </w:r>
    </w:p>
  </w:endnote>
  <w:endnote w:id="92">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Counter-balance 2012 The Great Middle East Beanfeast</w:t>
      </w:r>
      <w:r>
        <w:rPr>
          <w:sz w:val="16"/>
          <w:szCs w:val="16"/>
        </w:rPr>
        <w:t xml:space="preserve"> </w:t>
      </w:r>
      <w:hyperlink r:id="rId134" w:history="1">
        <w:r w:rsidRPr="001D0C18">
          <w:rPr>
            <w:rStyle w:val="Hyperlink"/>
            <w:sz w:val="16"/>
            <w:szCs w:val="16"/>
          </w:rPr>
          <w:t>http://www.counterbalance-eib.org/wp-content/uploads/2013/03/ME-beanFeastWeb.pdf</w:t>
        </w:r>
      </w:hyperlink>
      <w:r w:rsidRPr="001D0C18">
        <w:rPr>
          <w:sz w:val="16"/>
          <w:szCs w:val="16"/>
        </w:rPr>
        <w:t xml:space="preserve"> </w:t>
      </w:r>
    </w:p>
  </w:endnote>
  <w:endnote w:id="93">
    <w:p w:rsidR="006660F8" w:rsidRPr="001D0C18" w:rsidRDefault="006660F8" w:rsidP="00BB23B3">
      <w:pPr>
        <w:autoSpaceDE w:val="0"/>
        <w:autoSpaceDN w:val="0"/>
        <w:adjustRightInd w:val="0"/>
        <w:rPr>
          <w:sz w:val="16"/>
          <w:szCs w:val="16"/>
        </w:rPr>
      </w:pPr>
      <w:r w:rsidRPr="001D0C18">
        <w:rPr>
          <w:rStyle w:val="EndnoteReference"/>
          <w:sz w:val="16"/>
          <w:szCs w:val="16"/>
        </w:rPr>
        <w:endnoteRef/>
      </w:r>
      <w:r w:rsidRPr="001D0C18">
        <w:rPr>
          <w:sz w:val="16"/>
          <w:szCs w:val="16"/>
        </w:rPr>
        <w:t xml:space="preserve"> </w:t>
      </w:r>
      <w:r w:rsidRPr="001D0C18">
        <w:rPr>
          <w:bCs/>
          <w:sz w:val="16"/>
          <w:szCs w:val="16"/>
        </w:rPr>
        <w:t>The crisis and ways out of it in the FEMIP Mediterranean partner countries</w:t>
      </w:r>
      <w:r>
        <w:rPr>
          <w:bCs/>
          <w:sz w:val="16"/>
          <w:szCs w:val="16"/>
        </w:rPr>
        <w:t xml:space="preserve"> </w:t>
      </w:r>
      <w:hyperlink r:id="rId135" w:history="1">
        <w:r w:rsidRPr="001D0C18">
          <w:rPr>
            <w:rStyle w:val="Hyperlink"/>
            <w:sz w:val="16"/>
            <w:szCs w:val="16"/>
          </w:rPr>
          <w:t>http://www.eib.org/attachments/country/femip_study_femise_en.pdf</w:t>
        </w:r>
      </w:hyperlink>
      <w:r w:rsidRPr="001D0C18">
        <w:rPr>
          <w:sz w:val="16"/>
          <w:szCs w:val="16"/>
        </w:rPr>
        <w:t xml:space="preserve"> ; </w:t>
      </w:r>
      <w:r w:rsidRPr="001D0C18">
        <w:rPr>
          <w:iCs/>
          <w:sz w:val="16"/>
          <w:szCs w:val="16"/>
        </w:rPr>
        <w:t>PPP legal and financial readiness in the Mediterranean region: main findings of the EIB study</w:t>
      </w:r>
      <w:r>
        <w:rPr>
          <w:sz w:val="16"/>
          <w:szCs w:val="16"/>
        </w:rPr>
        <w:t xml:space="preserve"> </w:t>
      </w:r>
      <w:hyperlink r:id="rId136" w:history="1">
        <w:r w:rsidRPr="001D0C18">
          <w:rPr>
            <w:rStyle w:val="Hyperlink"/>
            <w:sz w:val="16"/>
            <w:szCs w:val="16"/>
          </w:rPr>
          <w:t>http://www.eib.org/attachments/general/events/d-donnell.pdf</w:t>
        </w:r>
      </w:hyperlink>
      <w:r w:rsidRPr="001D0C18">
        <w:rPr>
          <w:sz w:val="16"/>
          <w:szCs w:val="16"/>
        </w:rPr>
        <w:t xml:space="preserve"> </w:t>
      </w:r>
    </w:p>
  </w:endnote>
  <w:endnote w:id="94">
    <w:p w:rsidR="006660F8" w:rsidRPr="001D0C18" w:rsidRDefault="006660F8" w:rsidP="009537B9">
      <w:pPr>
        <w:pStyle w:val="EndnoteText"/>
        <w:rPr>
          <w:sz w:val="16"/>
          <w:szCs w:val="16"/>
        </w:rPr>
      </w:pPr>
      <w:r w:rsidRPr="001D0C18">
        <w:rPr>
          <w:rStyle w:val="EndnoteReference"/>
          <w:sz w:val="16"/>
          <w:szCs w:val="16"/>
        </w:rPr>
        <w:endnoteRef/>
      </w:r>
      <w:r w:rsidRPr="001D0C18">
        <w:rPr>
          <w:sz w:val="16"/>
          <w:szCs w:val="16"/>
        </w:rPr>
        <w:t>President Obama Announces $1billion in new OPIC support for Egypt</w:t>
      </w:r>
      <w:r>
        <w:rPr>
          <w:sz w:val="16"/>
          <w:szCs w:val="16"/>
        </w:rPr>
        <w:t xml:space="preserve"> </w:t>
      </w:r>
      <w:hyperlink r:id="rId137" w:history="1">
        <w:r w:rsidRPr="001D0C18">
          <w:rPr>
            <w:rStyle w:val="Hyperlink"/>
            <w:sz w:val="16"/>
            <w:szCs w:val="16"/>
          </w:rPr>
          <w:t>http://www.opic.gov/news/updates</w:t>
        </w:r>
      </w:hyperlink>
      <w:r>
        <w:rPr>
          <w:sz w:val="16"/>
          <w:szCs w:val="16"/>
        </w:rPr>
        <w:t xml:space="preserve"> </w:t>
      </w:r>
    </w:p>
  </w:endnote>
  <w:endnote w:id="95">
    <w:p w:rsidR="006660F8" w:rsidRPr="001D0C18" w:rsidRDefault="006660F8" w:rsidP="00BD45E4">
      <w:pPr>
        <w:pStyle w:val="EndnoteText"/>
        <w:rPr>
          <w:sz w:val="16"/>
          <w:szCs w:val="16"/>
        </w:rPr>
      </w:pPr>
      <w:r w:rsidRPr="001D0C18">
        <w:rPr>
          <w:rStyle w:val="EndnoteReference"/>
          <w:sz w:val="16"/>
          <w:szCs w:val="16"/>
        </w:rPr>
        <w:endnoteRef/>
      </w:r>
      <w:r>
        <w:rPr>
          <w:sz w:val="16"/>
          <w:szCs w:val="16"/>
        </w:rPr>
        <w:t xml:space="preserve"> </w:t>
      </w:r>
      <w:hyperlink r:id="rId138" w:history="1">
        <w:r w:rsidRPr="001D0C18">
          <w:rPr>
            <w:rStyle w:val="Hyperlink"/>
            <w:sz w:val="16"/>
            <w:szCs w:val="16"/>
          </w:rPr>
          <w:t>http://www.asktheeu.org/en/request/432/response/1478/attach/2/Final%20Report.pdf</w:t>
        </w:r>
      </w:hyperlink>
      <w:r>
        <w:rPr>
          <w:sz w:val="16"/>
          <w:szCs w:val="16"/>
        </w:rPr>
        <w:t xml:space="preserve"> </w:t>
      </w:r>
    </w:p>
  </w:endnote>
  <w:endnote w:id="96">
    <w:p w:rsidR="006660F8" w:rsidRPr="001D0C18" w:rsidRDefault="006660F8" w:rsidP="00326552">
      <w:pPr>
        <w:pStyle w:val="EndnoteText"/>
        <w:rPr>
          <w:sz w:val="16"/>
          <w:szCs w:val="16"/>
        </w:rPr>
      </w:pPr>
      <w:r w:rsidRPr="001D0C18">
        <w:rPr>
          <w:rStyle w:val="EndnoteReference"/>
          <w:sz w:val="16"/>
          <w:szCs w:val="16"/>
        </w:rPr>
        <w:endnoteRef/>
      </w:r>
      <w:r w:rsidRPr="001D0C18">
        <w:rPr>
          <w:sz w:val="16"/>
          <w:szCs w:val="16"/>
        </w:rPr>
        <w:t xml:space="preserve"> IMF: El Salvador Letter of Intent September 13 2011 </w:t>
      </w:r>
      <w:hyperlink r:id="rId139" w:history="1">
        <w:r w:rsidRPr="001D0C18">
          <w:rPr>
            <w:rStyle w:val="Hyperlink"/>
            <w:sz w:val="16"/>
            <w:szCs w:val="16"/>
          </w:rPr>
          <w:t>http://www.imf.org/external/np/loi/2011/slv/093011.pdf</w:t>
        </w:r>
      </w:hyperlink>
      <w:r>
        <w:rPr>
          <w:sz w:val="16"/>
          <w:szCs w:val="16"/>
        </w:rPr>
        <w:t xml:space="preserve"> </w:t>
      </w:r>
      <w:r w:rsidRPr="001D0C18">
        <w:rPr>
          <w:sz w:val="16"/>
          <w:szCs w:val="16"/>
        </w:rPr>
        <w:t>; Jubilee Debt October 2013 Life and Debt pp 15-18</w:t>
      </w:r>
      <w:r>
        <w:rPr>
          <w:sz w:val="16"/>
          <w:szCs w:val="16"/>
        </w:rPr>
        <w:t xml:space="preserve"> </w:t>
      </w:r>
      <w:hyperlink r:id="rId140" w:history="1">
        <w:r w:rsidRPr="001D0C18">
          <w:rPr>
            <w:rStyle w:val="Hyperlink"/>
            <w:sz w:val="16"/>
            <w:szCs w:val="16"/>
          </w:rPr>
          <w:t>http://jubileedebt.org.uk/wp-content/uploads/2013/10/Life-and-debt_Final-version_10.13.pdf</w:t>
        </w:r>
      </w:hyperlink>
      <w:r w:rsidRPr="001D0C18">
        <w:rPr>
          <w:sz w:val="16"/>
          <w:szCs w:val="16"/>
        </w:rPr>
        <w:t xml:space="preserve">; </w:t>
      </w:r>
      <w:hyperlink r:id="rId141" w:history="1">
        <w:r w:rsidRPr="001D0C18">
          <w:rPr>
            <w:rStyle w:val="Hyperlink"/>
            <w:sz w:val="16"/>
            <w:szCs w:val="16"/>
          </w:rPr>
          <w:t>http://www.cispes.org/blog/US-ambassador-ransoms-aid-for-passage-of-public-private-partnerships-law/</w:t>
        </w:r>
      </w:hyperlink>
      <w:r w:rsidRPr="001D0C18">
        <w:rPr>
          <w:sz w:val="16"/>
          <w:szCs w:val="16"/>
        </w:rPr>
        <w:t xml:space="preserve"> </w:t>
      </w:r>
    </w:p>
  </w:endnote>
  <w:endnote w:id="97">
    <w:p w:rsidR="006660F8" w:rsidRPr="001D0C18" w:rsidRDefault="006660F8" w:rsidP="00326552">
      <w:pPr>
        <w:pStyle w:val="EndnoteText"/>
        <w:rPr>
          <w:sz w:val="16"/>
          <w:szCs w:val="16"/>
        </w:rPr>
      </w:pPr>
      <w:r w:rsidRPr="001D0C18">
        <w:rPr>
          <w:rStyle w:val="EndnoteReference"/>
          <w:sz w:val="16"/>
          <w:szCs w:val="16"/>
        </w:rPr>
        <w:endnoteRef/>
      </w:r>
      <w:r>
        <w:rPr>
          <w:sz w:val="16"/>
          <w:szCs w:val="16"/>
        </w:rPr>
        <w:t xml:space="preserve"> </w:t>
      </w:r>
      <w:hyperlink r:id="rId142" w:history="1">
        <w:r w:rsidRPr="001D0C18">
          <w:rPr>
            <w:rStyle w:val="Hyperlink"/>
            <w:sz w:val="16"/>
            <w:szCs w:val="16"/>
          </w:rPr>
          <w:t>http://jubileedebt.org.uk/wp-content/uploads/2013/10/Life-and-debt_Final-version_10.13.pdf</w:t>
        </w:r>
      </w:hyperlink>
      <w:r w:rsidRPr="001D0C18">
        <w:rPr>
          <w:sz w:val="16"/>
          <w:szCs w:val="16"/>
        </w:rPr>
        <w:t xml:space="preserve"> </w:t>
      </w:r>
    </w:p>
  </w:endnote>
  <w:endnote w:id="98">
    <w:p w:rsidR="006660F8" w:rsidRPr="001D0C18" w:rsidRDefault="006660F8" w:rsidP="006C6874">
      <w:pPr>
        <w:rPr>
          <w:sz w:val="16"/>
          <w:szCs w:val="16"/>
        </w:rPr>
      </w:pPr>
      <w:r w:rsidRPr="001D0C18">
        <w:rPr>
          <w:rStyle w:val="EndnoteReference"/>
          <w:sz w:val="16"/>
          <w:szCs w:val="16"/>
        </w:rPr>
        <w:endnoteRef/>
      </w:r>
      <w:r w:rsidRPr="001D0C18">
        <w:rPr>
          <w:sz w:val="16"/>
          <w:szCs w:val="16"/>
        </w:rPr>
        <w:t xml:space="preserve"> Special Report: 21 charged in P3 case that lost El Salvador $1.8 million in state funds</w:t>
      </w:r>
    </w:p>
    <w:p w:rsidR="006660F8" w:rsidRPr="001D0C18" w:rsidRDefault="006660F8" w:rsidP="006C6874">
      <w:pPr>
        <w:rPr>
          <w:sz w:val="16"/>
          <w:szCs w:val="16"/>
        </w:rPr>
      </w:pPr>
      <w:r w:rsidRPr="001D0C18">
        <w:rPr>
          <w:sz w:val="16"/>
          <w:szCs w:val="16"/>
        </w:rPr>
        <w:t>November 22, 2013.</w:t>
      </w:r>
      <w:r>
        <w:rPr>
          <w:sz w:val="16"/>
          <w:szCs w:val="16"/>
        </w:rPr>
        <w:t xml:space="preserve"> </w:t>
      </w:r>
      <w:hyperlink r:id="rId143" w:history="1">
        <w:r w:rsidRPr="001D0C18">
          <w:rPr>
            <w:rStyle w:val="Hyperlink"/>
            <w:sz w:val="16"/>
            <w:szCs w:val="16"/>
          </w:rPr>
          <w:t>http://www.cispes.org/blog/special-report-21-charged-p3-case-lost-el-salvador-1-8-million-state-funds/</w:t>
        </w:r>
      </w:hyperlink>
      <w:r w:rsidRPr="001D0C18">
        <w:rPr>
          <w:sz w:val="16"/>
          <w:szCs w:val="16"/>
        </w:rPr>
        <w:t xml:space="preserve"> </w:t>
      </w:r>
    </w:p>
  </w:endnote>
  <w:endnote w:id="99">
    <w:p w:rsidR="006660F8" w:rsidRPr="001D0C18" w:rsidRDefault="006660F8" w:rsidP="004663AF">
      <w:pPr>
        <w:pStyle w:val="EndnoteText"/>
        <w:rPr>
          <w:sz w:val="16"/>
          <w:szCs w:val="16"/>
        </w:rPr>
      </w:pPr>
      <w:r w:rsidRPr="001D0C18">
        <w:rPr>
          <w:rStyle w:val="EndnoteReference"/>
          <w:sz w:val="16"/>
          <w:szCs w:val="16"/>
        </w:rPr>
        <w:endnoteRef/>
      </w:r>
      <w:r>
        <w:rPr>
          <w:sz w:val="16"/>
          <w:szCs w:val="16"/>
        </w:rPr>
        <w:t xml:space="preserve"> </w:t>
      </w:r>
      <w:r w:rsidRPr="001D0C18">
        <w:rPr>
          <w:sz w:val="16"/>
          <w:szCs w:val="16"/>
        </w:rPr>
        <w:t xml:space="preserve">Indonesia Government News October 8, 2013 Adaro, J-Power and Itochu postpone construction of $4 bln coal power plant in Indonesia ; Business Monitor Online November 21, 2013 PPP Book Highlights Potential And Lacklustre Progress; </w:t>
      </w:r>
      <w:hyperlink r:id="rId144" w:history="1">
        <w:r w:rsidRPr="001D0C18">
          <w:rPr>
            <w:rStyle w:val="Hyperlink"/>
            <w:sz w:val="16"/>
            <w:szCs w:val="16"/>
          </w:rPr>
          <w:t>http://pkps.bappenas.go.id/index.php/id-ID/berita/143-berita-internal/1151-the-national-development-planning-agency-bappenas-launch-the-public-private-partnership-ppp-book-2013</w:t>
        </w:r>
      </w:hyperlink>
      <w:r w:rsidRPr="001D0C18">
        <w:rPr>
          <w:sz w:val="16"/>
          <w:szCs w:val="16"/>
        </w:rPr>
        <w:t xml:space="preserve">; IFC Success Stories; Indonesia: Central Java IPP </w:t>
      </w:r>
      <w:hyperlink r:id="rId145" w:history="1">
        <w:r w:rsidRPr="001D0C18">
          <w:rPr>
            <w:rStyle w:val="Hyperlink"/>
            <w:sz w:val="16"/>
            <w:szCs w:val="16"/>
          </w:rPr>
          <w:t>http://www.ifc.org/wps/wcm/connect/aaf1fb804a1b07068e30ffdd29332b51/SuccessStories_CentralJava.pdf?MOD=AJPERES</w:t>
        </w:r>
      </w:hyperlink>
      <w:r>
        <w:rPr>
          <w:sz w:val="16"/>
          <w:szCs w:val="16"/>
        </w:rPr>
        <w:t xml:space="preserve"> </w:t>
      </w:r>
    </w:p>
  </w:endnote>
  <w:endnote w:id="100">
    <w:p w:rsidR="006660F8" w:rsidRPr="001D0C18" w:rsidRDefault="006660F8" w:rsidP="00781C4E">
      <w:pPr>
        <w:pStyle w:val="EndnoteText"/>
        <w:rPr>
          <w:sz w:val="16"/>
          <w:szCs w:val="16"/>
        </w:rPr>
      </w:pPr>
      <w:r w:rsidRPr="001D0C18">
        <w:rPr>
          <w:rStyle w:val="EndnoteReference"/>
          <w:sz w:val="16"/>
          <w:szCs w:val="16"/>
        </w:rPr>
        <w:endnoteRef/>
      </w:r>
      <w:r w:rsidRPr="001D0C18">
        <w:rPr>
          <w:sz w:val="16"/>
          <w:szCs w:val="16"/>
        </w:rPr>
        <w:t xml:space="preserve"> Business Monitor Online November 21, 2013 Thursday PPP Book Highlights Potential And Lacklustre Progress</w:t>
      </w:r>
    </w:p>
  </w:endnote>
  <w:endnote w:id="101">
    <w:p w:rsidR="006660F8" w:rsidRPr="001D0C18" w:rsidRDefault="006660F8" w:rsidP="00134E25">
      <w:pPr>
        <w:pStyle w:val="EndnoteText"/>
        <w:rPr>
          <w:sz w:val="16"/>
          <w:szCs w:val="16"/>
        </w:rPr>
      </w:pPr>
      <w:r w:rsidRPr="001D0C18">
        <w:rPr>
          <w:rStyle w:val="EndnoteReference"/>
          <w:sz w:val="16"/>
          <w:szCs w:val="16"/>
        </w:rPr>
        <w:endnoteRef/>
      </w:r>
      <w:r w:rsidRPr="001D0C18">
        <w:rPr>
          <w:sz w:val="16"/>
          <w:szCs w:val="16"/>
        </w:rPr>
        <w:t xml:space="preserve"> ESHIEN CHONG, FREDDY HUET, STEPHANE SAUSSIER,</w:t>
      </w:r>
      <w:r>
        <w:rPr>
          <w:sz w:val="16"/>
          <w:szCs w:val="16"/>
        </w:rPr>
        <w:t xml:space="preserve"> </w:t>
      </w:r>
      <w:r w:rsidRPr="001D0C18">
        <w:rPr>
          <w:sz w:val="16"/>
          <w:szCs w:val="16"/>
        </w:rPr>
        <w:t>FAYE STEINER</w:t>
      </w:r>
      <w:r>
        <w:rPr>
          <w:sz w:val="16"/>
          <w:szCs w:val="16"/>
        </w:rPr>
        <w:t xml:space="preserve"> </w:t>
      </w:r>
      <w:r w:rsidRPr="001D0C18">
        <w:rPr>
          <w:sz w:val="16"/>
          <w:szCs w:val="16"/>
        </w:rPr>
        <w:t xml:space="preserve">Review of Industrial Organization (2006) 29:149–169 Public-Private Partnerships and Prices: Evidence from Water Distribution in France </w:t>
      </w:r>
      <w:hyperlink r:id="rId146" w:history="1">
        <w:r w:rsidRPr="001D0C18">
          <w:rPr>
            <w:rStyle w:val="Hyperlink"/>
            <w:sz w:val="16"/>
            <w:szCs w:val="16"/>
          </w:rPr>
          <w:t>http://www.webssa.net/files/chongetal2006_s9.pdf</w:t>
        </w:r>
      </w:hyperlink>
      <w:r w:rsidRPr="001D0C18">
        <w:rPr>
          <w:sz w:val="16"/>
          <w:szCs w:val="16"/>
        </w:rPr>
        <w:t xml:space="preserve"> </w:t>
      </w:r>
    </w:p>
  </w:endnote>
  <w:endnote w:id="102">
    <w:p w:rsidR="006660F8" w:rsidRPr="001D0C18" w:rsidRDefault="006660F8" w:rsidP="00134E25">
      <w:pPr>
        <w:rPr>
          <w:sz w:val="16"/>
          <w:szCs w:val="16"/>
        </w:rPr>
      </w:pPr>
      <w:r w:rsidRPr="001D0C18">
        <w:rPr>
          <w:rStyle w:val="EndnoteReference"/>
          <w:sz w:val="16"/>
          <w:szCs w:val="16"/>
        </w:rPr>
        <w:endnoteRef/>
      </w:r>
      <w:r w:rsidRPr="001D0C18">
        <w:rPr>
          <w:sz w:val="16"/>
          <w:szCs w:val="16"/>
        </w:rPr>
        <w:t xml:space="preserve"> Eduardo Engel, Ronald Fischer and Alexander Galetovic 2007 The Basic Public Finance Of Public-Private Partnerships July 2007 Revised February 2008 Cowles Foundation Discussion Paper No. 1618 </w:t>
      </w:r>
      <w:hyperlink r:id="rId147" w:history="1">
        <w:r w:rsidRPr="001D0C18">
          <w:rPr>
            <w:rStyle w:val="Hyperlink"/>
            <w:sz w:val="16"/>
            <w:szCs w:val="16"/>
          </w:rPr>
          <w:t>http://cowles.econ.yale.edu/</w:t>
        </w:r>
      </w:hyperlink>
      <w:r w:rsidRPr="001D0C18">
        <w:rPr>
          <w:sz w:val="16"/>
          <w:szCs w:val="16"/>
        </w:rPr>
        <w:t xml:space="preserve"> </w:t>
      </w:r>
    </w:p>
  </w:endnote>
  <w:endnote w:id="103">
    <w:p w:rsidR="006660F8" w:rsidRPr="001D0C18" w:rsidRDefault="006660F8" w:rsidP="00134E25">
      <w:pPr>
        <w:pStyle w:val="EndnoteText"/>
        <w:rPr>
          <w:sz w:val="16"/>
          <w:szCs w:val="16"/>
        </w:rPr>
      </w:pPr>
      <w:r w:rsidRPr="001D0C18">
        <w:rPr>
          <w:rStyle w:val="EndnoteReference"/>
          <w:sz w:val="16"/>
          <w:szCs w:val="16"/>
        </w:rPr>
        <w:endnoteRef/>
      </w:r>
      <w:r w:rsidRPr="001D0C18">
        <w:rPr>
          <w:sz w:val="16"/>
          <w:szCs w:val="16"/>
        </w:rPr>
        <w:t xml:space="preserve"> </w:t>
      </w:r>
      <w:r w:rsidRPr="001D0C18">
        <w:rPr>
          <w:rFonts w:eastAsia="SimSun"/>
          <w:sz w:val="16"/>
          <w:szCs w:val="16"/>
        </w:rPr>
        <w:t xml:space="preserve">International Monetary Fund Public-Private Partnerships March 12, 2004 p.14 </w:t>
      </w:r>
      <w:hyperlink r:id="rId148" w:history="1">
        <w:r w:rsidRPr="001D0C18">
          <w:rPr>
            <w:rStyle w:val="Hyperlink"/>
            <w:rFonts w:eastAsia="SimSun"/>
            <w:sz w:val="16"/>
            <w:szCs w:val="16"/>
          </w:rPr>
          <w:t>http://www.imf.org/external/np/fad/2004/pifp/eng/031204.htm</w:t>
        </w:r>
      </w:hyperlink>
    </w:p>
  </w:endnote>
  <w:endnote w:id="104">
    <w:p w:rsidR="006660F8" w:rsidRPr="001D0C18" w:rsidRDefault="006660F8" w:rsidP="00134E25">
      <w:pPr>
        <w:rPr>
          <w:sz w:val="16"/>
          <w:szCs w:val="16"/>
        </w:rPr>
      </w:pPr>
      <w:r w:rsidRPr="001D0C18">
        <w:rPr>
          <w:rStyle w:val="EndnoteReference"/>
          <w:sz w:val="16"/>
          <w:szCs w:val="16"/>
        </w:rPr>
        <w:endnoteRef/>
      </w:r>
      <w:r w:rsidRPr="001D0C18">
        <w:rPr>
          <w:sz w:val="16"/>
          <w:szCs w:val="16"/>
        </w:rPr>
        <w:t xml:space="preserve"> Allyson M. Pollock and David Price, “Has the NAO Audited Risk Tran</w:t>
      </w:r>
      <w:r>
        <w:rPr>
          <w:sz w:val="16"/>
          <w:szCs w:val="16"/>
        </w:rPr>
        <w:t>s</w:t>
      </w:r>
      <w:r w:rsidRPr="001D0C18">
        <w:rPr>
          <w:sz w:val="16"/>
          <w:szCs w:val="16"/>
        </w:rPr>
        <w:t>fer in Operational Private Finance Initiative Schemes?”, Public Money and Management, June 2008, pp 173-178</w:t>
      </w:r>
    </w:p>
  </w:endnote>
  <w:endnote w:id="105">
    <w:p w:rsidR="006660F8" w:rsidRPr="001D0C18" w:rsidRDefault="006660F8" w:rsidP="00134E25">
      <w:pPr>
        <w:autoSpaceDE w:val="0"/>
        <w:autoSpaceDN w:val="0"/>
        <w:adjustRightInd w:val="0"/>
        <w:rPr>
          <w:sz w:val="16"/>
          <w:szCs w:val="16"/>
        </w:rPr>
      </w:pPr>
      <w:r w:rsidRPr="001D0C18">
        <w:rPr>
          <w:rStyle w:val="EndnoteReference"/>
          <w:sz w:val="16"/>
          <w:szCs w:val="16"/>
        </w:rPr>
        <w:endnoteRef/>
      </w:r>
      <w:r w:rsidRPr="001D0C18">
        <w:rPr>
          <w:sz w:val="16"/>
          <w:szCs w:val="16"/>
        </w:rPr>
        <w:t xml:space="preserve"> Julie Froud 2003 The Private Finance Initiative: risk, uncertainty and the state. Accounting, Organizations and Society 28 (2003) 567–589 </w:t>
      </w:r>
    </w:p>
  </w:endnote>
  <w:endnote w:id="106">
    <w:p w:rsidR="006660F8" w:rsidRPr="001D0C18" w:rsidRDefault="006660F8" w:rsidP="00FA542C">
      <w:pPr>
        <w:rPr>
          <w:b/>
          <w:sz w:val="16"/>
          <w:szCs w:val="16"/>
        </w:rPr>
      </w:pPr>
      <w:r w:rsidRPr="001D0C18">
        <w:rPr>
          <w:b/>
          <w:sz w:val="16"/>
          <w:szCs w:val="16"/>
          <w:vertAlign w:val="superscript"/>
        </w:rPr>
        <w:endnoteRef/>
      </w:r>
      <w:r>
        <w:rPr>
          <w:b/>
          <w:sz w:val="16"/>
          <w:szCs w:val="16"/>
        </w:rPr>
        <w:t xml:space="preserve"> </w:t>
      </w:r>
      <w:r w:rsidRPr="001D0C18">
        <w:rPr>
          <w:sz w:val="16"/>
          <w:szCs w:val="16"/>
        </w:rPr>
        <w:t>Paul Krugman: Privatization can lead to patronage and corruption Sacramento Bee 23 June 2012</w:t>
      </w:r>
    </w:p>
  </w:endnote>
  <w:endnote w:id="107">
    <w:p w:rsidR="006660F8" w:rsidRPr="001D0C18" w:rsidRDefault="006660F8" w:rsidP="009B23FE">
      <w:pPr>
        <w:pStyle w:val="EndnoteText"/>
        <w:rPr>
          <w:sz w:val="16"/>
          <w:szCs w:val="16"/>
        </w:rPr>
      </w:pPr>
      <w:r w:rsidRPr="001D0C18">
        <w:rPr>
          <w:rStyle w:val="EndnoteReference"/>
          <w:sz w:val="16"/>
          <w:szCs w:val="16"/>
        </w:rPr>
        <w:endnoteRef/>
      </w:r>
      <w:r w:rsidRPr="001D0C18">
        <w:rPr>
          <w:sz w:val="16"/>
          <w:szCs w:val="16"/>
        </w:rPr>
        <w:t xml:space="preserve"> See Overview of Energy in Africa 2013, and Global Experience with Electric</w:t>
      </w:r>
      <w:r>
        <w:rPr>
          <w:sz w:val="16"/>
          <w:szCs w:val="16"/>
        </w:rPr>
        <w:t>i</w:t>
      </w:r>
      <w:r w:rsidRPr="001D0C18">
        <w:rPr>
          <w:sz w:val="16"/>
          <w:szCs w:val="16"/>
        </w:rPr>
        <w:t xml:space="preserve">ty Liberalisation 2009: </w:t>
      </w:r>
      <w:hyperlink r:id="rId149" w:history="1">
        <w:r w:rsidRPr="001D0C18">
          <w:rPr>
            <w:rStyle w:val="Hyperlink"/>
            <w:sz w:val="16"/>
            <w:szCs w:val="16"/>
          </w:rPr>
          <w:t>www.psiru.org</w:t>
        </w:r>
      </w:hyperlink>
      <w:r w:rsidRPr="001D0C18">
        <w:rPr>
          <w:sz w:val="16"/>
          <w:szCs w:val="16"/>
        </w:rPr>
        <w:t xml:space="preserve"> </w:t>
      </w:r>
    </w:p>
  </w:endnote>
  <w:endnote w:id="108">
    <w:p w:rsidR="006660F8" w:rsidRPr="001D0C18" w:rsidRDefault="006660F8" w:rsidP="008374DA">
      <w:pPr>
        <w:pStyle w:val="EndnoteText"/>
        <w:rPr>
          <w:sz w:val="16"/>
          <w:szCs w:val="16"/>
          <w:lang w:val="fr-FR"/>
        </w:rPr>
      </w:pPr>
      <w:r w:rsidRPr="001D0C18">
        <w:rPr>
          <w:rStyle w:val="EndnoteReference"/>
          <w:sz w:val="16"/>
          <w:szCs w:val="16"/>
        </w:rPr>
        <w:endnoteRef/>
      </w:r>
      <w:r w:rsidRPr="001D0C18">
        <w:rPr>
          <w:sz w:val="16"/>
          <w:szCs w:val="16"/>
          <w:lang w:val="fr-FR"/>
        </w:rPr>
        <w:t xml:space="preserve"> Hall D.</w:t>
      </w:r>
      <w:r>
        <w:rPr>
          <w:sz w:val="16"/>
          <w:szCs w:val="16"/>
          <w:lang w:val="fr-FR"/>
        </w:rPr>
        <w:t xml:space="preserve"> </w:t>
      </w:r>
      <w:r w:rsidRPr="001D0C18">
        <w:rPr>
          <w:sz w:val="16"/>
          <w:szCs w:val="16"/>
          <w:lang w:val="fr-FR"/>
        </w:rPr>
        <w:t>Privatisation, multinationals and corruption</w:t>
      </w:r>
      <w:r>
        <w:rPr>
          <w:sz w:val="16"/>
          <w:szCs w:val="16"/>
          <w:lang w:val="fr-FR"/>
        </w:rPr>
        <w:t>,</w:t>
      </w:r>
      <w:r w:rsidRPr="001D0C18">
        <w:rPr>
          <w:sz w:val="16"/>
          <w:szCs w:val="16"/>
          <w:lang w:val="fr-FR"/>
        </w:rPr>
        <w:t> Development in Practice Volume 9, Number 5</w:t>
      </w:r>
      <w:r>
        <w:rPr>
          <w:sz w:val="16"/>
          <w:szCs w:val="16"/>
          <w:lang w:val="fr-FR"/>
        </w:rPr>
        <w:t>,</w:t>
      </w:r>
      <w:r w:rsidRPr="001D0C18">
        <w:rPr>
          <w:sz w:val="16"/>
          <w:szCs w:val="16"/>
          <w:lang w:val="fr-FR"/>
        </w:rPr>
        <w:t xml:space="preserve"> November 1999 </w:t>
      </w:r>
      <w:hyperlink r:id="rId150" w:history="1">
        <w:r w:rsidRPr="001D0C18">
          <w:rPr>
            <w:rStyle w:val="Hyperlink"/>
            <w:sz w:val="16"/>
            <w:szCs w:val="16"/>
            <w:lang w:val="fr-FR"/>
          </w:rPr>
          <w:t>http://www.psiru.org/reports/9909-U-U-Corrup.doc</w:t>
        </w:r>
      </w:hyperlink>
      <w:r w:rsidRPr="001D0C18">
        <w:rPr>
          <w:sz w:val="16"/>
          <w:szCs w:val="16"/>
          <w:lang w:val="fr-FR"/>
        </w:rPr>
        <w:t xml:space="preserve"> ; Cour des Comptes (1997) La gestion des services publics locaux d’eau et d’assainissement. ; </w:t>
      </w:r>
      <w:hyperlink r:id="rId151" w:history="1">
        <w:r w:rsidRPr="001D0C18">
          <w:rPr>
            <w:rStyle w:val="Hyperlink"/>
            <w:sz w:val="16"/>
            <w:szCs w:val="16"/>
            <w:lang w:val="fr-FR"/>
          </w:rPr>
          <w:t>http://www.againstcorruption.org/briberycase.asp?id=721</w:t>
        </w:r>
      </w:hyperlink>
      <w:r w:rsidRPr="001D0C18">
        <w:rPr>
          <w:sz w:val="16"/>
          <w:szCs w:val="16"/>
          <w:lang w:val="fr-FR"/>
        </w:rPr>
        <w:t xml:space="preserve"> </w:t>
      </w:r>
    </w:p>
  </w:endnote>
  <w:endnote w:id="109">
    <w:p w:rsidR="006660F8" w:rsidRPr="001D0C18" w:rsidRDefault="006660F8" w:rsidP="008374DA">
      <w:pPr>
        <w:pStyle w:val="EndnoteText"/>
        <w:rPr>
          <w:sz w:val="16"/>
          <w:szCs w:val="16"/>
        </w:rPr>
      </w:pPr>
      <w:r w:rsidRPr="001D0C18">
        <w:rPr>
          <w:rStyle w:val="EndnoteReference"/>
          <w:sz w:val="16"/>
          <w:szCs w:val="16"/>
        </w:rPr>
        <w:endnoteRef/>
      </w:r>
      <w:r w:rsidRPr="001D0C18">
        <w:rPr>
          <w:sz w:val="16"/>
          <w:szCs w:val="16"/>
        </w:rPr>
        <w:t xml:space="preserve"> “Water and Power: The French Connection“, http://www.publicintegrity.org/water/report.aspx?aid=47</w:t>
      </w:r>
    </w:p>
  </w:endnote>
  <w:endnote w:id="110">
    <w:p w:rsidR="006660F8" w:rsidRPr="001D0C18" w:rsidRDefault="006660F8" w:rsidP="009B23FE">
      <w:pPr>
        <w:rPr>
          <w:sz w:val="16"/>
          <w:szCs w:val="16"/>
        </w:rPr>
      </w:pPr>
      <w:r w:rsidRPr="001D0C18">
        <w:rPr>
          <w:rStyle w:val="EndnoteReference"/>
          <w:sz w:val="16"/>
          <w:szCs w:val="16"/>
        </w:rPr>
        <w:endnoteRef/>
      </w:r>
      <w:r w:rsidRPr="001D0C18">
        <w:rPr>
          <w:sz w:val="16"/>
          <w:szCs w:val="16"/>
        </w:rPr>
        <w:t xml:space="preserve"> Carsten Greve and Niels Ejersbo 2002: </w:t>
      </w:r>
      <w:r w:rsidRPr="001D0C18">
        <w:rPr>
          <w:bCs/>
          <w:sz w:val="16"/>
          <w:szCs w:val="16"/>
        </w:rPr>
        <w:t>When Public-Private Partnerships Fail - The extreme case of the NPM-Inspired Local Government of Farum in Denmark</w:t>
      </w:r>
      <w:r w:rsidRPr="001D0C18">
        <w:rPr>
          <w:b/>
          <w:bCs/>
          <w:sz w:val="16"/>
          <w:szCs w:val="16"/>
        </w:rPr>
        <w:t xml:space="preserve">. </w:t>
      </w:r>
      <w:r w:rsidRPr="001D0C18">
        <w:rPr>
          <w:sz w:val="16"/>
          <w:szCs w:val="16"/>
        </w:rPr>
        <w:t>Paper for Nordisk Kommunalforskningskonference 29 November - 1 December 2002 Odense, Denmark; Borsen October 31, 2001 Outsourcing Strategy Unsuccessful At ISS</w:t>
      </w:r>
    </w:p>
  </w:endnote>
  <w:endnote w:id="111">
    <w:p w:rsidR="006660F8" w:rsidRPr="00B94CE0" w:rsidRDefault="006660F8">
      <w:pPr>
        <w:pStyle w:val="EndnoteText"/>
        <w:rPr>
          <w:sz w:val="16"/>
          <w:szCs w:val="16"/>
        </w:rPr>
      </w:pPr>
      <w:r w:rsidRPr="00B94CE0">
        <w:rPr>
          <w:rStyle w:val="EndnoteReference"/>
          <w:sz w:val="16"/>
          <w:szCs w:val="16"/>
        </w:rPr>
        <w:endnoteRef/>
      </w:r>
      <w:r w:rsidRPr="00B94CE0">
        <w:rPr>
          <w:sz w:val="16"/>
          <w:szCs w:val="16"/>
        </w:rPr>
        <w:t xml:space="preserve"> Economic Times Jun 3, 2013 PPP Infrastructure and power projects most prone to corruption: UN Body </w:t>
      </w:r>
      <w:hyperlink r:id="rId152" w:history="1">
        <w:r w:rsidRPr="00B94CE0">
          <w:rPr>
            <w:rStyle w:val="Hyperlink"/>
            <w:sz w:val="16"/>
            <w:szCs w:val="16"/>
          </w:rPr>
          <w:t>http://articles.economictimes.indiatimes.com/2013-06-03/news/39714786_1_public-procurement-bill-corruption-private-partners</w:t>
        </w:r>
      </w:hyperlink>
    </w:p>
  </w:endnote>
  <w:endnote w:id="112">
    <w:p w:rsidR="006660F8" w:rsidRPr="001D0C18" w:rsidRDefault="006660F8" w:rsidP="009B23FE">
      <w:pPr>
        <w:pStyle w:val="EndnoteText"/>
        <w:rPr>
          <w:sz w:val="16"/>
          <w:szCs w:val="16"/>
        </w:rPr>
      </w:pPr>
      <w:r w:rsidRPr="001D0C18">
        <w:rPr>
          <w:rStyle w:val="EndnoteReference"/>
          <w:sz w:val="16"/>
          <w:szCs w:val="16"/>
        </w:rPr>
        <w:endnoteRef/>
      </w:r>
      <w:r>
        <w:rPr>
          <w:sz w:val="16"/>
          <w:szCs w:val="16"/>
        </w:rPr>
        <w:t xml:space="preserve"> </w:t>
      </w:r>
      <w:r w:rsidRPr="001D0C18">
        <w:rPr>
          <w:sz w:val="16"/>
          <w:szCs w:val="16"/>
        </w:rPr>
        <w:t xml:space="preserve">Flyvbjerg, B., Holm, M. K. S., &amp; Buhl, S. L. (2002). Cost underestimation in public works projects: Error or lie? </w:t>
      </w:r>
      <w:r w:rsidRPr="001D0C18">
        <w:rPr>
          <w:iCs/>
          <w:sz w:val="16"/>
          <w:szCs w:val="16"/>
        </w:rPr>
        <w:t>Journal of the American Planning Association</w:t>
      </w:r>
      <w:r w:rsidRPr="001D0C18">
        <w:rPr>
          <w:sz w:val="16"/>
          <w:szCs w:val="16"/>
        </w:rPr>
        <w:t xml:space="preserve">, </w:t>
      </w:r>
      <w:r w:rsidRPr="001D0C18">
        <w:rPr>
          <w:iCs/>
          <w:sz w:val="16"/>
          <w:szCs w:val="16"/>
        </w:rPr>
        <w:t>68</w:t>
      </w:r>
      <w:r w:rsidRPr="001D0C18">
        <w:rPr>
          <w:sz w:val="16"/>
          <w:szCs w:val="16"/>
        </w:rPr>
        <w:t>(3), 279–295. ;</w:t>
      </w:r>
      <w:r>
        <w:rPr>
          <w:sz w:val="16"/>
          <w:szCs w:val="16"/>
        </w:rPr>
        <w:t xml:space="preserve"> </w:t>
      </w:r>
      <w:r w:rsidRPr="001D0C18">
        <w:rPr>
          <w:sz w:val="16"/>
          <w:szCs w:val="16"/>
        </w:rPr>
        <w:t>Bent Flyvbjerg, Mette K. Skamris Holm, and Søren L. Buhl</w:t>
      </w:r>
      <w:r w:rsidRPr="001D0C18">
        <w:rPr>
          <w:bCs/>
          <w:sz w:val="16"/>
          <w:szCs w:val="16"/>
        </w:rPr>
        <w:t xml:space="preserve"> 2005. The Case of Transportation</w:t>
      </w:r>
      <w:r>
        <w:rPr>
          <w:bCs/>
          <w:sz w:val="16"/>
          <w:szCs w:val="16"/>
        </w:rPr>
        <w:t xml:space="preserve"> </w:t>
      </w:r>
      <w:r w:rsidRPr="001D0C18">
        <w:rPr>
          <w:sz w:val="16"/>
          <w:szCs w:val="16"/>
        </w:rPr>
        <w:t>Journal of the American Planning Association, Spring 2005, Vol. 71 No.2</w:t>
      </w:r>
    </w:p>
  </w:endnote>
  <w:endnote w:id="113">
    <w:p w:rsidR="006660F8" w:rsidRPr="001D0C18" w:rsidRDefault="006660F8" w:rsidP="009B23FE">
      <w:pPr>
        <w:rPr>
          <w:sz w:val="16"/>
          <w:szCs w:val="16"/>
        </w:rPr>
      </w:pPr>
      <w:r w:rsidRPr="001D0C18">
        <w:rPr>
          <w:rStyle w:val="EndnoteReference"/>
          <w:sz w:val="16"/>
          <w:szCs w:val="16"/>
        </w:rPr>
        <w:endnoteRef/>
      </w:r>
      <w:r w:rsidRPr="001D0C18">
        <w:rPr>
          <w:sz w:val="16"/>
          <w:szCs w:val="16"/>
        </w:rPr>
        <w:t xml:space="preserve"> </w:t>
      </w:r>
      <w:r w:rsidRPr="001D0C18">
        <w:rPr>
          <w:bCs/>
          <w:sz w:val="16"/>
          <w:szCs w:val="16"/>
        </w:rPr>
        <w:t xml:space="preserve">Never mind the balance sheet - the dangers posed by public-private partnerships in central and eastern Europe. </w:t>
      </w:r>
      <w:r w:rsidRPr="001D0C18">
        <w:rPr>
          <w:iCs/>
          <w:sz w:val="16"/>
          <w:szCs w:val="16"/>
        </w:rPr>
        <w:t>CEE Bankwatch Network</w:t>
      </w:r>
      <w:r w:rsidRPr="001D0C18">
        <w:rPr>
          <w:sz w:val="16"/>
          <w:szCs w:val="16"/>
        </w:rPr>
        <w:t xml:space="preserve">. November 2008 </w:t>
      </w:r>
      <w:hyperlink r:id="rId153" w:history="1">
        <w:r w:rsidRPr="001D0C18">
          <w:rPr>
            <w:rStyle w:val="Hyperlink"/>
            <w:sz w:val="16"/>
            <w:szCs w:val="16"/>
          </w:rPr>
          <w:t>http://bankwatch.org/publications/document.shtml?x=2132584</w:t>
        </w:r>
      </w:hyperlink>
      <w:r w:rsidRPr="001D0C18">
        <w:rPr>
          <w:sz w:val="16"/>
          <w:szCs w:val="16"/>
        </w:rPr>
        <w:t xml:space="preserve"> </w:t>
      </w:r>
    </w:p>
  </w:endnote>
  <w:endnote w:id="114">
    <w:p w:rsidR="006660F8" w:rsidRPr="001D0C18" w:rsidRDefault="006660F8" w:rsidP="009B23FE">
      <w:pPr>
        <w:pStyle w:val="EndnoteText"/>
        <w:rPr>
          <w:sz w:val="16"/>
          <w:szCs w:val="16"/>
        </w:rPr>
      </w:pPr>
      <w:r w:rsidRPr="001D0C18">
        <w:rPr>
          <w:rStyle w:val="EndnoteReference"/>
          <w:sz w:val="16"/>
          <w:szCs w:val="16"/>
        </w:rPr>
        <w:endnoteRef/>
      </w:r>
      <w:r w:rsidRPr="001D0C18">
        <w:rPr>
          <w:sz w:val="16"/>
          <w:szCs w:val="16"/>
        </w:rPr>
        <w:t xml:space="preserve"> Bloomberg Nov 27, 2013Private Toll Road Investors Shift Revenue Risk to States By David Mildenberg </w:t>
      </w:r>
    </w:p>
    <w:p w:rsidR="006660F8" w:rsidRPr="001D0C18" w:rsidRDefault="00A723E5" w:rsidP="009B23FE">
      <w:pPr>
        <w:pStyle w:val="EndnoteText"/>
        <w:rPr>
          <w:sz w:val="16"/>
          <w:szCs w:val="16"/>
        </w:rPr>
      </w:pPr>
      <w:hyperlink r:id="rId154" w:history="1">
        <w:r w:rsidR="006660F8" w:rsidRPr="001D0C18">
          <w:rPr>
            <w:rStyle w:val="Hyperlink"/>
            <w:sz w:val="16"/>
            <w:szCs w:val="16"/>
          </w:rPr>
          <w:t>http://www.bloomberg.com/news/2013-11-27/private-toll-road-investors-shift-revenue-risk-to-states.html</w:t>
        </w:r>
      </w:hyperlink>
      <w:r w:rsidR="006660F8" w:rsidRPr="001D0C18">
        <w:rPr>
          <w:sz w:val="16"/>
          <w:szCs w:val="16"/>
        </w:rPr>
        <w:t xml:space="preserve"> ; Infrastructure Journal 17 Jan 2013 Toll Roads: Big Trouble Down Under IJ Interviews Dr Robert Bain</w:t>
      </w:r>
    </w:p>
    <w:p w:rsidR="006660F8" w:rsidRPr="001D0C18" w:rsidRDefault="00A723E5" w:rsidP="009B23FE">
      <w:pPr>
        <w:pStyle w:val="EndnoteText"/>
        <w:rPr>
          <w:sz w:val="16"/>
          <w:szCs w:val="16"/>
        </w:rPr>
      </w:pPr>
      <w:hyperlink r:id="rId155" w:history="1">
        <w:r w:rsidR="006660F8" w:rsidRPr="001D0C18">
          <w:rPr>
            <w:rStyle w:val="Hyperlink"/>
            <w:sz w:val="16"/>
            <w:szCs w:val="16"/>
          </w:rPr>
          <w:t>http://www.robbain.com/Toll%20Roads.pdf</w:t>
        </w:r>
      </w:hyperlink>
      <w:r w:rsidR="006660F8" w:rsidRPr="001D0C18">
        <w:rPr>
          <w:sz w:val="16"/>
          <w:szCs w:val="16"/>
        </w:rPr>
        <w:t xml:space="preserve">; </w:t>
      </w:r>
      <w:hyperlink r:id="rId156" w:history="1">
        <w:r w:rsidR="006660F8" w:rsidRPr="001D0C18">
          <w:rPr>
            <w:rStyle w:val="Hyperlink"/>
            <w:sz w:val="16"/>
            <w:szCs w:val="16"/>
          </w:rPr>
          <w:t>http://www.wweek.com/portland/article-21194-the_toll_truth.html</w:t>
        </w:r>
      </w:hyperlink>
      <w:r w:rsidR="006660F8" w:rsidRPr="001D0C18">
        <w:rPr>
          <w:sz w:val="16"/>
          <w:szCs w:val="16"/>
        </w:rPr>
        <w:t xml:space="preserve"> ; </w:t>
      </w:r>
    </w:p>
  </w:endnote>
  <w:endnote w:id="115">
    <w:p w:rsidR="006660F8" w:rsidRPr="001D0C18" w:rsidRDefault="006660F8" w:rsidP="009B23FE">
      <w:pPr>
        <w:pStyle w:val="EndnoteText"/>
        <w:rPr>
          <w:sz w:val="16"/>
          <w:szCs w:val="16"/>
        </w:rPr>
      </w:pPr>
      <w:r w:rsidRPr="001D0C18">
        <w:rPr>
          <w:rStyle w:val="EndnoteReference"/>
          <w:sz w:val="16"/>
          <w:szCs w:val="16"/>
        </w:rPr>
        <w:endnoteRef/>
      </w:r>
      <w:r w:rsidRPr="001D0C18">
        <w:rPr>
          <w:sz w:val="16"/>
          <w:szCs w:val="16"/>
        </w:rPr>
        <w:t xml:space="preserve"> UK Public Accounts Committee 44th Report - Lessons from PFI and other projects HC 1201 </w:t>
      </w:r>
      <w:r w:rsidRPr="001D0C18">
        <w:rPr>
          <w:iCs/>
          <w:sz w:val="16"/>
          <w:szCs w:val="16"/>
        </w:rPr>
        <w:t>01 September 2011</w:t>
      </w:r>
      <w:r>
        <w:rPr>
          <w:iCs/>
          <w:sz w:val="16"/>
          <w:szCs w:val="16"/>
        </w:rPr>
        <w:t xml:space="preserve"> </w:t>
      </w:r>
      <w:hyperlink r:id="rId157" w:history="1">
        <w:r w:rsidRPr="001D0C18">
          <w:rPr>
            <w:rStyle w:val="Hyperlink"/>
            <w:sz w:val="16"/>
            <w:szCs w:val="16"/>
          </w:rPr>
          <w:t>http://www.publications.parliament.uk/pa/cm201012/cmselect/cmpubacc/1201/120102.htm</w:t>
        </w:r>
      </w:hyperlink>
      <w:r w:rsidRPr="001D0C18">
        <w:rPr>
          <w:sz w:val="16"/>
          <w:szCs w:val="16"/>
        </w:rPr>
        <w:t xml:space="preserve"> </w:t>
      </w:r>
    </w:p>
  </w:endnote>
  <w:endnote w:id="116">
    <w:p w:rsidR="006660F8" w:rsidRPr="001D0C18" w:rsidRDefault="006660F8" w:rsidP="009B23FE">
      <w:pPr>
        <w:rPr>
          <w:bCs/>
          <w:sz w:val="16"/>
          <w:szCs w:val="16"/>
        </w:rPr>
      </w:pPr>
      <w:r w:rsidRPr="001D0C18">
        <w:rPr>
          <w:rStyle w:val="EndnoteReference"/>
          <w:sz w:val="16"/>
          <w:szCs w:val="16"/>
        </w:rPr>
        <w:endnoteRef/>
      </w:r>
      <w:r>
        <w:rPr>
          <w:sz w:val="16"/>
          <w:szCs w:val="16"/>
        </w:rPr>
        <w:t xml:space="preserve"> </w:t>
      </w:r>
      <w:r w:rsidRPr="001D0C18">
        <w:rPr>
          <w:sz w:val="16"/>
          <w:szCs w:val="16"/>
        </w:rPr>
        <w:t xml:space="preserve">OECD 2010 Business climate development strategy Phase 1 Policy Assessment Egypt Dimension I – 2 Privatisation Policy and Public Private Partnerships </w:t>
      </w:r>
      <w:hyperlink r:id="rId158" w:history="1">
        <w:r w:rsidRPr="001D0C18">
          <w:rPr>
            <w:rStyle w:val="Hyperlink"/>
            <w:sz w:val="16"/>
            <w:szCs w:val="16"/>
          </w:rPr>
          <w:t>http://www.oecd.org/daf/psd/46340470.pdf</w:t>
        </w:r>
      </w:hyperlink>
      <w:r>
        <w:rPr>
          <w:sz w:val="16"/>
          <w:szCs w:val="16"/>
        </w:rPr>
        <w:t xml:space="preserve"> </w:t>
      </w:r>
      <w:r w:rsidRPr="001D0C18">
        <w:rPr>
          <w:sz w:val="16"/>
          <w:szCs w:val="16"/>
        </w:rPr>
        <w:t xml:space="preserve">; </w:t>
      </w:r>
      <w:r w:rsidRPr="001D0C18">
        <w:rPr>
          <w:bCs/>
          <w:sz w:val="16"/>
          <w:szCs w:val="16"/>
        </w:rPr>
        <w:t xml:space="preserve">A Postcard from Africa July 9, 2010 Egypt: Privatization Troubles Peak </w:t>
      </w:r>
    </w:p>
    <w:p w:rsidR="006660F8" w:rsidRPr="001D0C18" w:rsidRDefault="006660F8" w:rsidP="009B23FE">
      <w:pPr>
        <w:rPr>
          <w:sz w:val="16"/>
          <w:szCs w:val="16"/>
        </w:rPr>
      </w:pPr>
      <w:r>
        <w:rPr>
          <w:sz w:val="16"/>
          <w:szCs w:val="16"/>
        </w:rPr>
        <w:t xml:space="preserve"> </w:t>
      </w:r>
      <w:hyperlink r:id="rId159" w:history="1">
        <w:r w:rsidRPr="001D0C18">
          <w:rPr>
            <w:rStyle w:val="Hyperlink"/>
            <w:sz w:val="16"/>
            <w:szCs w:val="16"/>
          </w:rPr>
          <w:t>http://www.thomaswhite.com/explore-the-world/postcard/2010/privatization-in-egypt.aspx</w:t>
        </w:r>
      </w:hyperlink>
      <w:r w:rsidRPr="001D0C18">
        <w:rPr>
          <w:sz w:val="16"/>
          <w:szCs w:val="16"/>
        </w:rPr>
        <w:t xml:space="preserve"> </w:t>
      </w:r>
    </w:p>
  </w:endnote>
  <w:endnote w:id="117">
    <w:p w:rsidR="006660F8" w:rsidRPr="001D0C18" w:rsidRDefault="006660F8" w:rsidP="008F4F74">
      <w:pPr>
        <w:autoSpaceDE w:val="0"/>
        <w:autoSpaceDN w:val="0"/>
        <w:adjustRightInd w:val="0"/>
        <w:rPr>
          <w:sz w:val="16"/>
          <w:szCs w:val="16"/>
        </w:rPr>
      </w:pPr>
      <w:r w:rsidRPr="001D0C18">
        <w:rPr>
          <w:rStyle w:val="EndnoteReference"/>
          <w:sz w:val="16"/>
          <w:szCs w:val="16"/>
        </w:rPr>
        <w:endnoteRef/>
      </w:r>
      <w:r w:rsidRPr="001D0C18">
        <w:rPr>
          <w:sz w:val="16"/>
          <w:szCs w:val="16"/>
        </w:rPr>
        <w:t xml:space="preserve"> Health Policy xxx (2008) xxx–xxx Available online at </w:t>
      </w:r>
      <w:hyperlink r:id="rId160" w:history="1">
        <w:r w:rsidRPr="001D0C18">
          <w:rPr>
            <w:rStyle w:val="Hyperlink"/>
            <w:sz w:val="16"/>
            <w:szCs w:val="16"/>
          </w:rPr>
          <w:t>www.sciencedirect.com</w:t>
        </w:r>
      </w:hyperlink>
      <w:r w:rsidRPr="001D0C18">
        <w:rPr>
          <w:sz w:val="16"/>
          <w:szCs w:val="16"/>
        </w:rPr>
        <w:t xml:space="preserve"> </w:t>
      </w:r>
      <w:r w:rsidRPr="001D0C18">
        <w:rPr>
          <w:iCs/>
          <w:sz w:val="16"/>
          <w:szCs w:val="16"/>
        </w:rPr>
        <w:t xml:space="preserve">Ex-ante </w:t>
      </w:r>
      <w:r w:rsidRPr="001D0C18">
        <w:rPr>
          <w:sz w:val="16"/>
          <w:szCs w:val="16"/>
        </w:rPr>
        <w:t xml:space="preserve">evaluation of PFIs within the Italian health-care sector: What is the basis for this PPP? Antonio Barretta </w:t>
      </w:r>
      <w:r w:rsidRPr="001D0C18">
        <w:rPr>
          <w:rFonts w:eastAsia="MS Mincho" w:hAnsi="MS Mincho"/>
          <w:color w:val="000066"/>
          <w:sz w:val="16"/>
          <w:szCs w:val="16"/>
        </w:rPr>
        <w:t>∗</w:t>
      </w:r>
      <w:r w:rsidRPr="001D0C18">
        <w:rPr>
          <w:sz w:val="16"/>
          <w:szCs w:val="16"/>
        </w:rPr>
        <w:t xml:space="preserve">, Pasquale Ruggiero </w:t>
      </w:r>
      <w:hyperlink r:id="rId161" w:history="1">
        <w:r w:rsidRPr="001D0C18">
          <w:rPr>
            <w:rStyle w:val="Hyperlink"/>
            <w:sz w:val="16"/>
            <w:szCs w:val="16"/>
          </w:rPr>
          <w:t>doi:10.1016/j.healthpol.2008.02.005</w:t>
        </w:r>
      </w:hyperlink>
      <w:r w:rsidRPr="001D0C18">
        <w:rPr>
          <w:sz w:val="16"/>
          <w:szCs w:val="16"/>
        </w:rPr>
        <w:t xml:space="preserve"> </w:t>
      </w:r>
    </w:p>
  </w:endnote>
  <w:endnote w:id="118">
    <w:p w:rsidR="006660F8" w:rsidRPr="001D0C18" w:rsidRDefault="006660F8" w:rsidP="00817611">
      <w:pPr>
        <w:rPr>
          <w:sz w:val="16"/>
          <w:szCs w:val="16"/>
        </w:rPr>
      </w:pPr>
      <w:r w:rsidRPr="001D0C18">
        <w:rPr>
          <w:rStyle w:val="EndnoteReference"/>
          <w:sz w:val="16"/>
          <w:szCs w:val="16"/>
        </w:rPr>
        <w:endnoteRef/>
      </w:r>
      <w:r w:rsidRPr="001D0C18">
        <w:rPr>
          <w:sz w:val="16"/>
          <w:szCs w:val="16"/>
        </w:rPr>
        <w:t xml:space="preserve"> </w:t>
      </w:r>
      <w:r w:rsidRPr="001D0C18">
        <w:rPr>
          <w:bCs/>
          <w:sz w:val="16"/>
          <w:szCs w:val="16"/>
        </w:rPr>
        <w:t>Ellen Dannin</w:t>
      </w:r>
      <w:r w:rsidRPr="001D0C18">
        <w:rPr>
          <w:sz w:val="16"/>
          <w:szCs w:val="16"/>
        </w:rPr>
        <w:t xml:space="preserve"> 2009 Infrastructure Privatization Contracts and Their Effect on Governance July 10, 2009 </w:t>
      </w:r>
      <w:hyperlink r:id="rId162" w:history="1">
        <w:r w:rsidRPr="001D0C18">
          <w:rPr>
            <w:rStyle w:val="Hyperlink"/>
            <w:sz w:val="16"/>
            <w:szCs w:val="16"/>
          </w:rPr>
          <w:t>http://papers.ssrn.com/sol3/papers.cfm?abstract_id=1432606</w:t>
        </w:r>
      </w:hyperlink>
      <w:r w:rsidRPr="001D0C18">
        <w:rPr>
          <w:sz w:val="16"/>
          <w:szCs w:val="16"/>
        </w:rPr>
        <w:t xml:space="preserve"> ; </w:t>
      </w:r>
      <w:hyperlink r:id="rId163" w:history="1">
        <w:r w:rsidRPr="001D0C18">
          <w:rPr>
            <w:rStyle w:val="Hyperlink"/>
            <w:sz w:val="16"/>
            <w:szCs w:val="16"/>
          </w:rPr>
          <w:t>http://dollarsandsense.org/archives/2012/1112bondgraham.html</w:t>
        </w:r>
      </w:hyperlink>
      <w:r w:rsidRPr="001D0C18">
        <w:rPr>
          <w:sz w:val="16"/>
          <w:szCs w:val="16"/>
        </w:rPr>
        <w:t xml:space="preserve"> </w:t>
      </w:r>
    </w:p>
  </w:endnote>
  <w:endnote w:id="119">
    <w:p w:rsidR="006660F8" w:rsidRPr="001D0C18" w:rsidRDefault="006660F8" w:rsidP="00B94CE0">
      <w:pPr>
        <w:pStyle w:val="EndnoteText"/>
        <w:rPr>
          <w:sz w:val="16"/>
          <w:szCs w:val="16"/>
        </w:rPr>
      </w:pPr>
      <w:r w:rsidRPr="001D0C18">
        <w:rPr>
          <w:rStyle w:val="EndnoteReference"/>
          <w:sz w:val="16"/>
          <w:szCs w:val="16"/>
        </w:rPr>
        <w:endnoteRef/>
      </w:r>
      <w:r w:rsidRPr="001D0C18">
        <w:rPr>
          <w:sz w:val="16"/>
          <w:szCs w:val="16"/>
        </w:rPr>
        <w:t xml:space="preserve"> Comment by Ahmed Tarik on Jadaliyya website 12 June 2011 </w:t>
      </w:r>
      <w:hyperlink r:id="rId164" w:history="1">
        <w:r w:rsidRPr="001D0C18">
          <w:rPr>
            <w:rStyle w:val="Hyperlink"/>
            <w:sz w:val="16"/>
            <w:szCs w:val="16"/>
          </w:rPr>
          <w:t>http://www.jadaliyya.com/pages/index/1711/egypts-%E2%80%98orderly-transition%E2%80%99-international-aid-and-</w:t>
        </w:r>
      </w:hyperlink>
    </w:p>
  </w:endnote>
  <w:endnote w:id="120">
    <w:p w:rsidR="006660F8" w:rsidRPr="001D0C18" w:rsidRDefault="006660F8" w:rsidP="008F4F74">
      <w:pPr>
        <w:pStyle w:val="EndnoteText"/>
        <w:rPr>
          <w:sz w:val="16"/>
          <w:szCs w:val="16"/>
        </w:rPr>
      </w:pPr>
      <w:r w:rsidRPr="001D0C18">
        <w:rPr>
          <w:rStyle w:val="EndnoteReference"/>
          <w:sz w:val="16"/>
          <w:szCs w:val="16"/>
        </w:rPr>
        <w:endnoteRef/>
      </w:r>
      <w:r w:rsidRPr="001D0C18">
        <w:rPr>
          <w:sz w:val="16"/>
          <w:szCs w:val="16"/>
        </w:rPr>
        <w:t xml:space="preserve"> Public Private Finance December 20, 2005 FOCUS - EUROPE: Fiddling the figures as budgets burn?</w:t>
      </w:r>
    </w:p>
  </w:endnote>
  <w:endnote w:id="121">
    <w:p w:rsidR="006660F8" w:rsidRPr="001D0C18" w:rsidRDefault="006660F8" w:rsidP="008F4F74">
      <w:pPr>
        <w:rPr>
          <w:sz w:val="16"/>
          <w:szCs w:val="16"/>
        </w:rPr>
      </w:pPr>
      <w:r w:rsidRPr="001D0C18">
        <w:rPr>
          <w:rStyle w:val="EndnoteReference"/>
          <w:sz w:val="16"/>
          <w:szCs w:val="16"/>
        </w:rPr>
        <w:endnoteRef/>
      </w:r>
      <w:r w:rsidRPr="001D0C18">
        <w:rPr>
          <w:sz w:val="16"/>
          <w:szCs w:val="16"/>
        </w:rPr>
        <w:t xml:space="preserve"> </w:t>
      </w:r>
      <w:r w:rsidRPr="001D0C18">
        <w:rPr>
          <w:bCs/>
          <w:sz w:val="16"/>
          <w:szCs w:val="16"/>
        </w:rPr>
        <w:t xml:space="preserve">Never mind the balance sheet - the dangers posed by public-private partnerships in central and eastern Europe. </w:t>
      </w:r>
      <w:r w:rsidRPr="001D0C18">
        <w:rPr>
          <w:iCs/>
          <w:sz w:val="16"/>
          <w:szCs w:val="16"/>
        </w:rPr>
        <w:t>CEE Bankwatch Network</w:t>
      </w:r>
      <w:r w:rsidRPr="001D0C18">
        <w:rPr>
          <w:sz w:val="16"/>
          <w:szCs w:val="16"/>
        </w:rPr>
        <w:t xml:space="preserve">. November 2008 </w:t>
      </w:r>
      <w:hyperlink r:id="rId165" w:history="1">
        <w:r w:rsidRPr="001D0C18">
          <w:rPr>
            <w:rStyle w:val="Hyperlink"/>
            <w:sz w:val="16"/>
            <w:szCs w:val="16"/>
          </w:rPr>
          <w:t>http://bankwatch.org/publications/document.shtml?x=2132584</w:t>
        </w:r>
      </w:hyperlink>
      <w:r w:rsidRPr="001D0C18">
        <w:rPr>
          <w:sz w:val="16"/>
          <w:szCs w:val="16"/>
        </w:rPr>
        <w:t xml:space="preserve"> </w:t>
      </w:r>
    </w:p>
  </w:endnote>
  <w:endnote w:id="122">
    <w:p w:rsidR="006660F8" w:rsidRPr="001D0C18" w:rsidRDefault="006660F8" w:rsidP="008F4F74">
      <w:pPr>
        <w:pStyle w:val="EndnoteText"/>
        <w:rPr>
          <w:bCs/>
          <w:sz w:val="16"/>
          <w:szCs w:val="16"/>
        </w:rPr>
      </w:pPr>
      <w:r w:rsidRPr="001D0C18">
        <w:rPr>
          <w:rStyle w:val="EndnoteReference"/>
          <w:sz w:val="16"/>
          <w:szCs w:val="16"/>
        </w:rPr>
        <w:endnoteRef/>
      </w:r>
      <w:r w:rsidRPr="001D0C18">
        <w:rPr>
          <w:sz w:val="16"/>
          <w:szCs w:val="16"/>
        </w:rPr>
        <w:t xml:space="preserve"> FT May 8, 2012 </w:t>
      </w:r>
      <w:r w:rsidRPr="001D0C18">
        <w:rPr>
          <w:bCs/>
          <w:sz w:val="16"/>
          <w:szCs w:val="16"/>
        </w:rPr>
        <w:t>Infrastructure: Pressing need for better transport</w:t>
      </w:r>
    </w:p>
    <w:p w:rsidR="006660F8" w:rsidRPr="001D0C18" w:rsidRDefault="006660F8" w:rsidP="008F4F74">
      <w:pPr>
        <w:pStyle w:val="EndnoteText"/>
        <w:rPr>
          <w:sz w:val="16"/>
          <w:szCs w:val="16"/>
        </w:rPr>
      </w:pPr>
      <w:r>
        <w:rPr>
          <w:sz w:val="16"/>
          <w:szCs w:val="16"/>
        </w:rPr>
        <w:t xml:space="preserve"> </w:t>
      </w:r>
      <w:hyperlink r:id="rId166" w:anchor="axzz2mROn9frU" w:history="1">
        <w:r w:rsidRPr="001D0C18">
          <w:rPr>
            <w:rStyle w:val="Hyperlink"/>
            <w:sz w:val="16"/>
            <w:szCs w:val="16"/>
          </w:rPr>
          <w:t>http://www.ft.com/cms/s/0/4fd1e216-9441-11e1-bb47-00144feab49a.html#axzz2mROn9frU</w:t>
        </w:r>
      </w:hyperlink>
      <w:r w:rsidRPr="001D0C18">
        <w:rPr>
          <w:rStyle w:val="Hyperlink"/>
          <w:sz w:val="16"/>
          <w:szCs w:val="16"/>
        </w:rPr>
        <w:t xml:space="preserve"> ; </w:t>
      </w:r>
    </w:p>
  </w:endnote>
  <w:endnote w:id="123">
    <w:p w:rsidR="006660F8" w:rsidRPr="001D0C18" w:rsidRDefault="006660F8" w:rsidP="008F4F74">
      <w:pPr>
        <w:pStyle w:val="EndnoteText"/>
        <w:rPr>
          <w:sz w:val="16"/>
          <w:szCs w:val="16"/>
        </w:rPr>
      </w:pPr>
      <w:r w:rsidRPr="001D0C18">
        <w:rPr>
          <w:rStyle w:val="EndnoteReference"/>
          <w:sz w:val="16"/>
          <w:szCs w:val="16"/>
        </w:rPr>
        <w:endnoteRef/>
      </w:r>
      <w:r w:rsidRPr="001D0C18">
        <w:rPr>
          <w:sz w:val="16"/>
          <w:szCs w:val="16"/>
        </w:rPr>
        <w:t xml:space="preserve"> </w:t>
      </w:r>
      <w:r w:rsidRPr="001D0C18">
        <w:rPr>
          <w:rFonts w:ascii="BookAntiqua" w:hAnsi="BookAntiqua" w:cs="BookAntiqua"/>
          <w:sz w:val="16"/>
          <w:szCs w:val="16"/>
        </w:rPr>
        <w:t>Bosanquet et al. 2006: 10-11</w:t>
      </w:r>
    </w:p>
  </w:endnote>
  <w:endnote w:id="124">
    <w:p w:rsidR="006660F8" w:rsidRPr="001D0C18" w:rsidRDefault="006660F8" w:rsidP="008F4F74">
      <w:pPr>
        <w:rPr>
          <w:sz w:val="16"/>
          <w:szCs w:val="16"/>
        </w:rPr>
      </w:pPr>
      <w:r w:rsidRPr="001D0C18">
        <w:rPr>
          <w:rStyle w:val="EndnoteReference"/>
          <w:sz w:val="16"/>
          <w:szCs w:val="16"/>
        </w:rPr>
        <w:endnoteRef/>
      </w:r>
      <w:r w:rsidRPr="001D0C18">
        <w:rPr>
          <w:sz w:val="16"/>
          <w:szCs w:val="16"/>
        </w:rPr>
        <w:t xml:space="preserve"> Hellowell and Pollock 2007</w:t>
      </w:r>
    </w:p>
  </w:endnote>
  <w:endnote w:id="125">
    <w:p w:rsidR="006660F8" w:rsidRPr="001D0C18" w:rsidRDefault="006660F8" w:rsidP="008F4F74">
      <w:pPr>
        <w:autoSpaceDE w:val="0"/>
        <w:autoSpaceDN w:val="0"/>
        <w:adjustRightInd w:val="0"/>
        <w:rPr>
          <w:sz w:val="16"/>
          <w:szCs w:val="16"/>
        </w:rPr>
      </w:pPr>
      <w:r w:rsidRPr="001D0C18">
        <w:rPr>
          <w:rStyle w:val="EndnoteReference"/>
          <w:sz w:val="16"/>
          <w:szCs w:val="16"/>
        </w:rPr>
        <w:endnoteRef/>
      </w:r>
      <w:r w:rsidRPr="001D0C18">
        <w:rPr>
          <w:sz w:val="16"/>
          <w:szCs w:val="16"/>
        </w:rPr>
        <w:t xml:space="preserve"> South London and Maudsley Strategic Health Authority (2007), ‘Acute Sector deficits in SE London’. London.</w:t>
      </w:r>
    </w:p>
  </w:endnote>
  <w:endnote w:id="126">
    <w:p w:rsidR="006660F8" w:rsidRPr="001D0C18" w:rsidRDefault="006660F8" w:rsidP="008F4F74">
      <w:pPr>
        <w:pStyle w:val="EndnoteText"/>
        <w:rPr>
          <w:rFonts w:cstheme="minorHAnsi"/>
          <w:sz w:val="16"/>
          <w:szCs w:val="16"/>
        </w:rPr>
      </w:pPr>
      <w:r w:rsidRPr="001D0C18">
        <w:rPr>
          <w:rStyle w:val="EndnoteReference"/>
          <w:rFonts w:cstheme="minorHAnsi"/>
          <w:sz w:val="16"/>
          <w:szCs w:val="16"/>
        </w:rPr>
        <w:endnoteRef/>
      </w:r>
      <w:r w:rsidRPr="001D0C18">
        <w:rPr>
          <w:rFonts w:cstheme="minorHAnsi"/>
          <w:sz w:val="16"/>
          <w:szCs w:val="16"/>
        </w:rPr>
        <w:t xml:space="preserve"> </w:t>
      </w:r>
      <w:r w:rsidRPr="001D0C18">
        <w:rPr>
          <w:rFonts w:cstheme="minorHAnsi"/>
          <w:noProof/>
          <w:sz w:val="16"/>
          <w:szCs w:val="16"/>
        </w:rPr>
        <w:t xml:space="preserve">World Bank March 2013 Revisiting Public-Private Partnerships in the Power Sector </w:t>
      </w:r>
      <w:hyperlink r:id="rId167" w:history="1">
        <w:r w:rsidRPr="001D0C18">
          <w:rPr>
            <w:rStyle w:val="Hyperlink"/>
            <w:rFonts w:cstheme="minorHAnsi"/>
            <w:noProof/>
            <w:sz w:val="16"/>
            <w:szCs w:val="16"/>
          </w:rPr>
          <w:t>http://go.worldbank.org/69VJOM9P90</w:t>
        </w:r>
      </w:hyperlink>
      <w:r w:rsidRPr="001D0C18">
        <w:rPr>
          <w:rFonts w:cstheme="minorHAnsi"/>
          <w:noProof/>
          <w:sz w:val="16"/>
          <w:szCs w:val="16"/>
        </w:rPr>
        <w:t xml:space="preserve"> </w:t>
      </w:r>
    </w:p>
  </w:endnote>
  <w:endnote w:id="127">
    <w:p w:rsidR="006660F8" w:rsidRPr="001D0C18" w:rsidRDefault="006660F8" w:rsidP="008F4F74">
      <w:pPr>
        <w:pStyle w:val="EndnoteText"/>
        <w:rPr>
          <w:sz w:val="16"/>
          <w:szCs w:val="16"/>
        </w:rPr>
      </w:pPr>
      <w:r w:rsidRPr="001D0C18">
        <w:rPr>
          <w:rStyle w:val="EndnoteReference"/>
          <w:sz w:val="16"/>
          <w:szCs w:val="16"/>
        </w:rPr>
        <w:endnoteRef/>
      </w:r>
      <w:r>
        <w:rPr>
          <w:sz w:val="16"/>
          <w:szCs w:val="16"/>
        </w:rPr>
        <w:t xml:space="preserve"> </w:t>
      </w:r>
      <w:r w:rsidRPr="001D0C18">
        <w:rPr>
          <w:rFonts w:ascii="Calibri" w:hAnsi="Calibri" w:cs="Calibri"/>
          <w:sz w:val="16"/>
          <w:szCs w:val="16"/>
        </w:rPr>
        <w:t>Sohair Mourad Milik. 2010. Assessment of Solid Waste Management</w:t>
      </w:r>
      <w:r>
        <w:rPr>
          <w:rFonts w:ascii="Calibri" w:hAnsi="Calibri" w:cs="Calibri"/>
          <w:sz w:val="16"/>
          <w:szCs w:val="16"/>
        </w:rPr>
        <w:t xml:space="preserve"> </w:t>
      </w:r>
      <w:r w:rsidRPr="001D0C18">
        <w:rPr>
          <w:rFonts w:ascii="Calibri" w:hAnsi="Calibri" w:cs="Calibri"/>
          <w:sz w:val="16"/>
          <w:szCs w:val="16"/>
        </w:rPr>
        <w:t xml:space="preserve">in Egypt During the Last Decade in Light of the Partnership Between the Egyptian Government and the Private Sector </w:t>
      </w:r>
      <w:r w:rsidRPr="001D0C18">
        <w:rPr>
          <w:sz w:val="16"/>
          <w:szCs w:val="16"/>
        </w:rPr>
        <w:t>http://dar.aucegypt.edu/bitstream/handle/10526/1527/Thesis_final_Jan_2011_New_Microsoft_Office_Word_Document%20-%20Copy.pdf?sequence=1</w:t>
      </w:r>
    </w:p>
  </w:endnote>
  <w:endnote w:id="128">
    <w:p w:rsidR="006660F8" w:rsidRPr="001D0C18" w:rsidRDefault="006660F8" w:rsidP="00FA542C">
      <w:pPr>
        <w:rPr>
          <w:sz w:val="16"/>
          <w:szCs w:val="16"/>
        </w:rPr>
      </w:pPr>
      <w:r w:rsidRPr="001D0C18">
        <w:rPr>
          <w:rStyle w:val="EndnoteReference"/>
          <w:sz w:val="16"/>
          <w:szCs w:val="16"/>
        </w:rPr>
        <w:endnoteRef/>
      </w:r>
      <w:r w:rsidRPr="001D0C18">
        <w:rPr>
          <w:sz w:val="16"/>
          <w:szCs w:val="16"/>
        </w:rPr>
        <w:t xml:space="preserve"> For further detail, see PSIRU 2008 Protecting workers in PPPs by David Hall</w:t>
      </w:r>
    </w:p>
  </w:endnote>
  <w:endnote w:id="129">
    <w:p w:rsidR="006660F8" w:rsidRPr="001D0C18" w:rsidRDefault="006660F8" w:rsidP="004D655B">
      <w:pPr>
        <w:jc w:val="both"/>
        <w:rPr>
          <w:rFonts w:eastAsia="SimSun"/>
          <w:sz w:val="16"/>
          <w:szCs w:val="16"/>
          <w:lang w:val="en-US"/>
        </w:rPr>
      </w:pPr>
      <w:r w:rsidRPr="001D0C18">
        <w:rPr>
          <w:rStyle w:val="EndnoteReference"/>
          <w:sz w:val="16"/>
          <w:szCs w:val="16"/>
        </w:rPr>
        <w:endnoteRef/>
      </w:r>
      <w:r w:rsidRPr="001D0C18">
        <w:rPr>
          <w:sz w:val="16"/>
          <w:szCs w:val="16"/>
        </w:rPr>
        <w:t xml:space="preserve"> </w:t>
      </w:r>
      <w:r w:rsidRPr="001D0C18">
        <w:rPr>
          <w:rFonts w:eastAsia="SimSun"/>
          <w:sz w:val="16"/>
          <w:szCs w:val="16"/>
          <w:lang w:eastAsia="zh-CN"/>
        </w:rPr>
        <w:t>(PPPs, para 23).</w:t>
      </w:r>
      <w:r w:rsidRPr="001D0C18">
        <w:rPr>
          <w:rFonts w:eastAsia="SimSun"/>
          <w:sz w:val="16"/>
          <w:szCs w:val="16"/>
          <w:lang w:val="en-US"/>
        </w:rPr>
        <w:t xml:space="preserve"> </w:t>
      </w:r>
    </w:p>
  </w:endnote>
  <w:endnote w:id="130">
    <w:p w:rsidR="006660F8" w:rsidRPr="001D0C18" w:rsidRDefault="006660F8" w:rsidP="002044D4">
      <w:pPr>
        <w:pStyle w:val="EndnoteText"/>
        <w:rPr>
          <w:sz w:val="16"/>
          <w:szCs w:val="16"/>
        </w:rPr>
      </w:pPr>
      <w:r w:rsidRPr="001D0C18">
        <w:rPr>
          <w:rStyle w:val="EndnoteReference"/>
          <w:sz w:val="16"/>
          <w:szCs w:val="16"/>
        </w:rPr>
        <w:endnoteRef/>
      </w:r>
      <w:r w:rsidRPr="001D0C18">
        <w:rPr>
          <w:sz w:val="16"/>
          <w:szCs w:val="16"/>
        </w:rPr>
        <w:t xml:space="preserve"> UK Treasury Select Committee 17th Report - Private Finance Initiative HC 1146 August 2011 </w:t>
      </w:r>
      <w:hyperlink r:id="rId168" w:history="1">
        <w:r w:rsidRPr="00C57609">
          <w:rPr>
            <w:rStyle w:val="Hyperlink"/>
            <w:sz w:val="16"/>
            <w:szCs w:val="16"/>
          </w:rPr>
          <w:t>http://www.publications.parliament.uk/pa/cm201012/cmselect/cmtreasy/1146/114602.htm</w:t>
        </w:r>
      </w:hyperlink>
      <w:r w:rsidRPr="001D0C18">
        <w:rPr>
          <w:sz w:val="16"/>
          <w:szCs w:val="16"/>
        </w:rPr>
        <w:t>.</w:t>
      </w:r>
      <w:r>
        <w:rPr>
          <w:sz w:val="16"/>
          <w:szCs w:val="16"/>
        </w:rPr>
        <w:t xml:space="preserve"> </w:t>
      </w:r>
    </w:p>
  </w:endnote>
  <w:endnote w:id="131">
    <w:p w:rsidR="006660F8" w:rsidRPr="001D0C18" w:rsidRDefault="006660F8" w:rsidP="002044D4">
      <w:pPr>
        <w:rPr>
          <w:sz w:val="16"/>
          <w:szCs w:val="16"/>
        </w:rPr>
      </w:pPr>
      <w:r w:rsidRPr="001D0C18">
        <w:rPr>
          <w:rStyle w:val="EndnoteReference"/>
          <w:sz w:val="16"/>
          <w:szCs w:val="16"/>
        </w:rPr>
        <w:endnoteRef/>
      </w:r>
      <w:r w:rsidRPr="001D0C18">
        <w:rPr>
          <w:sz w:val="16"/>
          <w:szCs w:val="16"/>
        </w:rPr>
        <w:t xml:space="preserve"> Friedrich P. and Reiljan J. 2007. An Economic Public Sector Comparator for Public Private Partnership and Public Real Estate Man</w:t>
      </w:r>
      <w:r>
        <w:rPr>
          <w:sz w:val="16"/>
          <w:szCs w:val="16"/>
        </w:rPr>
        <w:t>age</w:t>
      </w:r>
      <w:r w:rsidRPr="001D0C18">
        <w:rPr>
          <w:sz w:val="16"/>
          <w:szCs w:val="16"/>
        </w:rPr>
        <w:t xml:space="preserve">ment. ASPE Conference St Petersburg November 2007. </w:t>
      </w:r>
      <w:hyperlink r:id="rId169" w:history="1">
        <w:r w:rsidRPr="001D0C18">
          <w:rPr>
            <w:rStyle w:val="Hyperlink"/>
            <w:sz w:val="16"/>
            <w:szCs w:val="16"/>
          </w:rPr>
          <w:t>http://eng.som.pu.ru/files/upload/research/conferences/ps_reform/2007/ASPE_Conference_Program_eng.pdf</w:t>
        </w:r>
      </w:hyperlink>
      <w:r w:rsidRPr="001D0C18">
        <w:rPr>
          <w:sz w:val="16"/>
          <w:szCs w:val="16"/>
        </w:rPr>
        <w:t xml:space="preserve"> </w:t>
      </w:r>
    </w:p>
  </w:endnote>
  <w:endnote w:id="132">
    <w:p w:rsidR="006660F8" w:rsidRPr="001D0C18" w:rsidRDefault="006660F8" w:rsidP="002044D4">
      <w:pPr>
        <w:jc w:val="both"/>
        <w:rPr>
          <w:sz w:val="16"/>
          <w:szCs w:val="16"/>
        </w:rPr>
      </w:pPr>
      <w:r w:rsidRPr="001D0C18">
        <w:rPr>
          <w:rStyle w:val="EndnoteReference"/>
          <w:sz w:val="16"/>
          <w:szCs w:val="16"/>
        </w:rPr>
        <w:endnoteRef/>
      </w:r>
      <w:r w:rsidRPr="001D0C18">
        <w:rPr>
          <w:sz w:val="16"/>
          <w:szCs w:val="16"/>
        </w:rPr>
        <w:t xml:space="preserve"> Evaluation of PPP projects Financed by the EIB. EIB March 2005</w:t>
      </w:r>
      <w:r>
        <w:rPr>
          <w:sz w:val="16"/>
          <w:szCs w:val="16"/>
        </w:rPr>
        <w:t xml:space="preserve"> </w:t>
      </w:r>
    </w:p>
  </w:endnote>
  <w:endnote w:id="133">
    <w:p w:rsidR="006660F8" w:rsidRPr="001D0C18" w:rsidRDefault="006660F8" w:rsidP="002044D4">
      <w:pPr>
        <w:pStyle w:val="EndnoteText"/>
        <w:rPr>
          <w:sz w:val="16"/>
          <w:szCs w:val="16"/>
          <w:lang w:val="de-DE"/>
        </w:rPr>
      </w:pPr>
      <w:r w:rsidRPr="001D0C18">
        <w:rPr>
          <w:rStyle w:val="EndnoteReference"/>
          <w:sz w:val="16"/>
          <w:szCs w:val="16"/>
        </w:rPr>
        <w:endnoteRef/>
      </w:r>
      <w:r w:rsidRPr="001D0C18">
        <w:rPr>
          <w:sz w:val="16"/>
          <w:szCs w:val="16"/>
        </w:rPr>
        <w:t xml:space="preserve"> Weber M. and Knappe K. 2007 Fiscal Policy in EMU after the reform of the European Stability and Growth Pact. </w:t>
      </w:r>
      <w:r w:rsidRPr="001D0C18">
        <w:rPr>
          <w:sz w:val="16"/>
          <w:szCs w:val="16"/>
          <w:lang w:val="de-DE"/>
        </w:rPr>
        <w:t xml:space="preserve">CESifo Forum 8:4 Winter 2007 </w:t>
      </w:r>
      <w:hyperlink r:id="rId170" w:history="1">
        <w:r w:rsidRPr="001D0C18">
          <w:rPr>
            <w:rStyle w:val="Hyperlink"/>
            <w:sz w:val="16"/>
            <w:szCs w:val="16"/>
            <w:lang w:val="de-DE"/>
          </w:rPr>
          <w:t>http://www.cesifo-group.de/portal/page/portal/ifoHome/b-publ/b2journal/30publforum/_publforum?item_link=forumindex4-07.htm</w:t>
        </w:r>
      </w:hyperlink>
      <w:r w:rsidRPr="001D0C18">
        <w:rPr>
          <w:sz w:val="16"/>
          <w:szCs w:val="16"/>
          <w:lang w:val="de-DE"/>
        </w:rPr>
        <w:t xml:space="preserve"> </w:t>
      </w:r>
    </w:p>
  </w:endnote>
  <w:endnote w:id="134">
    <w:p w:rsidR="006660F8" w:rsidRPr="001D0C18" w:rsidRDefault="006660F8" w:rsidP="002044D4">
      <w:pPr>
        <w:pStyle w:val="EndnoteText"/>
        <w:rPr>
          <w:sz w:val="16"/>
          <w:szCs w:val="16"/>
        </w:rPr>
      </w:pPr>
      <w:r w:rsidRPr="001D0C18">
        <w:rPr>
          <w:rStyle w:val="EndnoteReference"/>
          <w:sz w:val="16"/>
          <w:szCs w:val="16"/>
        </w:rPr>
        <w:endnoteRef/>
      </w:r>
      <w:r w:rsidRPr="001D0C18">
        <w:rPr>
          <w:sz w:val="16"/>
          <w:szCs w:val="16"/>
        </w:rPr>
        <w:t xml:space="preserve"> Reeves E. 2011 </w:t>
      </w:r>
      <w:r w:rsidRPr="001D0C18">
        <w:rPr>
          <w:bCs/>
          <w:sz w:val="16"/>
          <w:szCs w:val="16"/>
        </w:rPr>
        <w:t xml:space="preserve">The Only Game in Town: Public Private Partnerships in the Irish Water Services Sector </w:t>
      </w:r>
      <w:r w:rsidRPr="001D0C18">
        <w:rPr>
          <w:iCs/>
          <w:sz w:val="16"/>
          <w:szCs w:val="16"/>
        </w:rPr>
        <w:t xml:space="preserve">The Economic and Social Review, Vol. 42, No. 1, Spring, 2011, pp. 95–111 </w:t>
      </w:r>
    </w:p>
  </w:endnote>
  <w:endnote w:id="135">
    <w:p w:rsidR="006660F8" w:rsidRPr="001D0C18" w:rsidRDefault="006660F8" w:rsidP="007F3DD2">
      <w:pPr>
        <w:rPr>
          <w:sz w:val="16"/>
          <w:szCs w:val="16"/>
        </w:rPr>
      </w:pPr>
      <w:r w:rsidRPr="001D0C18">
        <w:rPr>
          <w:rStyle w:val="EndnoteReference"/>
          <w:sz w:val="16"/>
          <w:szCs w:val="16"/>
        </w:rPr>
        <w:endnoteRef/>
      </w:r>
      <w:r w:rsidRPr="001D0C18">
        <w:rPr>
          <w:sz w:val="16"/>
          <w:szCs w:val="16"/>
        </w:rPr>
        <w:t xml:space="preserve"> Friedrich P. and Reiljan J. 2007. An Economic Public Sector Comparator for Public Private Partnership and Public Real Estate Mangament. ASPE Conference St Petersburg November 2007. </w:t>
      </w:r>
      <w:hyperlink r:id="rId171" w:history="1">
        <w:r w:rsidRPr="001D0C18">
          <w:rPr>
            <w:rStyle w:val="Hyperlink"/>
            <w:sz w:val="16"/>
            <w:szCs w:val="16"/>
          </w:rPr>
          <w:t>http://eng.som.pu.ru/files/upload/research/conferences/ps_reform/2007/ASPE_Conference_Program_eng.pdf</w:t>
        </w:r>
      </w:hyperlink>
      <w:r w:rsidRPr="001D0C18">
        <w:rPr>
          <w:sz w:val="16"/>
          <w:szCs w:val="16"/>
        </w:rPr>
        <w:t xml:space="preserve"> </w:t>
      </w:r>
    </w:p>
  </w:endnote>
  <w:endnote w:id="136">
    <w:p w:rsidR="006660F8" w:rsidRPr="001D0C18" w:rsidRDefault="006660F8">
      <w:pPr>
        <w:pStyle w:val="EndnoteText"/>
        <w:rPr>
          <w:sz w:val="16"/>
          <w:szCs w:val="16"/>
        </w:rPr>
      </w:pPr>
      <w:r w:rsidRPr="001D0C18">
        <w:rPr>
          <w:rStyle w:val="EndnoteReference"/>
          <w:sz w:val="16"/>
          <w:szCs w:val="16"/>
        </w:rPr>
        <w:endnoteRef/>
      </w:r>
      <w:r w:rsidRPr="001D0C18">
        <w:rPr>
          <w:sz w:val="16"/>
          <w:szCs w:val="16"/>
        </w:rPr>
        <w:t xml:space="preserve"> New York State June 2013Private Financing of Public Infrastructure: Risks and Options for New York State . by Thomas P. DiNapoli New York State Comptroller</w:t>
      </w:r>
      <w:r>
        <w:rPr>
          <w:sz w:val="16"/>
          <w:szCs w:val="16"/>
        </w:rPr>
        <w:t xml:space="preserve"> </w:t>
      </w:r>
      <w:hyperlink r:id="rId172" w:history="1">
        <w:r w:rsidRPr="001D0C18">
          <w:rPr>
            <w:rStyle w:val="Hyperlink"/>
            <w:sz w:val="16"/>
            <w:szCs w:val="16"/>
          </w:rPr>
          <w:t>http://www.osc.state.ny.us/reports/infrastructure/p3_report_2013.pdf</w:t>
        </w:r>
      </w:hyperlink>
    </w:p>
  </w:endnote>
  <w:endnote w:id="137">
    <w:p w:rsidR="006660F8" w:rsidRPr="001D0C18" w:rsidRDefault="006660F8" w:rsidP="006B29F8">
      <w:pPr>
        <w:pStyle w:val="EndnoteText"/>
        <w:rPr>
          <w:sz w:val="16"/>
          <w:szCs w:val="16"/>
          <w:lang w:val="cs-CZ"/>
        </w:rPr>
      </w:pPr>
      <w:r w:rsidRPr="001D0C18">
        <w:rPr>
          <w:rStyle w:val="EndnoteReference"/>
          <w:sz w:val="16"/>
          <w:szCs w:val="16"/>
        </w:rPr>
        <w:endnoteRef/>
      </w:r>
      <w:r>
        <w:rPr>
          <w:sz w:val="16"/>
          <w:szCs w:val="16"/>
        </w:rPr>
        <w:t xml:space="preserve"> </w:t>
      </w:r>
      <w:r w:rsidRPr="001D0C18">
        <w:rPr>
          <w:sz w:val="16"/>
          <w:szCs w:val="16"/>
          <w:lang w:val="cs-CZ"/>
        </w:rPr>
        <w:t>Supreme Audit Office Czech Republic Report From Discussion Group 3 Audit Issues For Public Private Partnership Vi Eurosai Training Event Better Auditing of Public Aids and Subsidies Prague, 6-8 November 2006</w:t>
      </w:r>
    </w:p>
    <w:p w:rsidR="006660F8" w:rsidRPr="001D0C18" w:rsidRDefault="006660F8" w:rsidP="006B29F8">
      <w:pPr>
        <w:pStyle w:val="EndnoteText"/>
        <w:rPr>
          <w:sz w:val="16"/>
          <w:szCs w:val="16"/>
        </w:rPr>
      </w:pPr>
      <w:r>
        <w:rPr>
          <w:sz w:val="16"/>
          <w:szCs w:val="16"/>
        </w:rPr>
        <w:t xml:space="preserve"> </w:t>
      </w:r>
      <w:hyperlink r:id="rId173" w:history="1">
        <w:r w:rsidRPr="001D0C18">
          <w:rPr>
            <w:rStyle w:val="Hyperlink"/>
            <w:sz w:val="16"/>
            <w:szCs w:val="16"/>
          </w:rPr>
          <w:t>http://www.nku.cz/seminars/eurosai-prague-2006/documents/MAJER_DiscussionGroup3_Report.ppt</w:t>
        </w:r>
      </w:hyperlink>
      <w:r w:rsidRPr="001D0C18">
        <w:rPr>
          <w:sz w:val="16"/>
          <w:szCs w:val="16"/>
        </w:rPr>
        <w:t xml:space="preserve"> </w:t>
      </w:r>
    </w:p>
  </w:endnote>
  <w:endnote w:id="138">
    <w:p w:rsidR="006660F8" w:rsidRPr="001D0C18" w:rsidRDefault="006660F8" w:rsidP="006B29F8">
      <w:pPr>
        <w:pStyle w:val="EndnoteText"/>
        <w:rPr>
          <w:sz w:val="16"/>
          <w:szCs w:val="16"/>
        </w:rPr>
      </w:pPr>
      <w:r w:rsidRPr="001D0C18">
        <w:rPr>
          <w:rStyle w:val="EndnoteReference"/>
          <w:sz w:val="16"/>
          <w:szCs w:val="16"/>
        </w:rPr>
        <w:endnoteRef/>
      </w:r>
      <w:r w:rsidRPr="001D0C18">
        <w:rPr>
          <w:sz w:val="16"/>
          <w:szCs w:val="16"/>
        </w:rPr>
        <w:t xml:space="preserve"> Achieving Value for Money: Perspectives from PPP Audits. Juan Ramallo Massanet Member of the European Court of Auditors International Seminar on Strengthening Public Investment and Managing Fiscal Risks from Public-Private Partnerships March, 7-8, 2007 Session 6 </w:t>
      </w:r>
      <w:hyperlink r:id="rId174" w:history="1">
        <w:r w:rsidRPr="001D0C18">
          <w:rPr>
            <w:rStyle w:val="Hyperlink"/>
            <w:sz w:val="16"/>
            <w:szCs w:val="16"/>
          </w:rPr>
          <w:t>http://www.imf.org/external/np/seminars/eng/2007/ppp/pdf/jrm.pdf</w:t>
        </w:r>
      </w:hyperlink>
    </w:p>
  </w:endnote>
  <w:endnote w:id="139">
    <w:p w:rsidR="006660F8" w:rsidRPr="001D0C18" w:rsidRDefault="006660F8" w:rsidP="006B29F8">
      <w:pPr>
        <w:pStyle w:val="EndnoteText"/>
        <w:rPr>
          <w:sz w:val="16"/>
          <w:szCs w:val="16"/>
        </w:rPr>
      </w:pPr>
      <w:r w:rsidRPr="001D0C18">
        <w:rPr>
          <w:rStyle w:val="EndnoteReference"/>
          <w:sz w:val="16"/>
          <w:szCs w:val="16"/>
        </w:rPr>
        <w:endnoteRef/>
      </w:r>
      <w:r w:rsidRPr="001D0C18">
        <w:rPr>
          <w:sz w:val="16"/>
          <w:szCs w:val="16"/>
        </w:rPr>
        <w:t xml:space="preserve"> UK Public Accounts Committee 44th Report - Lessons from PFI and other projects HC 1201 </w:t>
      </w:r>
      <w:r w:rsidRPr="001D0C18">
        <w:rPr>
          <w:iCs/>
          <w:sz w:val="16"/>
          <w:szCs w:val="16"/>
        </w:rPr>
        <w:t>01 September 2011</w:t>
      </w:r>
      <w:r>
        <w:rPr>
          <w:iCs/>
          <w:sz w:val="16"/>
          <w:szCs w:val="16"/>
        </w:rPr>
        <w:t xml:space="preserve"> </w:t>
      </w:r>
      <w:hyperlink r:id="rId175" w:history="1">
        <w:r w:rsidRPr="001D0C18">
          <w:rPr>
            <w:rStyle w:val="Hyperlink"/>
            <w:sz w:val="16"/>
            <w:szCs w:val="16"/>
          </w:rPr>
          <w:t>http://www.publications.parliament.uk/pa/cm201012/cmselect/cmpubacc/1201/120102.htm</w:t>
        </w:r>
      </w:hyperlink>
    </w:p>
  </w:endnote>
  <w:endnote w:id="140">
    <w:p w:rsidR="006660F8" w:rsidRPr="001D0C18" w:rsidRDefault="006660F8" w:rsidP="006B29F8">
      <w:pPr>
        <w:pStyle w:val="EndnoteText"/>
        <w:rPr>
          <w:sz w:val="16"/>
          <w:szCs w:val="16"/>
        </w:rPr>
      </w:pPr>
      <w:r w:rsidRPr="001D0C18">
        <w:rPr>
          <w:rStyle w:val="EndnoteReference"/>
          <w:sz w:val="16"/>
          <w:szCs w:val="16"/>
        </w:rPr>
        <w:endnoteRef/>
      </w:r>
      <w:r w:rsidRPr="001D0C18">
        <w:rPr>
          <w:sz w:val="16"/>
          <w:szCs w:val="16"/>
        </w:rPr>
        <w:t xml:space="preserve"> UK Treasury Select Committee 17th Report - Private Finance Initiative HC 1146 </w:t>
      </w:r>
      <w:r w:rsidRPr="001D0C18">
        <w:rPr>
          <w:iCs/>
          <w:sz w:val="16"/>
          <w:szCs w:val="16"/>
        </w:rPr>
        <w:t>August 2011</w:t>
      </w:r>
      <w:r w:rsidRPr="001D0C18">
        <w:rPr>
          <w:sz w:val="16"/>
          <w:szCs w:val="16"/>
        </w:rPr>
        <w:t> </w:t>
      </w:r>
      <w:hyperlink r:id="rId176" w:history="1">
        <w:r w:rsidRPr="001D0C18">
          <w:rPr>
            <w:rStyle w:val="Hyperlink"/>
            <w:sz w:val="16"/>
            <w:szCs w:val="16"/>
          </w:rPr>
          <w:t>http://www.publications.parliament.uk/pa/cm201012/cmselect/cmtreasy/1146/114602.htm</w:t>
        </w:r>
      </w:hyperlink>
    </w:p>
  </w:endnote>
  <w:endnote w:id="141">
    <w:p w:rsidR="006660F8" w:rsidRPr="001D0C18" w:rsidRDefault="006660F8" w:rsidP="006B29F8">
      <w:pPr>
        <w:pStyle w:val="EndnoteText"/>
        <w:rPr>
          <w:sz w:val="16"/>
          <w:szCs w:val="16"/>
        </w:rPr>
      </w:pPr>
      <w:r w:rsidRPr="001D0C18">
        <w:rPr>
          <w:rStyle w:val="EndnoteReference"/>
          <w:sz w:val="16"/>
          <w:szCs w:val="16"/>
        </w:rPr>
        <w:endnoteRef/>
      </w:r>
      <w:r w:rsidRPr="001D0C18">
        <w:rPr>
          <w:sz w:val="16"/>
          <w:szCs w:val="16"/>
        </w:rPr>
        <w:t xml:space="preserve"> UK </w:t>
      </w:r>
      <w:r w:rsidRPr="001D0C18">
        <w:rPr>
          <w:bCs/>
          <w:sz w:val="16"/>
          <w:szCs w:val="16"/>
        </w:rPr>
        <w:t xml:space="preserve">National Audit Office 2011 </w:t>
      </w:r>
      <w:r w:rsidRPr="001D0C18">
        <w:rPr>
          <w:sz w:val="16"/>
          <w:szCs w:val="16"/>
        </w:rPr>
        <w:t xml:space="preserve">Lessons from PFI and other projects: summary of the five PFI reports April 2011 </w:t>
      </w:r>
      <w:hyperlink r:id="rId177" w:history="1">
        <w:r w:rsidRPr="001D0C18">
          <w:rPr>
            <w:rStyle w:val="Hyperlink"/>
            <w:sz w:val="16"/>
            <w:szCs w:val="16"/>
          </w:rPr>
          <w:t>http://www.nao.org.uk/publications/1012/lessons_from_pfi.aspx</w:t>
        </w:r>
      </w:hyperlink>
    </w:p>
  </w:endnote>
  <w:endnote w:id="142">
    <w:p w:rsidR="006660F8" w:rsidRPr="001D0C18" w:rsidRDefault="006660F8" w:rsidP="006B29F8">
      <w:pPr>
        <w:pStyle w:val="EndnoteText"/>
        <w:rPr>
          <w:sz w:val="16"/>
          <w:szCs w:val="16"/>
        </w:rPr>
      </w:pPr>
      <w:r w:rsidRPr="001D0C18">
        <w:rPr>
          <w:rStyle w:val="EndnoteReference"/>
          <w:sz w:val="16"/>
          <w:szCs w:val="16"/>
        </w:rPr>
        <w:endnoteRef/>
      </w:r>
      <w:r w:rsidRPr="001D0C18">
        <w:rPr>
          <w:sz w:val="16"/>
          <w:szCs w:val="16"/>
        </w:rPr>
        <w:t xml:space="preserve"> UK Public Accounts Committee 44th Report - Lessons from PFI and other projects HC 1201 </w:t>
      </w:r>
      <w:r w:rsidRPr="001D0C18">
        <w:rPr>
          <w:iCs/>
          <w:sz w:val="16"/>
          <w:szCs w:val="16"/>
        </w:rPr>
        <w:t>01 September 2011</w:t>
      </w:r>
      <w:r>
        <w:rPr>
          <w:iCs/>
          <w:sz w:val="16"/>
          <w:szCs w:val="16"/>
        </w:rPr>
        <w:t xml:space="preserve"> </w:t>
      </w:r>
      <w:hyperlink r:id="rId178" w:history="1">
        <w:r w:rsidRPr="001D0C18">
          <w:rPr>
            <w:rStyle w:val="Hyperlink"/>
            <w:sz w:val="16"/>
            <w:szCs w:val="16"/>
          </w:rPr>
          <w:t>http://www.publications.parliament.uk/pa/cm201012/cmselect/cmpubacc/1201/120102.htm</w:t>
        </w:r>
      </w:hyperlink>
    </w:p>
  </w:endnote>
  <w:endnote w:id="143">
    <w:p w:rsidR="006660F8" w:rsidRPr="001D0C18" w:rsidRDefault="006660F8" w:rsidP="009F228C">
      <w:pPr>
        <w:rPr>
          <w:sz w:val="16"/>
          <w:szCs w:val="16"/>
        </w:rPr>
      </w:pPr>
      <w:r w:rsidRPr="001D0C18">
        <w:rPr>
          <w:rStyle w:val="EndnoteReference"/>
          <w:b/>
          <w:sz w:val="16"/>
          <w:szCs w:val="16"/>
        </w:rPr>
        <w:endnoteRef/>
      </w:r>
      <w:r w:rsidRPr="001D0C18">
        <w:rPr>
          <w:sz w:val="16"/>
          <w:szCs w:val="16"/>
        </w:rPr>
        <w:t xml:space="preserve"> OECD 2008. Public-private partnerships: In pursuit of risk sharing and value-for-money. GOV/PGC/SBO(2008) 3.2.1 Box 7 – Efficiency gains and differences in public and private sector interest rates</w:t>
      </w:r>
    </w:p>
  </w:endnote>
  <w:endnote w:id="144">
    <w:p w:rsidR="006660F8" w:rsidRPr="001D0C18" w:rsidRDefault="006660F8" w:rsidP="009F228C">
      <w:pPr>
        <w:pStyle w:val="EndnoteText"/>
        <w:rPr>
          <w:sz w:val="16"/>
          <w:szCs w:val="16"/>
        </w:rPr>
      </w:pPr>
      <w:r w:rsidRPr="001D0C18">
        <w:rPr>
          <w:rStyle w:val="EndnoteReference"/>
          <w:sz w:val="16"/>
          <w:szCs w:val="16"/>
        </w:rPr>
        <w:endnoteRef/>
      </w:r>
      <w:r w:rsidRPr="001D0C18">
        <w:rPr>
          <w:sz w:val="16"/>
          <w:szCs w:val="16"/>
        </w:rPr>
        <w:t xml:space="preserve"> </w:t>
      </w:r>
      <w:r w:rsidRPr="001D0C18">
        <w:rPr>
          <w:rFonts w:eastAsia="SimSun"/>
          <w:sz w:val="16"/>
          <w:szCs w:val="16"/>
        </w:rPr>
        <w:t xml:space="preserve">International Monetary 2004 Fund Public-Private Partnerships March 12, 2004 </w:t>
      </w:r>
      <w:r w:rsidRPr="001D0C18">
        <w:rPr>
          <w:sz w:val="16"/>
          <w:szCs w:val="16"/>
        </w:rPr>
        <w:t xml:space="preserve">para 22 </w:t>
      </w:r>
      <w:hyperlink r:id="rId179" w:history="1">
        <w:r w:rsidRPr="001D0C18">
          <w:rPr>
            <w:rStyle w:val="Hyperlink"/>
            <w:rFonts w:eastAsia="SimSun"/>
            <w:sz w:val="16"/>
            <w:szCs w:val="16"/>
          </w:rPr>
          <w:t>http://www.imf.org/external/np/fad/2004/pifp/eng/031204.htm</w:t>
        </w:r>
      </w:hyperlink>
    </w:p>
  </w:endnote>
  <w:endnote w:id="145">
    <w:p w:rsidR="006660F8" w:rsidRPr="001D0C18" w:rsidRDefault="006660F8" w:rsidP="009F228C">
      <w:pPr>
        <w:pStyle w:val="EndnoteText"/>
        <w:rPr>
          <w:sz w:val="16"/>
          <w:szCs w:val="16"/>
        </w:rPr>
      </w:pPr>
      <w:r w:rsidRPr="001D0C18">
        <w:rPr>
          <w:rStyle w:val="EndnoteReference"/>
          <w:sz w:val="16"/>
          <w:szCs w:val="16"/>
        </w:rPr>
        <w:endnoteRef/>
      </w:r>
      <w:r w:rsidRPr="001D0C18">
        <w:rPr>
          <w:sz w:val="16"/>
          <w:szCs w:val="16"/>
        </w:rPr>
        <w:t xml:space="preserve"> Financial Times, 12 June 2008-06-19 </w:t>
      </w:r>
    </w:p>
  </w:endnote>
  <w:endnote w:id="146">
    <w:p w:rsidR="006660F8" w:rsidRPr="001D0C18" w:rsidRDefault="006660F8" w:rsidP="009F228C">
      <w:pPr>
        <w:rPr>
          <w:sz w:val="16"/>
          <w:szCs w:val="16"/>
        </w:rPr>
      </w:pPr>
      <w:r w:rsidRPr="001D0C18">
        <w:rPr>
          <w:rStyle w:val="EndnoteReference"/>
          <w:sz w:val="16"/>
          <w:szCs w:val="16"/>
        </w:rPr>
        <w:endnoteRef/>
      </w:r>
      <w:r w:rsidRPr="001D0C18">
        <w:rPr>
          <w:sz w:val="16"/>
          <w:szCs w:val="16"/>
        </w:rPr>
        <w:t xml:space="preserve"> FT April 11, 2013 Bond investors show generous side </w:t>
      </w:r>
      <w:hyperlink r:id="rId180" w:anchor="axzz2QR1l40uZ" w:history="1">
        <w:r w:rsidRPr="001D0C18">
          <w:rPr>
            <w:rStyle w:val="Hyperlink"/>
            <w:sz w:val="16"/>
            <w:szCs w:val="16"/>
          </w:rPr>
          <w:t>http://www.ft.com/cms/s/0/2aef3e0a-a2cb-11e2-bd45-00144feabdc0.html#axzz2QR1l40uZ</w:t>
        </w:r>
      </w:hyperlink>
      <w:r w:rsidRPr="001D0C18">
        <w:rPr>
          <w:sz w:val="16"/>
          <w:szCs w:val="16"/>
        </w:rPr>
        <w:t xml:space="preserve"> ; FT April 9, 2013 Global Insight: Weak economy adds to Hollande’s headache </w:t>
      </w:r>
      <w:hyperlink r:id="rId181" w:anchor="axzz2QR1l40uZ" w:history="1">
        <w:r w:rsidRPr="001D0C18">
          <w:rPr>
            <w:rStyle w:val="Hyperlink"/>
            <w:sz w:val="16"/>
            <w:szCs w:val="16"/>
          </w:rPr>
          <w:t>http://www.ft.com/cms/s/0/fad6b776-a116-11e2-990c-00144feabdc0.html#axzz2QR1l40uZ</w:t>
        </w:r>
      </w:hyperlink>
      <w:r w:rsidRPr="001D0C18">
        <w:rPr>
          <w:sz w:val="16"/>
          <w:szCs w:val="16"/>
        </w:rPr>
        <w:t xml:space="preserve"> ; FT April 8, 2013 Japan’s yield hunters seek European debt</w:t>
      </w:r>
      <w:r>
        <w:rPr>
          <w:sz w:val="16"/>
          <w:szCs w:val="16"/>
        </w:rPr>
        <w:t xml:space="preserve"> </w:t>
      </w:r>
      <w:hyperlink r:id="rId182" w:anchor="axzz2QR1l40uZ" w:history="1">
        <w:r w:rsidRPr="001D0C18">
          <w:rPr>
            <w:rStyle w:val="Hyperlink"/>
            <w:sz w:val="16"/>
            <w:szCs w:val="16"/>
          </w:rPr>
          <w:t>http://www.ft.com/cms/s/0/b5a2046e-a042-11e2-a6e1-00144feabdc0.html#axzz2QR1l40uZ</w:t>
        </w:r>
      </w:hyperlink>
    </w:p>
  </w:endnote>
  <w:endnote w:id="147">
    <w:p w:rsidR="006660F8" w:rsidRPr="001D0C18" w:rsidRDefault="006660F8" w:rsidP="009F228C">
      <w:pPr>
        <w:pStyle w:val="EndnoteText"/>
        <w:rPr>
          <w:sz w:val="16"/>
          <w:szCs w:val="16"/>
        </w:rPr>
      </w:pPr>
      <w:r w:rsidRPr="001D0C18">
        <w:rPr>
          <w:rStyle w:val="EndnoteReference"/>
          <w:sz w:val="16"/>
          <w:szCs w:val="16"/>
        </w:rPr>
        <w:endnoteRef/>
      </w:r>
      <w:r w:rsidRPr="001D0C18">
        <w:rPr>
          <w:sz w:val="16"/>
          <w:szCs w:val="16"/>
        </w:rPr>
        <w:t xml:space="preserve"> Treasury Select C</w:t>
      </w:r>
      <w:r>
        <w:rPr>
          <w:sz w:val="16"/>
          <w:szCs w:val="16"/>
        </w:rPr>
        <w:t>ommi</w:t>
      </w:r>
      <w:r w:rsidRPr="001D0C18">
        <w:rPr>
          <w:sz w:val="16"/>
          <w:szCs w:val="16"/>
        </w:rPr>
        <w:t xml:space="preserve">ttee 17th Rep: Private Finance Initiative HC1146 </w:t>
      </w:r>
      <w:r w:rsidRPr="001D0C18">
        <w:rPr>
          <w:iCs/>
          <w:sz w:val="16"/>
          <w:szCs w:val="16"/>
        </w:rPr>
        <w:t>August 2011</w:t>
      </w:r>
      <w:r w:rsidRPr="001D0C18">
        <w:rPr>
          <w:sz w:val="16"/>
          <w:szCs w:val="16"/>
        </w:rPr>
        <w:t> </w:t>
      </w:r>
      <w:hyperlink r:id="rId183" w:history="1">
        <w:r w:rsidRPr="001D0C18">
          <w:rPr>
            <w:rStyle w:val="Hyperlink"/>
            <w:sz w:val="16"/>
            <w:szCs w:val="16"/>
          </w:rPr>
          <w:t>http://www.publications.parliament.uk/pa/cm201012/cmselect/cmtreasy/1146/114602.htm</w:t>
        </w:r>
      </w:hyperlink>
    </w:p>
  </w:endnote>
  <w:endnote w:id="148">
    <w:p w:rsidR="006660F8" w:rsidRPr="001D0C18" w:rsidRDefault="006660F8" w:rsidP="009F228C">
      <w:pPr>
        <w:pStyle w:val="EndnoteText"/>
        <w:rPr>
          <w:sz w:val="16"/>
          <w:szCs w:val="16"/>
        </w:rPr>
      </w:pPr>
      <w:r w:rsidRPr="001D0C18">
        <w:rPr>
          <w:rStyle w:val="EndnoteReference"/>
          <w:sz w:val="16"/>
          <w:szCs w:val="16"/>
        </w:rPr>
        <w:endnoteRef/>
      </w:r>
      <w:r w:rsidRPr="001D0C18">
        <w:rPr>
          <w:sz w:val="16"/>
          <w:szCs w:val="16"/>
        </w:rPr>
        <w:t xml:space="preserve"> UK Treasury Select Committee 17th Report - Private Finance Initiative HC 1146 </w:t>
      </w:r>
      <w:r w:rsidRPr="001D0C18">
        <w:rPr>
          <w:iCs/>
          <w:sz w:val="16"/>
          <w:szCs w:val="16"/>
        </w:rPr>
        <w:t>August 2011</w:t>
      </w:r>
      <w:r w:rsidRPr="001D0C18">
        <w:rPr>
          <w:sz w:val="16"/>
          <w:szCs w:val="16"/>
        </w:rPr>
        <w:t> </w:t>
      </w:r>
      <w:hyperlink r:id="rId184" w:history="1">
        <w:r w:rsidRPr="001D0C18">
          <w:rPr>
            <w:rStyle w:val="Hyperlink"/>
            <w:sz w:val="16"/>
            <w:szCs w:val="16"/>
          </w:rPr>
          <w:t>http://www.publications.parliament.uk/pa/cm201012/cmselect/cmtreasy/1146/114602.htm</w:t>
        </w:r>
      </w:hyperlink>
    </w:p>
  </w:endnote>
  <w:endnote w:id="149">
    <w:p w:rsidR="006660F8" w:rsidRPr="001D0C18" w:rsidRDefault="006660F8" w:rsidP="00993CB2">
      <w:pPr>
        <w:pStyle w:val="EndnoteText"/>
        <w:rPr>
          <w:sz w:val="16"/>
          <w:szCs w:val="16"/>
        </w:rPr>
      </w:pPr>
      <w:r w:rsidRPr="001D0C18">
        <w:rPr>
          <w:rStyle w:val="EndnoteReference"/>
          <w:sz w:val="16"/>
          <w:szCs w:val="16"/>
        </w:rPr>
        <w:endnoteRef/>
      </w:r>
      <w:r w:rsidRPr="001D0C18">
        <w:rPr>
          <w:sz w:val="16"/>
          <w:szCs w:val="16"/>
        </w:rPr>
        <w:t xml:space="preserve"> UK Treasury Select Committee 17th Report - Private Finance Initiative HC 1146 </w:t>
      </w:r>
      <w:r w:rsidRPr="001D0C18">
        <w:rPr>
          <w:iCs/>
          <w:sz w:val="16"/>
          <w:szCs w:val="16"/>
        </w:rPr>
        <w:t>August 2011</w:t>
      </w:r>
      <w:r w:rsidRPr="001D0C18">
        <w:rPr>
          <w:sz w:val="16"/>
          <w:szCs w:val="16"/>
        </w:rPr>
        <w:t> </w:t>
      </w:r>
      <w:hyperlink r:id="rId185" w:history="1">
        <w:r w:rsidRPr="001D0C18">
          <w:rPr>
            <w:rStyle w:val="Hyperlink"/>
            <w:sz w:val="16"/>
            <w:szCs w:val="16"/>
          </w:rPr>
          <w:t>http://www.publications.parliament.uk/pa/cm201012/cmselect/cmtreasy/1146/114602.htm</w:t>
        </w:r>
      </w:hyperlink>
    </w:p>
  </w:endnote>
  <w:endnote w:id="150">
    <w:p w:rsidR="006660F8" w:rsidRPr="001D0C18" w:rsidRDefault="006660F8" w:rsidP="009F228C">
      <w:pPr>
        <w:pStyle w:val="EndnoteText"/>
        <w:rPr>
          <w:sz w:val="16"/>
          <w:szCs w:val="16"/>
        </w:rPr>
      </w:pPr>
      <w:r w:rsidRPr="001D0C18">
        <w:rPr>
          <w:rStyle w:val="EndnoteReference"/>
          <w:sz w:val="16"/>
          <w:szCs w:val="16"/>
        </w:rPr>
        <w:endnoteRef/>
      </w:r>
      <w:r w:rsidRPr="001D0C18">
        <w:rPr>
          <w:sz w:val="16"/>
          <w:szCs w:val="16"/>
        </w:rPr>
        <w:t xml:space="preserve"> Borrowing Trouble 2013 Food and Water Watch</w:t>
      </w:r>
      <w:r>
        <w:rPr>
          <w:sz w:val="16"/>
          <w:szCs w:val="16"/>
        </w:rPr>
        <w:t xml:space="preserve"> </w:t>
      </w:r>
      <w:hyperlink r:id="rId186" w:history="1">
        <w:r w:rsidRPr="001D0C18">
          <w:rPr>
            <w:rStyle w:val="Hyperlink"/>
            <w:sz w:val="16"/>
            <w:szCs w:val="16"/>
          </w:rPr>
          <w:t>http://www.foodandwaterwatch.org/reports/borrowing-trouble-water-privatization-is-a-false-solution-for-municipal-budget-shortfalls/</w:t>
        </w:r>
      </w:hyperlink>
    </w:p>
  </w:endnote>
  <w:endnote w:id="151">
    <w:p w:rsidR="006660F8" w:rsidRPr="001D0C18" w:rsidRDefault="006660F8" w:rsidP="005E2720">
      <w:pPr>
        <w:rPr>
          <w:sz w:val="16"/>
          <w:szCs w:val="16"/>
        </w:rPr>
      </w:pPr>
      <w:r w:rsidRPr="001D0C18">
        <w:rPr>
          <w:rStyle w:val="EndnoteReference"/>
          <w:sz w:val="16"/>
          <w:szCs w:val="16"/>
        </w:rPr>
        <w:endnoteRef/>
      </w:r>
      <w:r w:rsidRPr="001D0C18">
        <w:rPr>
          <w:sz w:val="16"/>
          <w:szCs w:val="16"/>
        </w:rPr>
        <w:t xml:space="preserve"> </w:t>
      </w:r>
      <w:hyperlink r:id="rId187" w:history="1">
        <w:r w:rsidRPr="001D0C18">
          <w:rPr>
            <w:rStyle w:val="Hyperlink"/>
            <w:sz w:val="16"/>
            <w:szCs w:val="16"/>
          </w:rPr>
          <w:t>https://www.alaskadispatch.com/article/20131218/parnell-wants-abandon-public-private-partnership-let-state-build-knik-arm-crossing</w:t>
        </w:r>
      </w:hyperlink>
      <w:r w:rsidRPr="001D0C18">
        <w:rPr>
          <w:sz w:val="16"/>
          <w:szCs w:val="16"/>
        </w:rPr>
        <w:t xml:space="preserve"> ; Anchorage Daily News 21 Dec 2013 Alaska Gov. Seeks to Abandon P3 for $2.5B Bridge Project, Switch to Public Funding </w:t>
      </w:r>
      <w:hyperlink r:id="rId188" w:history="1">
        <w:r w:rsidRPr="001D0C18">
          <w:rPr>
            <w:rStyle w:val="Hyperlink"/>
            <w:sz w:val="16"/>
            <w:szCs w:val="16"/>
          </w:rPr>
          <w:t>http://enr.construction.com/yb/enr/article.aspx?story_id=193523370</w:t>
        </w:r>
      </w:hyperlink>
    </w:p>
  </w:endnote>
  <w:endnote w:id="152">
    <w:p w:rsidR="006660F8" w:rsidRPr="001D0C18" w:rsidRDefault="006660F8" w:rsidP="00755BB4">
      <w:pPr>
        <w:rPr>
          <w:sz w:val="16"/>
          <w:szCs w:val="16"/>
        </w:rPr>
      </w:pPr>
      <w:r w:rsidRPr="001D0C18">
        <w:rPr>
          <w:rStyle w:val="EndnoteReference"/>
          <w:sz w:val="16"/>
          <w:szCs w:val="16"/>
        </w:rPr>
        <w:endnoteRef/>
      </w:r>
      <w:r w:rsidRPr="001D0C18">
        <w:rPr>
          <w:sz w:val="16"/>
          <w:szCs w:val="16"/>
        </w:rPr>
        <w:t xml:space="preserve"> MARK HELLOWELL AND VERONICA VECCHI 2012</w:t>
      </w:r>
      <w:r>
        <w:rPr>
          <w:sz w:val="16"/>
          <w:szCs w:val="16"/>
        </w:rPr>
        <w:t xml:space="preserve"> </w:t>
      </w:r>
      <w:r w:rsidRPr="001D0C18">
        <w:rPr>
          <w:sz w:val="16"/>
          <w:szCs w:val="16"/>
        </w:rPr>
        <w:t>An Evaluation of the Projected</w:t>
      </w:r>
    </w:p>
    <w:p w:rsidR="006660F8" w:rsidRPr="001D0C18" w:rsidRDefault="006660F8" w:rsidP="00755BB4">
      <w:pPr>
        <w:rPr>
          <w:sz w:val="16"/>
          <w:szCs w:val="16"/>
        </w:rPr>
      </w:pPr>
      <w:r w:rsidRPr="001D0C18">
        <w:rPr>
          <w:sz w:val="16"/>
          <w:szCs w:val="16"/>
        </w:rPr>
        <w:t xml:space="preserve">Returns to Investors on 10 PFI Projects Commissioned by the National Health Service </w:t>
      </w:r>
      <w:r w:rsidRPr="001D0C18">
        <w:rPr>
          <w:i/>
          <w:iCs/>
          <w:sz w:val="16"/>
          <w:szCs w:val="16"/>
        </w:rPr>
        <w:t>Financial Accountability &amp; Management</w:t>
      </w:r>
      <w:r w:rsidRPr="001D0C18">
        <w:rPr>
          <w:sz w:val="16"/>
          <w:szCs w:val="16"/>
        </w:rPr>
        <w:t>, 28(1), February 2012, 0267-4424</w:t>
      </w:r>
      <w:r w:rsidRPr="001D0C18">
        <w:rPr>
          <w:rFonts w:ascii="Cambria Math" w:eastAsia="MTSY" w:hAnsi="Cambria Math" w:cs="Cambria Math"/>
          <w:sz w:val="16"/>
          <w:szCs w:val="16"/>
        </w:rPr>
        <w:t>∗</w:t>
      </w:r>
    </w:p>
  </w:endnote>
  <w:endnote w:id="153">
    <w:p w:rsidR="006660F8" w:rsidRPr="001D0C18" w:rsidRDefault="006660F8" w:rsidP="00993CB2">
      <w:pPr>
        <w:pStyle w:val="EndnoteText"/>
        <w:rPr>
          <w:sz w:val="16"/>
          <w:szCs w:val="16"/>
        </w:rPr>
      </w:pPr>
      <w:r w:rsidRPr="001D0C18">
        <w:rPr>
          <w:rStyle w:val="EndnoteReference"/>
          <w:sz w:val="16"/>
          <w:szCs w:val="16"/>
        </w:rPr>
        <w:endnoteRef/>
      </w:r>
      <w:r w:rsidRPr="001D0C18">
        <w:rPr>
          <w:sz w:val="16"/>
          <w:szCs w:val="16"/>
        </w:rPr>
        <w:t xml:space="preserve"> UK Public Accounts Committee 44th Report - Lessons from PFI and other projects HC 1201 </w:t>
      </w:r>
      <w:r w:rsidRPr="001D0C18">
        <w:rPr>
          <w:iCs/>
          <w:sz w:val="16"/>
          <w:szCs w:val="16"/>
        </w:rPr>
        <w:t>01 September 2011</w:t>
      </w:r>
      <w:r>
        <w:rPr>
          <w:iCs/>
          <w:sz w:val="16"/>
          <w:szCs w:val="16"/>
        </w:rPr>
        <w:t xml:space="preserve"> </w:t>
      </w:r>
      <w:hyperlink r:id="rId189" w:history="1">
        <w:r w:rsidRPr="001D0C18">
          <w:rPr>
            <w:rStyle w:val="Hyperlink"/>
            <w:sz w:val="16"/>
            <w:szCs w:val="16"/>
          </w:rPr>
          <w:t>http://www.publications.parliament.uk/pa/cm201012/cmselect/cmpubacc/1201/120102.htm</w:t>
        </w:r>
      </w:hyperlink>
    </w:p>
  </w:endnote>
  <w:endnote w:id="154">
    <w:p w:rsidR="006660F8" w:rsidRPr="001D0C18" w:rsidRDefault="006660F8" w:rsidP="0087510F">
      <w:pPr>
        <w:jc w:val="both"/>
        <w:rPr>
          <w:sz w:val="16"/>
          <w:szCs w:val="16"/>
        </w:rPr>
      </w:pPr>
      <w:r w:rsidRPr="001D0C18">
        <w:rPr>
          <w:rStyle w:val="EndnoteReference"/>
          <w:sz w:val="16"/>
          <w:szCs w:val="16"/>
        </w:rPr>
        <w:endnoteRef/>
      </w:r>
      <w:r w:rsidRPr="001D0C18">
        <w:rPr>
          <w:sz w:val="16"/>
          <w:szCs w:val="16"/>
        </w:rPr>
        <w:t xml:space="preserve"> Evaluation of PPP projects Financed by the EIB. EIB March 2005</w:t>
      </w:r>
    </w:p>
  </w:endnote>
  <w:endnote w:id="155">
    <w:p w:rsidR="006660F8" w:rsidRPr="001D0C18" w:rsidRDefault="006660F8" w:rsidP="0087510F">
      <w:pPr>
        <w:autoSpaceDE w:val="0"/>
        <w:autoSpaceDN w:val="0"/>
        <w:adjustRightInd w:val="0"/>
        <w:rPr>
          <w:sz w:val="16"/>
          <w:szCs w:val="16"/>
        </w:rPr>
      </w:pPr>
      <w:r w:rsidRPr="001D0C18">
        <w:rPr>
          <w:rStyle w:val="EndnoteReference"/>
          <w:sz w:val="16"/>
          <w:szCs w:val="16"/>
        </w:rPr>
        <w:endnoteRef/>
      </w:r>
      <w:r w:rsidRPr="001D0C18">
        <w:rPr>
          <w:sz w:val="16"/>
          <w:szCs w:val="16"/>
        </w:rPr>
        <w:t xml:space="preserve"> EIB Economic and Financial Report 2006/01 EX ANTE CONSTRUCTION COSTS IN THE EUROPEAN ROAD SECTOR: A COMPARISON OF PUBLIC-PRIVATE PARTNERSHIPS AND TRADITIONAL PUBLIC PROCUREMENT Frédéric Blanc-Brude, Hugh Goldsmith and Timo Välilä* † </w:t>
      </w:r>
      <w:hyperlink r:id="rId190" w:history="1">
        <w:r w:rsidRPr="001D0C18">
          <w:rPr>
            <w:rStyle w:val="Hyperlink"/>
            <w:bCs/>
            <w:sz w:val="16"/>
            <w:szCs w:val="16"/>
          </w:rPr>
          <w:t>http://www.eib.org/attachments/efs/efr06n01.pdf</w:t>
        </w:r>
      </w:hyperlink>
      <w:r w:rsidRPr="001D0C18">
        <w:rPr>
          <w:sz w:val="16"/>
          <w:szCs w:val="16"/>
        </w:rPr>
        <w:t xml:space="preserve"> </w:t>
      </w:r>
    </w:p>
  </w:endnote>
  <w:endnote w:id="156">
    <w:p w:rsidR="006660F8" w:rsidRPr="001D0C18" w:rsidRDefault="006660F8" w:rsidP="0087510F">
      <w:pPr>
        <w:pStyle w:val="EndnoteText"/>
        <w:rPr>
          <w:sz w:val="16"/>
          <w:szCs w:val="16"/>
        </w:rPr>
      </w:pPr>
      <w:r w:rsidRPr="001D0C18">
        <w:rPr>
          <w:rStyle w:val="EndnoteReference"/>
          <w:sz w:val="16"/>
          <w:szCs w:val="16"/>
        </w:rPr>
        <w:endnoteRef/>
      </w:r>
      <w:r w:rsidRPr="001D0C18">
        <w:rPr>
          <w:sz w:val="16"/>
          <w:szCs w:val="16"/>
        </w:rPr>
        <w:t xml:space="preserve"> Polska Gazeta Transportowa June 9, 2008 Monday Poland: Delays expected in A1 motorway project; Polish News Bulletin April 5, 2007 Thursday GTC Plans to Sue Transport Ministry</w:t>
      </w:r>
    </w:p>
  </w:endnote>
  <w:endnote w:id="157">
    <w:p w:rsidR="006660F8" w:rsidRPr="001D0C18" w:rsidRDefault="006660F8" w:rsidP="0087510F">
      <w:pPr>
        <w:jc w:val="both"/>
        <w:rPr>
          <w:sz w:val="16"/>
          <w:szCs w:val="16"/>
        </w:rPr>
      </w:pPr>
      <w:r w:rsidRPr="001D0C18">
        <w:rPr>
          <w:rStyle w:val="EndnoteReference"/>
          <w:sz w:val="16"/>
          <w:szCs w:val="16"/>
        </w:rPr>
        <w:endnoteRef/>
      </w:r>
      <w:r w:rsidRPr="001D0C18">
        <w:rPr>
          <w:sz w:val="16"/>
          <w:szCs w:val="16"/>
        </w:rPr>
        <w:t xml:space="preserve"> Evaluation of PPP projects Financed by the EIB. EIB March 2005</w:t>
      </w:r>
    </w:p>
  </w:endnote>
  <w:endnote w:id="158">
    <w:p w:rsidR="006660F8" w:rsidRPr="001D0C18" w:rsidRDefault="006660F8" w:rsidP="0087510F">
      <w:pPr>
        <w:rPr>
          <w:sz w:val="16"/>
          <w:szCs w:val="16"/>
        </w:rPr>
      </w:pPr>
      <w:r w:rsidRPr="001D0C18">
        <w:rPr>
          <w:rStyle w:val="EndnoteReference"/>
          <w:sz w:val="16"/>
          <w:szCs w:val="16"/>
        </w:rPr>
        <w:endnoteRef/>
      </w:r>
      <w:r w:rsidRPr="001D0C18">
        <w:rPr>
          <w:sz w:val="16"/>
          <w:szCs w:val="16"/>
        </w:rPr>
        <w:t xml:space="preserve"> FIDIC Turnkey Contract First Edition 1999 </w:t>
      </w:r>
      <w:hyperlink r:id="rId191" w:history="1">
        <w:r w:rsidRPr="001D0C18">
          <w:rPr>
            <w:rStyle w:val="Hyperlink"/>
            <w:sz w:val="16"/>
            <w:szCs w:val="16"/>
          </w:rPr>
          <w:t>http://www1.fidic.org/resources/contracts/describe/FC-QB-A-AA-10.asp?back=/bookshop/prod_page.asp&amp;ProductCode=FC-QB-A-AA-09&amp;price=30</w:t>
        </w:r>
      </w:hyperlink>
      <w:r w:rsidRPr="001D0C18">
        <w:rPr>
          <w:sz w:val="16"/>
          <w:szCs w:val="16"/>
        </w:rPr>
        <w:t xml:space="preserve"> .</w:t>
      </w:r>
    </w:p>
  </w:endnote>
  <w:endnote w:id="159">
    <w:p w:rsidR="006660F8" w:rsidRPr="001D0C18" w:rsidRDefault="006660F8" w:rsidP="0087510F">
      <w:pPr>
        <w:pStyle w:val="EndnoteText"/>
        <w:rPr>
          <w:sz w:val="16"/>
          <w:szCs w:val="16"/>
        </w:rPr>
      </w:pPr>
      <w:r w:rsidRPr="001D0C18">
        <w:rPr>
          <w:rStyle w:val="EndnoteReference"/>
          <w:sz w:val="16"/>
          <w:szCs w:val="16"/>
        </w:rPr>
        <w:endnoteRef/>
      </w:r>
      <w:r w:rsidRPr="001D0C18">
        <w:rPr>
          <w:sz w:val="16"/>
          <w:szCs w:val="16"/>
        </w:rPr>
        <w:t xml:space="preserve"> UK Treasury Select Committee 17th Report - Private Finance Initiative HC 1146 August 2011 </w:t>
      </w:r>
      <w:hyperlink r:id="rId192" w:history="1">
        <w:r w:rsidRPr="001D0C18">
          <w:rPr>
            <w:rStyle w:val="Hyperlink"/>
            <w:sz w:val="16"/>
            <w:szCs w:val="16"/>
          </w:rPr>
          <w:t>http://www.publications.parliament.uk/pa/cm201012/cmselect/cmtreasy/1146/114602.htm</w:t>
        </w:r>
      </w:hyperlink>
      <w:r w:rsidRPr="001D0C18">
        <w:rPr>
          <w:sz w:val="16"/>
          <w:szCs w:val="16"/>
        </w:rPr>
        <w:t xml:space="preserve"> </w:t>
      </w:r>
    </w:p>
  </w:endnote>
  <w:endnote w:id="160">
    <w:p w:rsidR="006660F8" w:rsidRPr="001D0C18" w:rsidRDefault="006660F8" w:rsidP="0087510F">
      <w:pPr>
        <w:pStyle w:val="EndnoteText"/>
        <w:rPr>
          <w:sz w:val="16"/>
          <w:szCs w:val="16"/>
        </w:rPr>
      </w:pPr>
      <w:r w:rsidRPr="001D0C18">
        <w:rPr>
          <w:rStyle w:val="EndnoteReference"/>
          <w:sz w:val="16"/>
          <w:szCs w:val="16"/>
        </w:rPr>
        <w:endnoteRef/>
      </w:r>
      <w:r w:rsidRPr="001D0C18">
        <w:rPr>
          <w:sz w:val="16"/>
          <w:szCs w:val="16"/>
        </w:rPr>
        <w:t xml:space="preserve"> UK Treasury Select Committee 17th Report - Private Finance Initiative HC 1146 August 2011 </w:t>
      </w:r>
      <w:hyperlink r:id="rId193" w:history="1">
        <w:r w:rsidRPr="001D0C18">
          <w:rPr>
            <w:rStyle w:val="Hyperlink"/>
            <w:sz w:val="16"/>
            <w:szCs w:val="16"/>
          </w:rPr>
          <w:t>http://www.publications.parliament.uk/pa/cm201012/cmselect/cmtreasy/1146/114602.htm</w:t>
        </w:r>
      </w:hyperlink>
      <w:r w:rsidRPr="001D0C18">
        <w:rPr>
          <w:sz w:val="16"/>
          <w:szCs w:val="16"/>
        </w:rPr>
        <w:t xml:space="preserve"> </w:t>
      </w:r>
    </w:p>
  </w:endnote>
  <w:endnote w:id="161">
    <w:p w:rsidR="006660F8" w:rsidRPr="001D0C18" w:rsidRDefault="006660F8" w:rsidP="0087510F">
      <w:pPr>
        <w:pStyle w:val="EndnoteText"/>
        <w:rPr>
          <w:sz w:val="16"/>
          <w:szCs w:val="16"/>
          <w:lang w:val="fr-FR"/>
        </w:rPr>
      </w:pPr>
      <w:r w:rsidRPr="001D0C18">
        <w:rPr>
          <w:rStyle w:val="EndnoteReference"/>
          <w:sz w:val="16"/>
          <w:szCs w:val="16"/>
        </w:rPr>
        <w:endnoteRef/>
      </w:r>
      <w:r>
        <w:rPr>
          <w:sz w:val="16"/>
          <w:szCs w:val="16"/>
          <w:lang w:val="fr-FR"/>
        </w:rPr>
        <w:t xml:space="preserve"> </w:t>
      </w:r>
      <w:r w:rsidRPr="001D0C18">
        <w:rPr>
          <w:sz w:val="16"/>
          <w:szCs w:val="16"/>
          <w:lang w:val="fr-FR"/>
        </w:rPr>
        <w:t>Estache et al (2005), p.6 (see bibliography)</w:t>
      </w:r>
    </w:p>
  </w:endnote>
  <w:endnote w:id="162">
    <w:p w:rsidR="006660F8" w:rsidRPr="001D0C18" w:rsidRDefault="006660F8" w:rsidP="0087510F">
      <w:pPr>
        <w:autoSpaceDE w:val="0"/>
        <w:autoSpaceDN w:val="0"/>
        <w:adjustRightInd w:val="0"/>
        <w:rPr>
          <w:sz w:val="16"/>
          <w:szCs w:val="16"/>
        </w:rPr>
      </w:pPr>
      <w:r w:rsidRPr="001D0C18">
        <w:rPr>
          <w:rStyle w:val="EndnoteReference"/>
          <w:sz w:val="16"/>
          <w:szCs w:val="16"/>
        </w:rPr>
        <w:endnoteRef/>
      </w:r>
      <w:r w:rsidRPr="001D0C18">
        <w:rPr>
          <w:sz w:val="16"/>
          <w:szCs w:val="16"/>
        </w:rPr>
        <w:t xml:space="preserve"> Pina, Vincente and Torres, Lourdes (2006) 'Public-private efficiency in the delivery of services of general economic</w:t>
      </w:r>
      <w:r>
        <w:rPr>
          <w:sz w:val="16"/>
          <w:szCs w:val="16"/>
        </w:rPr>
        <w:t xml:space="preserve"> </w:t>
      </w:r>
      <w:r w:rsidRPr="001D0C18">
        <w:rPr>
          <w:sz w:val="16"/>
          <w:szCs w:val="16"/>
        </w:rPr>
        <w:t>interest: The case of urban transport', Local Government Studies, 32:2, 177 — 198</w:t>
      </w:r>
    </w:p>
  </w:endnote>
  <w:endnote w:id="163">
    <w:p w:rsidR="006660F8" w:rsidRPr="001D0C18" w:rsidRDefault="006660F8" w:rsidP="0087510F">
      <w:pPr>
        <w:autoSpaceDE w:val="0"/>
        <w:autoSpaceDN w:val="0"/>
        <w:adjustRightInd w:val="0"/>
        <w:rPr>
          <w:sz w:val="16"/>
          <w:szCs w:val="16"/>
        </w:rPr>
      </w:pPr>
      <w:r w:rsidRPr="001D0C18">
        <w:rPr>
          <w:rStyle w:val="EndnoteReference"/>
          <w:sz w:val="16"/>
          <w:szCs w:val="16"/>
        </w:rPr>
        <w:endnoteRef/>
      </w:r>
      <w:r w:rsidRPr="001D0C18">
        <w:rPr>
          <w:sz w:val="16"/>
          <w:szCs w:val="16"/>
        </w:rPr>
        <w:t xml:space="preserve"> </w:t>
      </w:r>
      <w:r w:rsidRPr="001D0C18">
        <w:rPr>
          <w:bCs/>
          <w:sz w:val="16"/>
          <w:szCs w:val="16"/>
        </w:rPr>
        <w:t xml:space="preserve">Ownership change, institutional development and performance1. </w:t>
      </w:r>
      <w:r w:rsidRPr="001D0C18">
        <w:rPr>
          <w:sz w:val="16"/>
          <w:szCs w:val="16"/>
        </w:rPr>
        <w:t>Anzhela Knyazeva, Diana Knyazeva, Joseph Stiglitz, March 2006</w:t>
      </w:r>
    </w:p>
  </w:endnote>
  <w:endnote w:id="164">
    <w:p w:rsidR="006660F8" w:rsidRPr="001D0C18" w:rsidRDefault="006660F8" w:rsidP="0087510F">
      <w:pPr>
        <w:rPr>
          <w:sz w:val="16"/>
          <w:szCs w:val="16"/>
        </w:rPr>
      </w:pPr>
      <w:r w:rsidRPr="001D0C18">
        <w:rPr>
          <w:rStyle w:val="EndnoteReference"/>
          <w:sz w:val="16"/>
          <w:szCs w:val="16"/>
        </w:rPr>
        <w:endnoteRef/>
      </w:r>
      <w:r w:rsidRPr="001D0C18">
        <w:rPr>
          <w:sz w:val="16"/>
          <w:szCs w:val="16"/>
        </w:rPr>
        <w:t xml:space="preserve"> Transaction costs, relational contracting and public private partnerships: a case study of UK defence David Parker and Keith Hartley Journal of Purchasing and Supply Management Volume 9, Issue 3 , May 2003, Pages 97-108 </w:t>
      </w:r>
      <w:hyperlink r:id="rId194" w:history="1">
        <w:r w:rsidRPr="001D0C18">
          <w:rPr>
            <w:rStyle w:val="Hyperlink"/>
            <w:sz w:val="16"/>
            <w:szCs w:val="16"/>
          </w:rPr>
          <w:t>http://www.sciencedirect.com/science?_ob=JournalURL&amp;_cdi=12893&amp;_auth=y&amp;_acct=C000027518&amp;_version=1&amp;_urlVersion=0&amp;_userid=634187&amp;md5=c5218be5e9f78f1fd27ddb01b951c843</w:t>
        </w:r>
      </w:hyperlink>
    </w:p>
  </w:endnote>
  <w:endnote w:id="165">
    <w:p w:rsidR="006660F8" w:rsidRPr="001D0C18" w:rsidRDefault="006660F8" w:rsidP="0087510F">
      <w:pPr>
        <w:rPr>
          <w:sz w:val="16"/>
          <w:szCs w:val="16"/>
        </w:rPr>
      </w:pPr>
      <w:r w:rsidRPr="001D0C18">
        <w:rPr>
          <w:rStyle w:val="EndnoteReference"/>
          <w:sz w:val="16"/>
          <w:szCs w:val="16"/>
        </w:rPr>
        <w:endnoteRef/>
      </w:r>
      <w:r w:rsidRPr="001D0C18">
        <w:rPr>
          <w:sz w:val="16"/>
          <w:szCs w:val="16"/>
        </w:rPr>
        <w:t xml:space="preserve"> </w:t>
      </w:r>
      <w:r w:rsidRPr="001D0C18">
        <w:rPr>
          <w:rFonts w:eastAsia="SimSun"/>
          <w:sz w:val="16"/>
          <w:szCs w:val="16"/>
          <w:lang w:val="en-US"/>
        </w:rPr>
        <w:t>PPPs and the changing public sector ethos: case-study evidence from the health and local</w:t>
      </w:r>
      <w:r>
        <w:rPr>
          <w:rFonts w:eastAsia="SimSun"/>
          <w:sz w:val="16"/>
          <w:szCs w:val="16"/>
          <w:lang w:val="en-US"/>
        </w:rPr>
        <w:t xml:space="preserve"> </w:t>
      </w:r>
      <w:r w:rsidRPr="001D0C18">
        <w:rPr>
          <w:rFonts w:eastAsia="SimSun"/>
          <w:sz w:val="16"/>
          <w:szCs w:val="16"/>
          <w:lang w:val="en-US"/>
        </w:rPr>
        <w:t>authority sectors . Gail Hebson, Damian Grimshaw, Manchester School of Management, Mick Marchington</w:t>
      </w:r>
      <w:r>
        <w:rPr>
          <w:rFonts w:eastAsia="SimSun"/>
          <w:sz w:val="16"/>
          <w:szCs w:val="16"/>
          <w:lang w:val="en-US"/>
        </w:rPr>
        <w:t xml:space="preserve"> </w:t>
      </w:r>
      <w:r w:rsidRPr="001D0C18">
        <w:rPr>
          <w:rFonts w:eastAsia="SimSun"/>
          <w:sz w:val="16"/>
          <w:szCs w:val="16"/>
          <w:lang w:val="en-US"/>
        </w:rPr>
        <w:t>Work, employment and society Volume 17 n Number 3 n September 2003</w:t>
      </w:r>
    </w:p>
  </w:endnote>
  <w:endnote w:id="166">
    <w:p w:rsidR="006660F8" w:rsidRPr="001D0C18" w:rsidRDefault="006660F8" w:rsidP="008E2EDD">
      <w:pPr>
        <w:rPr>
          <w:sz w:val="16"/>
          <w:szCs w:val="16"/>
        </w:rPr>
      </w:pPr>
      <w:r w:rsidRPr="001D0C18">
        <w:rPr>
          <w:rStyle w:val="EndnoteReference"/>
          <w:sz w:val="16"/>
          <w:szCs w:val="16"/>
        </w:rPr>
        <w:endnoteRef/>
      </w:r>
      <w:r w:rsidRPr="001D0C18">
        <w:rPr>
          <w:sz w:val="16"/>
          <w:szCs w:val="16"/>
        </w:rPr>
        <w:t xml:space="preserve"> Bob Mitchell </w:t>
      </w:r>
      <w:r w:rsidRPr="001D0C18">
        <w:rPr>
          <w:bCs/>
          <w:sz w:val="16"/>
          <w:szCs w:val="16"/>
        </w:rPr>
        <w:t xml:space="preserve">Connecting The Underground </w:t>
      </w:r>
      <w:r w:rsidRPr="001D0C18">
        <w:rPr>
          <w:sz w:val="16"/>
          <w:szCs w:val="16"/>
        </w:rPr>
        <w:t xml:space="preserve">19th October 2010 </w:t>
      </w:r>
      <w:hyperlink r:id="rId195" w:history="1">
        <w:r w:rsidRPr="001D0C18">
          <w:rPr>
            <w:rStyle w:val="Hyperlink"/>
            <w:sz w:val="16"/>
            <w:szCs w:val="16"/>
          </w:rPr>
          <w:t>http://www.ciltuk.org.uk/download_files/gtg026presentation.pdf</w:t>
        </w:r>
      </w:hyperlink>
      <w:r w:rsidRPr="001D0C18">
        <w:rPr>
          <w:sz w:val="16"/>
          <w:szCs w:val="16"/>
        </w:rPr>
        <w:t xml:space="preserve"> </w:t>
      </w:r>
    </w:p>
  </w:endnote>
  <w:endnote w:id="167">
    <w:p w:rsidR="006660F8" w:rsidRPr="001D0C18" w:rsidRDefault="006660F8" w:rsidP="001D0C18">
      <w:pPr>
        <w:rPr>
          <w:sz w:val="16"/>
          <w:szCs w:val="16"/>
        </w:rPr>
      </w:pPr>
      <w:r w:rsidRPr="001D0C18">
        <w:rPr>
          <w:rStyle w:val="EndnoteReference"/>
          <w:sz w:val="16"/>
          <w:szCs w:val="16"/>
        </w:rPr>
        <w:endnoteRef/>
      </w:r>
      <w:r w:rsidRPr="001D0C18">
        <w:rPr>
          <w:sz w:val="16"/>
          <w:szCs w:val="16"/>
        </w:rPr>
        <w:t xml:space="preserve"> (extract from </w:t>
      </w:r>
      <w:r w:rsidRPr="001D0C18">
        <w:rPr>
          <w:bCs/>
          <w:sz w:val="16"/>
          <w:szCs w:val="16"/>
        </w:rPr>
        <w:t xml:space="preserve">Public-Private Partnerships in New EU Member Countries of Central and Eastern Europe: An Economic Analysis with Case Studies from the Highway Sector </w:t>
      </w:r>
      <w:r w:rsidRPr="001D0C18">
        <w:rPr>
          <w:sz w:val="16"/>
          <w:szCs w:val="16"/>
        </w:rPr>
        <w:t xml:space="preserve">Andreas Brenck, Thorsten Beckers, Maria Heinrich, and Christian von Hirschhausen </w:t>
      </w:r>
      <w:r w:rsidRPr="001D0C18">
        <w:rPr>
          <w:bCs/>
          <w:sz w:val="16"/>
          <w:szCs w:val="16"/>
        </w:rPr>
        <w:t xml:space="preserve">Public Sector Management and Regulation Working Papers WP-PSM-08 </w:t>
      </w:r>
      <w:r w:rsidRPr="001D0C18">
        <w:rPr>
          <w:sz w:val="16"/>
          <w:szCs w:val="16"/>
        </w:rPr>
        <w:t xml:space="preserve">Reprint from EIB Papers, Vol. 10, No. 2 (2005), 82-112 ) </w:t>
      </w:r>
    </w:p>
  </w:endnote>
  <w:endnote w:id="168">
    <w:p w:rsidR="006660F8" w:rsidRPr="001D0C18" w:rsidRDefault="006660F8" w:rsidP="0087510F">
      <w:pPr>
        <w:rPr>
          <w:bCs/>
          <w:sz w:val="16"/>
          <w:szCs w:val="16"/>
        </w:rPr>
      </w:pPr>
      <w:r w:rsidRPr="001D0C18">
        <w:rPr>
          <w:rStyle w:val="EndnoteReference"/>
          <w:sz w:val="16"/>
          <w:szCs w:val="16"/>
        </w:rPr>
        <w:endnoteRef/>
      </w:r>
      <w:r>
        <w:rPr>
          <w:sz w:val="16"/>
          <w:szCs w:val="16"/>
        </w:rPr>
        <w:t xml:space="preserve"> </w:t>
      </w:r>
      <w:r w:rsidRPr="001D0C18">
        <w:rPr>
          <w:sz w:val="16"/>
          <w:szCs w:val="16"/>
        </w:rPr>
        <w:t xml:space="preserve">OECD 2010 Business climate development strategy Phase 1 Policy Assessment Egypt Dimension I – 2 Privatisation Policy and Public Private Partnerships </w:t>
      </w:r>
      <w:hyperlink r:id="rId196" w:history="1">
        <w:r w:rsidRPr="001D0C18">
          <w:rPr>
            <w:rStyle w:val="Hyperlink"/>
            <w:sz w:val="16"/>
            <w:szCs w:val="16"/>
          </w:rPr>
          <w:t>http://www.oecd.org/daf/psd/46340470.pdf</w:t>
        </w:r>
      </w:hyperlink>
      <w:r>
        <w:rPr>
          <w:sz w:val="16"/>
          <w:szCs w:val="16"/>
        </w:rPr>
        <w:t xml:space="preserve"> </w:t>
      </w:r>
      <w:r w:rsidRPr="001D0C18">
        <w:rPr>
          <w:sz w:val="16"/>
          <w:szCs w:val="16"/>
        </w:rPr>
        <w:t xml:space="preserve">; </w:t>
      </w:r>
      <w:r w:rsidRPr="001D0C18">
        <w:rPr>
          <w:bCs/>
          <w:sz w:val="16"/>
          <w:szCs w:val="16"/>
        </w:rPr>
        <w:t xml:space="preserve">A Postcard from Africa July 9, 2010 Egypt: Privatization Troubles Peak </w:t>
      </w:r>
    </w:p>
    <w:p w:rsidR="006660F8" w:rsidRPr="001D0C18" w:rsidRDefault="006660F8" w:rsidP="0087510F">
      <w:pPr>
        <w:rPr>
          <w:sz w:val="16"/>
          <w:szCs w:val="16"/>
        </w:rPr>
      </w:pPr>
      <w:r>
        <w:rPr>
          <w:sz w:val="16"/>
          <w:szCs w:val="16"/>
        </w:rPr>
        <w:t xml:space="preserve"> </w:t>
      </w:r>
      <w:hyperlink r:id="rId197" w:history="1">
        <w:r w:rsidRPr="001D0C18">
          <w:rPr>
            <w:rStyle w:val="Hyperlink"/>
            <w:sz w:val="16"/>
            <w:szCs w:val="16"/>
          </w:rPr>
          <w:t>http://www.thomaswhite.com/explore-the-world/postcard/2010/privatization-in-egypt.aspx</w:t>
        </w:r>
      </w:hyperlink>
      <w:r w:rsidRPr="001D0C18">
        <w:rPr>
          <w:sz w:val="16"/>
          <w:szCs w:val="16"/>
        </w:rPr>
        <w:t xml:space="preserve"> </w:t>
      </w:r>
    </w:p>
  </w:endnote>
  <w:endnote w:id="169">
    <w:p w:rsidR="006660F8" w:rsidRPr="001D0C18" w:rsidRDefault="006660F8" w:rsidP="0087510F">
      <w:pPr>
        <w:pStyle w:val="EndnoteText"/>
        <w:rPr>
          <w:sz w:val="16"/>
          <w:szCs w:val="16"/>
        </w:rPr>
      </w:pPr>
      <w:r w:rsidRPr="001D0C18">
        <w:rPr>
          <w:rStyle w:val="EndnoteReference"/>
          <w:sz w:val="16"/>
          <w:szCs w:val="16"/>
        </w:rPr>
        <w:endnoteRef/>
      </w:r>
      <w:r w:rsidRPr="001D0C18">
        <w:rPr>
          <w:sz w:val="16"/>
          <w:szCs w:val="16"/>
        </w:rPr>
        <w:t xml:space="preserve"> EIB 2005. Dudkin G. and Välilä T.</w:t>
      </w:r>
      <w:r>
        <w:rPr>
          <w:sz w:val="16"/>
          <w:szCs w:val="16"/>
        </w:rPr>
        <w:t xml:space="preserve"> </w:t>
      </w:r>
      <w:r w:rsidRPr="001D0C18">
        <w:rPr>
          <w:sz w:val="16"/>
          <w:szCs w:val="16"/>
        </w:rPr>
        <w:t xml:space="preserve">Transaction Costs In Public-Private Partnerships: A First Look At The Evidence. EIB Economic and Financial Report 2005/03 </w:t>
      </w:r>
      <w:hyperlink r:id="rId198" w:history="1">
        <w:r w:rsidRPr="001D0C18">
          <w:rPr>
            <w:rStyle w:val="Hyperlink"/>
            <w:sz w:val="16"/>
            <w:szCs w:val="16"/>
          </w:rPr>
          <w:t>http://www.eib.org/Attachments/efs/efr05n03.pdf</w:t>
        </w:r>
      </w:hyperlink>
    </w:p>
  </w:endnote>
  <w:endnote w:id="170">
    <w:p w:rsidR="006660F8" w:rsidRPr="001D0C18" w:rsidRDefault="006660F8" w:rsidP="00EB53CF">
      <w:pPr>
        <w:pStyle w:val="BodyText"/>
        <w:rPr>
          <w:sz w:val="16"/>
          <w:szCs w:val="16"/>
        </w:rPr>
      </w:pPr>
      <w:r w:rsidRPr="001D0C18">
        <w:rPr>
          <w:rStyle w:val="EndnoteReference"/>
          <w:sz w:val="16"/>
          <w:szCs w:val="16"/>
        </w:rPr>
        <w:endnoteRef/>
      </w:r>
      <w:r w:rsidRPr="001D0C18">
        <w:rPr>
          <w:sz w:val="16"/>
          <w:szCs w:val="16"/>
        </w:rPr>
        <w:t xml:space="preserve"> Torres, L. and Pina, V. (2001). "Public-private partnership and private finance initiatives in the EU and Spanish local governments". </w:t>
      </w:r>
      <w:r w:rsidRPr="001D0C18">
        <w:rPr>
          <w:iCs/>
          <w:sz w:val="16"/>
          <w:szCs w:val="16"/>
        </w:rPr>
        <w:t>The European Accounting Review</w:t>
      </w:r>
      <w:r w:rsidRPr="001D0C18">
        <w:rPr>
          <w:sz w:val="16"/>
          <w:szCs w:val="16"/>
        </w:rPr>
        <w:t>, (10:3), pp. 601-619.</w:t>
      </w:r>
    </w:p>
  </w:endnote>
  <w:endnote w:id="171">
    <w:p w:rsidR="006660F8" w:rsidRPr="001D0C18" w:rsidRDefault="006660F8" w:rsidP="00EB53CF">
      <w:pPr>
        <w:pStyle w:val="EndnoteText"/>
        <w:rPr>
          <w:sz w:val="16"/>
          <w:szCs w:val="16"/>
        </w:rPr>
      </w:pPr>
      <w:r w:rsidRPr="001D0C18">
        <w:rPr>
          <w:rStyle w:val="EndnoteReference"/>
          <w:sz w:val="16"/>
          <w:szCs w:val="16"/>
        </w:rPr>
        <w:endnoteRef/>
      </w:r>
      <w:r w:rsidRPr="001D0C18">
        <w:rPr>
          <w:sz w:val="16"/>
          <w:szCs w:val="16"/>
        </w:rPr>
        <w:t xml:space="preserve"> Iossa E. and Martimort D. 2011 Risk Allocation and the Costs and Bene</w:t>
      </w:r>
      <w:r>
        <w:rPr>
          <w:sz w:val="16"/>
          <w:szCs w:val="16"/>
        </w:rPr>
        <w:t>fi</w:t>
      </w:r>
      <w:r w:rsidRPr="001D0C18">
        <w:rPr>
          <w:sz w:val="16"/>
          <w:szCs w:val="16"/>
        </w:rPr>
        <w:t>ts of Public-Private</w:t>
      </w:r>
      <w:r>
        <w:rPr>
          <w:sz w:val="16"/>
          <w:szCs w:val="16"/>
        </w:rPr>
        <w:t xml:space="preserve"> </w:t>
      </w:r>
      <w:r w:rsidRPr="001D0C18">
        <w:rPr>
          <w:sz w:val="16"/>
          <w:szCs w:val="16"/>
        </w:rPr>
        <w:t xml:space="preserve">Partnerships CEPREMAP Working paper no. 1104 </w:t>
      </w:r>
      <w:hyperlink r:id="rId199" w:history="1">
        <w:r w:rsidRPr="001D0C18">
          <w:rPr>
            <w:rStyle w:val="Hyperlink"/>
            <w:sz w:val="16"/>
            <w:szCs w:val="16"/>
          </w:rPr>
          <w:t>http://www.cepremap.ens.fr/depot/docweb/docweb1104.pdf</w:t>
        </w:r>
      </w:hyperlink>
    </w:p>
  </w:endnote>
  <w:endnote w:id="172">
    <w:p w:rsidR="006660F8" w:rsidRPr="001D0C18" w:rsidRDefault="006660F8" w:rsidP="00EB53CF">
      <w:pPr>
        <w:pStyle w:val="EndnoteText"/>
        <w:rPr>
          <w:sz w:val="16"/>
          <w:szCs w:val="16"/>
        </w:rPr>
      </w:pPr>
      <w:r w:rsidRPr="001D0C18">
        <w:rPr>
          <w:rStyle w:val="EndnoteReference"/>
          <w:sz w:val="16"/>
          <w:szCs w:val="16"/>
        </w:rPr>
        <w:endnoteRef/>
      </w:r>
      <w:r w:rsidRPr="001D0C18">
        <w:rPr>
          <w:sz w:val="16"/>
          <w:szCs w:val="16"/>
        </w:rPr>
        <w:t xml:space="preserve"> Financial Times August 7, 2011 Private finance costs taxpayer £20bn By Nicholas Timmins and Chris Giles </w:t>
      </w:r>
      <w:hyperlink r:id="rId200" w:anchor="axzz1YbE1rI9m" w:history="1">
        <w:r w:rsidRPr="001D0C18">
          <w:rPr>
            <w:rStyle w:val="Hyperlink"/>
            <w:sz w:val="16"/>
            <w:szCs w:val="16"/>
          </w:rPr>
          <w:t>http://www.ft.com/cms/s/0/65068d1c-bdd2-11e0-babc-00144feabdc0.html#axzz1YbE1rI9m</w:t>
        </w:r>
      </w:hyperlink>
    </w:p>
  </w:endnote>
  <w:endnote w:id="173">
    <w:p w:rsidR="006660F8" w:rsidRPr="001D0C18" w:rsidRDefault="006660F8" w:rsidP="00EB53CF">
      <w:pPr>
        <w:pStyle w:val="EndnoteText"/>
        <w:rPr>
          <w:sz w:val="16"/>
          <w:szCs w:val="16"/>
        </w:rPr>
      </w:pPr>
      <w:r w:rsidRPr="001D0C18">
        <w:rPr>
          <w:rStyle w:val="EndnoteReference"/>
          <w:sz w:val="16"/>
          <w:szCs w:val="16"/>
        </w:rPr>
        <w:endnoteRef/>
      </w:r>
      <w:r w:rsidRPr="001D0C18">
        <w:rPr>
          <w:sz w:val="16"/>
          <w:szCs w:val="16"/>
        </w:rPr>
        <w:t xml:space="preserve"> Gill Plimmer, ‘UK companies export PFI expertise’, October 11 2012, </w:t>
      </w:r>
      <w:hyperlink r:id="rId201" w:history="1">
        <w:r w:rsidRPr="001D0C18">
          <w:rPr>
            <w:rStyle w:val="Hyperlink"/>
            <w:sz w:val="16"/>
            <w:szCs w:val="16"/>
          </w:rPr>
          <w:t>http://www.ft.com/cms/s/0/0139c544-1126-11e2-a637-00144feabdc0.html</w:t>
        </w:r>
      </w:hyperlink>
      <w:r w:rsidRPr="001D0C18">
        <w:rPr>
          <w:sz w:val="16"/>
          <w:szCs w:val="16"/>
        </w:rPr>
        <w:t xml:space="preserve"> </w:t>
      </w:r>
    </w:p>
  </w:endnote>
  <w:endnote w:id="174">
    <w:p w:rsidR="006660F8" w:rsidRPr="001D0C18" w:rsidRDefault="006660F8" w:rsidP="00EB53CF">
      <w:pPr>
        <w:pStyle w:val="Default"/>
        <w:rPr>
          <w:rFonts w:ascii="Calibri" w:hAnsi="Calibri"/>
          <w:sz w:val="16"/>
          <w:szCs w:val="16"/>
        </w:rPr>
      </w:pPr>
      <w:r w:rsidRPr="001D0C18">
        <w:rPr>
          <w:rStyle w:val="EndnoteReference"/>
          <w:rFonts w:ascii="Calibri" w:hAnsi="Calibri"/>
          <w:sz w:val="16"/>
          <w:szCs w:val="16"/>
        </w:rPr>
        <w:endnoteRef/>
      </w:r>
      <w:r>
        <w:rPr>
          <w:rFonts w:ascii="Calibri" w:hAnsi="Calibri"/>
          <w:sz w:val="16"/>
          <w:szCs w:val="16"/>
        </w:rPr>
        <w:t xml:space="preserve"> </w:t>
      </w:r>
      <w:r w:rsidRPr="001D0C18">
        <w:rPr>
          <w:rFonts w:ascii="Calibri" w:hAnsi="Calibri"/>
          <w:sz w:val="16"/>
          <w:szCs w:val="16"/>
        </w:rPr>
        <w:t>Bernd Rechel et al. 2009 Investing in hospitals of the future</w:t>
      </w:r>
      <w:r>
        <w:rPr>
          <w:rFonts w:ascii="Calibri" w:hAnsi="Calibri"/>
          <w:sz w:val="16"/>
          <w:szCs w:val="16"/>
        </w:rPr>
        <w:t xml:space="preserve"> </w:t>
      </w:r>
      <w:r w:rsidRPr="001D0C18">
        <w:rPr>
          <w:rFonts w:ascii="Calibri" w:hAnsi="Calibri"/>
          <w:sz w:val="16"/>
          <w:szCs w:val="16"/>
        </w:rPr>
        <w:t xml:space="preserve">European Observatory on Health Systems and Policies 2009 </w:t>
      </w:r>
      <w:hyperlink r:id="rId202" w:history="1">
        <w:r w:rsidRPr="001D0C18">
          <w:rPr>
            <w:rStyle w:val="Hyperlink"/>
            <w:rFonts w:ascii="Calibri" w:hAnsi="Calibri"/>
            <w:sz w:val="16"/>
            <w:szCs w:val="16"/>
          </w:rPr>
          <w:t>http://www.euro.who.int/document/e92354.pdf</w:t>
        </w:r>
      </w:hyperlink>
    </w:p>
  </w:endnote>
  <w:endnote w:id="175">
    <w:p w:rsidR="006660F8" w:rsidRPr="001D0C18" w:rsidRDefault="006660F8" w:rsidP="0087510F">
      <w:pPr>
        <w:autoSpaceDE w:val="0"/>
        <w:autoSpaceDN w:val="0"/>
        <w:adjustRightInd w:val="0"/>
        <w:rPr>
          <w:sz w:val="16"/>
          <w:szCs w:val="16"/>
        </w:rPr>
      </w:pPr>
      <w:r w:rsidRPr="001D0C18">
        <w:rPr>
          <w:rStyle w:val="EndnoteReference"/>
          <w:sz w:val="16"/>
          <w:szCs w:val="16"/>
        </w:rPr>
        <w:endnoteRef/>
      </w:r>
      <w:r w:rsidRPr="001D0C18">
        <w:rPr>
          <w:sz w:val="16"/>
          <w:szCs w:val="16"/>
        </w:rPr>
        <w:t xml:space="preserve"> José A. Gómez-Ibáñez, Dominique Lorrain, and Meg Osius</w:t>
      </w:r>
      <w:r w:rsidRPr="001D0C18">
        <w:rPr>
          <w:bCs/>
          <w:sz w:val="16"/>
          <w:szCs w:val="16"/>
        </w:rPr>
        <w:t xml:space="preserve"> 2004 The Future of Private Infrastructure. Harvard </w:t>
      </w:r>
      <w:r w:rsidRPr="001D0C18">
        <w:rPr>
          <w:sz w:val="16"/>
          <w:szCs w:val="16"/>
        </w:rPr>
        <w:t xml:space="preserve">April 2004 </w:t>
      </w:r>
      <w:hyperlink r:id="rId203" w:history="1">
        <w:r w:rsidRPr="001D0C18">
          <w:rPr>
            <w:rStyle w:val="Hyperlink"/>
            <w:sz w:val="16"/>
            <w:szCs w:val="16"/>
          </w:rPr>
          <w:t>http://www.hks.harvard.edu/taubmancenter/pdfs/working_papers/gomezibanez_04_infrastructure.pdf</w:t>
        </w:r>
      </w:hyperlink>
      <w:r w:rsidRPr="001D0C18">
        <w:rPr>
          <w:sz w:val="16"/>
          <w:szCs w:val="16"/>
        </w:rPr>
        <w:t xml:space="preserve"> </w:t>
      </w:r>
    </w:p>
  </w:endnote>
  <w:endnote w:id="176">
    <w:p w:rsidR="006660F8" w:rsidRPr="001D0C18" w:rsidRDefault="006660F8" w:rsidP="0087510F">
      <w:pPr>
        <w:autoSpaceDE w:val="0"/>
        <w:autoSpaceDN w:val="0"/>
        <w:adjustRightInd w:val="0"/>
        <w:rPr>
          <w:bCs/>
          <w:sz w:val="16"/>
          <w:szCs w:val="16"/>
        </w:rPr>
      </w:pPr>
      <w:r w:rsidRPr="001D0C18">
        <w:rPr>
          <w:rStyle w:val="EndnoteReference"/>
          <w:sz w:val="16"/>
          <w:szCs w:val="16"/>
        </w:rPr>
        <w:endnoteRef/>
      </w:r>
      <w:r w:rsidRPr="001D0C18">
        <w:rPr>
          <w:sz w:val="16"/>
          <w:szCs w:val="16"/>
        </w:rPr>
        <w:t xml:space="preserve"> House of Commons Committee of Public Accounts </w:t>
      </w:r>
      <w:r w:rsidRPr="001D0C18">
        <w:rPr>
          <w:bCs/>
          <w:sz w:val="16"/>
          <w:szCs w:val="16"/>
        </w:rPr>
        <w:t>HM Treasury: Making</w:t>
      </w:r>
    </w:p>
    <w:p w:rsidR="006660F8" w:rsidRPr="001D0C18" w:rsidRDefault="006660F8" w:rsidP="00EB3FD4">
      <w:pPr>
        <w:pStyle w:val="EndnoteText"/>
        <w:rPr>
          <w:sz w:val="16"/>
          <w:szCs w:val="16"/>
        </w:rPr>
      </w:pPr>
      <w:r w:rsidRPr="001D0C18">
        <w:rPr>
          <w:sz w:val="16"/>
          <w:szCs w:val="16"/>
        </w:rPr>
        <w:t>changes in operational PFI projects Thirty–sixth Report of Session 2007–08</w:t>
      </w:r>
      <w:r w:rsidRPr="001D0C18">
        <w:rPr>
          <w:iCs/>
          <w:sz w:val="16"/>
          <w:szCs w:val="16"/>
        </w:rPr>
        <w:t xml:space="preserve"> HC 332 September 2008; </w:t>
      </w:r>
      <w:r w:rsidRPr="001D0C18">
        <w:rPr>
          <w:sz w:val="16"/>
          <w:szCs w:val="16"/>
        </w:rPr>
        <w:t>Iossa E. and Martimort D. 2011 Risk Allocation and the Costs and Bene</w:t>
      </w:r>
      <w:r>
        <w:rPr>
          <w:sz w:val="16"/>
          <w:szCs w:val="16"/>
        </w:rPr>
        <w:t>fi</w:t>
      </w:r>
      <w:r w:rsidRPr="001D0C18">
        <w:rPr>
          <w:sz w:val="16"/>
          <w:szCs w:val="16"/>
        </w:rPr>
        <w:t xml:space="preserve">ts of Public-Private Partnerships CEPREMAP Working paper no. 1104 </w:t>
      </w:r>
      <w:hyperlink r:id="rId204" w:history="1">
        <w:r w:rsidRPr="001D0C18">
          <w:rPr>
            <w:rStyle w:val="Hyperlink"/>
            <w:sz w:val="16"/>
            <w:szCs w:val="16"/>
          </w:rPr>
          <w:t>http://www.cepremap.ens.fr/depot/docweb/docweb1104.pdf</w:t>
        </w:r>
      </w:hyperlink>
      <w:r w:rsidRPr="001D0C18">
        <w:rPr>
          <w:rStyle w:val="Hyperlink"/>
          <w:sz w:val="16"/>
          <w:szCs w:val="16"/>
        </w:rPr>
        <w:t xml:space="preserve"> </w:t>
      </w:r>
    </w:p>
  </w:endnote>
  <w:endnote w:id="177">
    <w:p w:rsidR="006660F8" w:rsidRPr="001D0C18" w:rsidRDefault="006660F8" w:rsidP="0087510F">
      <w:pPr>
        <w:pStyle w:val="EndnoteText"/>
        <w:rPr>
          <w:sz w:val="16"/>
          <w:szCs w:val="16"/>
          <w:lang w:val="fr-FR"/>
        </w:rPr>
      </w:pPr>
      <w:r w:rsidRPr="001D0C18">
        <w:rPr>
          <w:rStyle w:val="EndnoteReference"/>
          <w:sz w:val="16"/>
          <w:szCs w:val="16"/>
        </w:rPr>
        <w:endnoteRef/>
      </w:r>
      <w:r w:rsidRPr="001D0C18">
        <w:rPr>
          <w:sz w:val="16"/>
          <w:szCs w:val="16"/>
          <w:lang w:val="fr-FR"/>
        </w:rPr>
        <w:t xml:space="preserve"> Le Parisien 09.01.2012</w:t>
      </w:r>
      <w:r>
        <w:rPr>
          <w:sz w:val="16"/>
          <w:szCs w:val="16"/>
          <w:lang w:val="fr-FR"/>
        </w:rPr>
        <w:t xml:space="preserve"> </w:t>
      </w:r>
      <w:r w:rsidRPr="001D0C18">
        <w:rPr>
          <w:sz w:val="16"/>
          <w:szCs w:val="16"/>
          <w:lang w:val="fr-FR"/>
        </w:rPr>
        <w:t>Grands travaux : une bombe à retardement de 60 Mds€</w:t>
      </w:r>
      <w:r>
        <w:rPr>
          <w:sz w:val="16"/>
          <w:szCs w:val="16"/>
          <w:lang w:val="fr-FR"/>
        </w:rPr>
        <w:t xml:space="preserve"> </w:t>
      </w:r>
      <w:hyperlink r:id="rId205" w:history="1">
        <w:r w:rsidRPr="001D0C18">
          <w:rPr>
            <w:rStyle w:val="Hyperlink"/>
            <w:sz w:val="16"/>
            <w:szCs w:val="16"/>
            <w:lang w:val="fr-FR"/>
          </w:rPr>
          <w:t>http://www.leparisien.fr/economie/grands-travaux-une-bombe-a-retardement-de-60-mdseur-09-01-2012-1803940.php</w:t>
        </w:r>
      </w:hyperlink>
    </w:p>
  </w:endnote>
  <w:endnote w:id="178">
    <w:p w:rsidR="006660F8" w:rsidRPr="001D0C18" w:rsidRDefault="006660F8" w:rsidP="00CE3EAF">
      <w:pPr>
        <w:rPr>
          <w:sz w:val="16"/>
          <w:szCs w:val="16"/>
        </w:rPr>
      </w:pPr>
      <w:r w:rsidRPr="001D0C18">
        <w:rPr>
          <w:rStyle w:val="EndnoteReference"/>
          <w:sz w:val="16"/>
          <w:szCs w:val="16"/>
        </w:rPr>
        <w:endnoteRef/>
      </w:r>
      <w:r w:rsidRPr="001D0C18">
        <w:rPr>
          <w:sz w:val="16"/>
          <w:szCs w:val="16"/>
        </w:rPr>
        <w:t xml:space="preserve"> House of Commons Library.2012. London Underground after the PPP, 2007</w:t>
      </w:r>
      <w:r>
        <w:rPr>
          <w:sz w:val="16"/>
          <w:szCs w:val="16"/>
        </w:rPr>
        <w:t xml:space="preserve"> </w:t>
      </w:r>
      <w:r w:rsidRPr="001D0C18">
        <w:rPr>
          <w:sz w:val="16"/>
          <w:szCs w:val="16"/>
        </w:rPr>
        <w:t xml:space="preserve">Briefing Paper SN01746 </w:t>
      </w:r>
      <w:hyperlink r:id="rId206" w:history="1">
        <w:r w:rsidRPr="001D0C18">
          <w:rPr>
            <w:rStyle w:val="Hyperlink"/>
            <w:sz w:val="16"/>
            <w:szCs w:val="16"/>
          </w:rPr>
          <w:t>http://www.parliament.uk/briefing-papers/SN01746</w:t>
        </w:r>
      </w:hyperlink>
    </w:p>
  </w:endnote>
  <w:endnote w:id="179">
    <w:p w:rsidR="006660F8" w:rsidRPr="001D0C18" w:rsidRDefault="006660F8" w:rsidP="00297567">
      <w:pPr>
        <w:rPr>
          <w:bCs/>
          <w:sz w:val="16"/>
          <w:szCs w:val="16"/>
        </w:rPr>
      </w:pPr>
      <w:r w:rsidRPr="001D0C18">
        <w:rPr>
          <w:rStyle w:val="EndnoteReference"/>
          <w:sz w:val="16"/>
          <w:szCs w:val="16"/>
        </w:rPr>
        <w:endnoteRef/>
      </w:r>
      <w:r w:rsidRPr="001D0C18">
        <w:rPr>
          <w:sz w:val="16"/>
          <w:szCs w:val="16"/>
        </w:rPr>
        <w:t xml:space="preserve"> House of Commons Transport Committee: </w:t>
      </w:r>
      <w:r w:rsidRPr="001D0C18">
        <w:rPr>
          <w:bCs/>
          <w:sz w:val="16"/>
          <w:szCs w:val="16"/>
        </w:rPr>
        <w:t>The London Underground and the Public–Private Partnership Agreements Second Report of Session 2007–08 2007–08</w:t>
      </w:r>
      <w:r>
        <w:rPr>
          <w:bCs/>
          <w:sz w:val="16"/>
          <w:szCs w:val="16"/>
        </w:rPr>
        <w:t xml:space="preserve"> </w:t>
      </w:r>
      <w:r w:rsidRPr="001D0C18">
        <w:rPr>
          <w:bCs/>
          <w:sz w:val="16"/>
          <w:szCs w:val="16"/>
        </w:rPr>
        <w:t>HC 45 16 January 2008</w:t>
      </w:r>
    </w:p>
  </w:endnote>
  <w:endnote w:id="180">
    <w:p w:rsidR="006660F8" w:rsidRPr="001D0C18" w:rsidRDefault="006660F8" w:rsidP="00297567">
      <w:pPr>
        <w:pStyle w:val="EndnoteText"/>
        <w:rPr>
          <w:sz w:val="16"/>
          <w:szCs w:val="16"/>
        </w:rPr>
      </w:pPr>
      <w:r w:rsidRPr="001D0C18">
        <w:rPr>
          <w:rStyle w:val="EndnoteReference"/>
          <w:sz w:val="16"/>
          <w:szCs w:val="16"/>
        </w:rPr>
        <w:endnoteRef/>
      </w:r>
      <w:r>
        <w:rPr>
          <w:sz w:val="16"/>
          <w:szCs w:val="16"/>
        </w:rPr>
        <w:t xml:space="preserve"> </w:t>
      </w:r>
      <w:r w:rsidRPr="001D0C18">
        <w:rPr>
          <w:sz w:val="16"/>
          <w:szCs w:val="16"/>
        </w:rPr>
        <w:t>The Lawyer</w:t>
      </w:r>
      <w:r>
        <w:rPr>
          <w:sz w:val="16"/>
          <w:szCs w:val="16"/>
        </w:rPr>
        <w:t xml:space="preserve"> </w:t>
      </w:r>
      <w:r w:rsidRPr="001D0C18">
        <w:rPr>
          <w:sz w:val="16"/>
          <w:szCs w:val="16"/>
        </w:rPr>
        <w:t xml:space="preserve">6 September 2010 </w:t>
      </w:r>
      <w:hyperlink r:id="rId207" w:history="1">
        <w:r w:rsidRPr="001D0C18">
          <w:rPr>
            <w:rStyle w:val="Hyperlink"/>
            <w:sz w:val="16"/>
            <w:szCs w:val="16"/>
          </w:rPr>
          <w:t>http://www.thelawyer.com/does-failure-of-tfl-deals-spell-the-end-of-the-line-for-ppp-bonanza/1005403.article</w:t>
        </w:r>
      </w:hyperlink>
      <w:r w:rsidRPr="001D0C18">
        <w:rPr>
          <w:sz w:val="16"/>
          <w:szCs w:val="16"/>
        </w:rPr>
        <w:t xml:space="preserve"> </w:t>
      </w:r>
    </w:p>
  </w:endnote>
  <w:endnote w:id="181">
    <w:p w:rsidR="006660F8" w:rsidRPr="001D0C18" w:rsidRDefault="006660F8" w:rsidP="00297567">
      <w:pPr>
        <w:rPr>
          <w:sz w:val="16"/>
          <w:szCs w:val="16"/>
        </w:rPr>
      </w:pPr>
      <w:r w:rsidRPr="001D0C18">
        <w:rPr>
          <w:rStyle w:val="EndnoteReference"/>
          <w:sz w:val="16"/>
          <w:szCs w:val="16"/>
        </w:rPr>
        <w:endnoteRef/>
      </w:r>
      <w:r w:rsidRPr="001D0C18">
        <w:rPr>
          <w:sz w:val="16"/>
          <w:szCs w:val="16"/>
        </w:rPr>
        <w:t xml:space="preserve"> The Economist May 15, 2010</w:t>
      </w:r>
      <w:r>
        <w:rPr>
          <w:sz w:val="16"/>
          <w:szCs w:val="16"/>
        </w:rPr>
        <w:t xml:space="preserve"> </w:t>
      </w:r>
      <w:r w:rsidRPr="001D0C18">
        <w:rPr>
          <w:sz w:val="16"/>
          <w:szCs w:val="16"/>
        </w:rPr>
        <w:t>F</w:t>
      </w:r>
      <w:r w:rsidRPr="001D0C18">
        <w:rPr>
          <w:bCs/>
          <w:sz w:val="16"/>
          <w:szCs w:val="16"/>
        </w:rPr>
        <w:t xml:space="preserve">inis; The Tube upgrade deals </w:t>
      </w:r>
      <w:hyperlink r:id="rId208" w:history="1">
        <w:r w:rsidRPr="001D0C18">
          <w:rPr>
            <w:rStyle w:val="Hyperlink"/>
            <w:bCs/>
            <w:sz w:val="16"/>
            <w:szCs w:val="16"/>
          </w:rPr>
          <w:t>http://www.economist.com/node/16113111</w:t>
        </w:r>
      </w:hyperlink>
      <w:r w:rsidRPr="001D0C18">
        <w:rPr>
          <w:bCs/>
          <w:sz w:val="16"/>
          <w:szCs w:val="16"/>
        </w:rPr>
        <w:t xml:space="preserve"> ; </w:t>
      </w:r>
      <w:r w:rsidRPr="001D0C18">
        <w:rPr>
          <w:sz w:val="16"/>
          <w:szCs w:val="16"/>
        </w:rPr>
        <w:t xml:space="preserve">Christian Wolmar 22 May 2010 Rail 644: Why the PPP was doomed from the start </w:t>
      </w:r>
      <w:hyperlink r:id="rId209" w:history="1">
        <w:r w:rsidRPr="001D0C18">
          <w:rPr>
            <w:rStyle w:val="Hyperlink"/>
            <w:sz w:val="16"/>
            <w:szCs w:val="16"/>
          </w:rPr>
          <w:t>http://www.christianwolmar.co.uk/2010/05/rail-644-why-the-ppp-was-doomed-from-the-start/</w:t>
        </w:r>
      </w:hyperlink>
      <w:r w:rsidRPr="001D0C18">
        <w:rPr>
          <w:rStyle w:val="Hyperlink"/>
          <w:sz w:val="16"/>
          <w:szCs w:val="16"/>
        </w:rPr>
        <w:t xml:space="preserve"> ; </w:t>
      </w:r>
    </w:p>
  </w:endnote>
  <w:endnote w:id="182">
    <w:p w:rsidR="006660F8" w:rsidRPr="001D0C18" w:rsidRDefault="006660F8" w:rsidP="00297567">
      <w:pPr>
        <w:rPr>
          <w:sz w:val="16"/>
          <w:szCs w:val="16"/>
        </w:rPr>
      </w:pPr>
      <w:r w:rsidRPr="001D0C18">
        <w:rPr>
          <w:rStyle w:val="EndnoteReference"/>
          <w:sz w:val="16"/>
          <w:szCs w:val="16"/>
        </w:rPr>
        <w:endnoteRef/>
      </w:r>
      <w:r w:rsidRPr="001D0C18">
        <w:rPr>
          <w:sz w:val="16"/>
          <w:szCs w:val="16"/>
        </w:rPr>
        <w:t xml:space="preserve"> House of Commons Library.2012. London Underground after the PPP, 2007</w:t>
      </w:r>
    </w:p>
    <w:p w:rsidR="006660F8" w:rsidRPr="001D0C18" w:rsidRDefault="006660F8" w:rsidP="00297567">
      <w:pPr>
        <w:pStyle w:val="EndnoteText"/>
        <w:rPr>
          <w:sz w:val="16"/>
          <w:szCs w:val="16"/>
        </w:rPr>
      </w:pPr>
      <w:r w:rsidRPr="001D0C18">
        <w:rPr>
          <w:sz w:val="16"/>
          <w:szCs w:val="16"/>
        </w:rPr>
        <w:t xml:space="preserve"> Briefing Paper SN01746 </w:t>
      </w:r>
      <w:hyperlink r:id="rId210" w:history="1">
        <w:r w:rsidRPr="001D0C18">
          <w:rPr>
            <w:rStyle w:val="Hyperlink"/>
            <w:sz w:val="16"/>
            <w:szCs w:val="16"/>
          </w:rPr>
          <w:t>http://www.parliament.uk/briefing-papers/SN01746</w:t>
        </w:r>
      </w:hyperlink>
    </w:p>
  </w:endnote>
  <w:endnote w:id="183">
    <w:p w:rsidR="006660F8" w:rsidRPr="001D0C18" w:rsidRDefault="006660F8" w:rsidP="00297567">
      <w:pPr>
        <w:rPr>
          <w:sz w:val="16"/>
          <w:szCs w:val="16"/>
        </w:rPr>
      </w:pPr>
      <w:r w:rsidRPr="001D0C18">
        <w:rPr>
          <w:rStyle w:val="EndnoteReference"/>
          <w:sz w:val="16"/>
          <w:szCs w:val="16"/>
        </w:rPr>
        <w:endnoteRef/>
      </w:r>
      <w:r w:rsidRPr="001D0C18">
        <w:rPr>
          <w:sz w:val="16"/>
          <w:szCs w:val="16"/>
        </w:rPr>
        <w:t xml:space="preserve"> TfL 30 June 2008 TfL takes over Tramlink services </w:t>
      </w:r>
      <w:hyperlink r:id="rId211" w:history="1">
        <w:r w:rsidRPr="001D0C18">
          <w:rPr>
            <w:rStyle w:val="Hyperlink"/>
            <w:sz w:val="16"/>
            <w:szCs w:val="16"/>
          </w:rPr>
          <w:t>http://www.tfl.gov.uk/static/corporate/media/newscentre/archive/8733.html</w:t>
        </w:r>
      </w:hyperlink>
      <w:r w:rsidRPr="001D0C18">
        <w:rPr>
          <w:sz w:val="16"/>
          <w:szCs w:val="16"/>
        </w:rPr>
        <w:t xml:space="preserve"> ; Croydon Tramlink quietly renationalised </w:t>
      </w:r>
      <w:hyperlink r:id="rId212" w:history="1">
        <w:r w:rsidRPr="001D0C18">
          <w:rPr>
            <w:rStyle w:val="Hyperlink"/>
            <w:sz w:val="16"/>
            <w:szCs w:val="16"/>
          </w:rPr>
          <w:t>http://www.christianwolmar.co.uk/2008/04/croydon-tramlink-quietly-renationalised/</w:t>
        </w:r>
      </w:hyperlink>
      <w:r w:rsidRPr="001D0C18">
        <w:rPr>
          <w:sz w:val="16"/>
          <w:szCs w:val="16"/>
        </w:rPr>
        <w:t xml:space="preserve"> ; The Lawyer September 6, 2010 Does failure of TfL deals spell the end of the line for PPP bonanza? </w:t>
      </w:r>
      <w:hyperlink r:id="rId213" w:history="1">
        <w:r w:rsidRPr="001D0C18">
          <w:rPr>
            <w:rStyle w:val="Hyperlink"/>
            <w:sz w:val="16"/>
            <w:szCs w:val="16"/>
          </w:rPr>
          <w:t>http://www.thelawyer.com/does-failure-of-tfl-deals-spell-the-end-of-the-line-for-ppp-bonanza/1005403.article</w:t>
        </w:r>
      </w:hyperlink>
    </w:p>
  </w:endnote>
  <w:endnote w:id="184">
    <w:p w:rsidR="006660F8" w:rsidRPr="001D0C18" w:rsidRDefault="006660F8" w:rsidP="00297567">
      <w:pPr>
        <w:rPr>
          <w:sz w:val="16"/>
          <w:szCs w:val="16"/>
        </w:rPr>
      </w:pPr>
      <w:r w:rsidRPr="001D0C18">
        <w:rPr>
          <w:rStyle w:val="EndnoteReference"/>
          <w:sz w:val="16"/>
          <w:szCs w:val="16"/>
        </w:rPr>
        <w:endnoteRef/>
      </w:r>
      <w:r w:rsidRPr="001D0C18">
        <w:rPr>
          <w:sz w:val="16"/>
          <w:szCs w:val="16"/>
        </w:rPr>
        <w:t xml:space="preserve"> </w:t>
      </w:r>
      <w:r w:rsidRPr="001D0C18">
        <w:rPr>
          <w:sz w:val="16"/>
          <w:szCs w:val="16"/>
          <w:lang w:val="en-US"/>
        </w:rPr>
        <w:t xml:space="preserve">TFL: </w:t>
      </w:r>
      <w:r w:rsidRPr="001D0C18">
        <w:rPr>
          <w:sz w:val="16"/>
          <w:szCs w:val="16"/>
        </w:rPr>
        <w:t>£30m saved as new Oyster contract begins 17 August 2010</w:t>
      </w:r>
      <w:r>
        <w:rPr>
          <w:sz w:val="16"/>
          <w:szCs w:val="16"/>
        </w:rPr>
        <w:t xml:space="preserve"> </w:t>
      </w:r>
      <w:hyperlink r:id="rId214" w:history="1">
        <w:r w:rsidRPr="001D0C18">
          <w:rPr>
            <w:rStyle w:val="Hyperlink"/>
            <w:sz w:val="16"/>
            <w:szCs w:val="16"/>
          </w:rPr>
          <w:t>http://www.tfl.gov.uk/corporate/media/newscentre/16505.aspx</w:t>
        </w:r>
      </w:hyperlink>
      <w:r w:rsidRPr="001D0C18">
        <w:rPr>
          <w:sz w:val="16"/>
          <w:szCs w:val="16"/>
        </w:rPr>
        <w:t xml:space="preserve"> ;</w:t>
      </w:r>
      <w:r>
        <w:rPr>
          <w:sz w:val="16"/>
          <w:szCs w:val="16"/>
        </w:rPr>
        <w:t xml:space="preserve"> </w:t>
      </w:r>
      <w:r w:rsidRPr="001D0C18">
        <w:rPr>
          <w:sz w:val="16"/>
          <w:szCs w:val="16"/>
        </w:rPr>
        <w:t>Financial Times August 9 2008 Oyster card contractor fired after £1m failures</w:t>
      </w:r>
      <w:r>
        <w:rPr>
          <w:sz w:val="16"/>
          <w:szCs w:val="16"/>
        </w:rPr>
        <w:t xml:space="preserve"> </w:t>
      </w:r>
      <w:hyperlink r:id="rId215" w:history="1">
        <w:r w:rsidRPr="001D0C18">
          <w:rPr>
            <w:rStyle w:val="Hyperlink"/>
            <w:sz w:val="16"/>
            <w:szCs w:val="16"/>
          </w:rPr>
          <w:t>http://www.ft.com/cms/s/0/8979a560-65a3-11dd-a352-0000779fd18c.html</w:t>
        </w:r>
      </w:hyperlink>
      <w:r w:rsidRPr="001D0C18">
        <w:rPr>
          <w:sz w:val="16"/>
          <w:szCs w:val="16"/>
        </w:rPr>
        <w:t xml:space="preserve"> </w:t>
      </w:r>
    </w:p>
  </w:endnote>
  <w:endnote w:id="185">
    <w:p w:rsidR="006660F8" w:rsidRPr="001D0C18" w:rsidRDefault="006660F8" w:rsidP="00297567">
      <w:pPr>
        <w:pStyle w:val="EndnoteText"/>
        <w:rPr>
          <w:sz w:val="16"/>
          <w:szCs w:val="16"/>
        </w:rPr>
      </w:pPr>
      <w:r w:rsidRPr="001D0C18">
        <w:rPr>
          <w:rStyle w:val="EndnoteReference"/>
          <w:sz w:val="16"/>
          <w:szCs w:val="16"/>
        </w:rPr>
        <w:endnoteRef/>
      </w:r>
      <w:r w:rsidRPr="001D0C18">
        <w:rPr>
          <w:sz w:val="16"/>
          <w:szCs w:val="16"/>
        </w:rPr>
        <w:t xml:space="preserve"> TfL evidence to parliamentary Treasury select committee 2011 para 3.6 </w:t>
      </w:r>
      <w:hyperlink r:id="rId216" w:history="1">
        <w:r w:rsidRPr="001D0C18">
          <w:rPr>
            <w:rStyle w:val="Hyperlink"/>
            <w:sz w:val="16"/>
            <w:szCs w:val="16"/>
          </w:rPr>
          <w:t>http://www.publications.parliament.uk/pa/cm201012/cmselect/cmtreasy/1146/1146we05.htm</w:t>
        </w:r>
      </w:hyperlink>
      <w:r w:rsidRPr="001D0C18">
        <w:rPr>
          <w:sz w:val="16"/>
          <w:szCs w:val="16"/>
        </w:rPr>
        <w:t xml:space="preserve"> </w:t>
      </w:r>
    </w:p>
  </w:endnote>
  <w:endnote w:id="186">
    <w:p w:rsidR="006660F8" w:rsidRPr="001D0C18" w:rsidRDefault="006660F8" w:rsidP="00297567">
      <w:pPr>
        <w:rPr>
          <w:sz w:val="16"/>
          <w:szCs w:val="16"/>
        </w:rPr>
      </w:pPr>
      <w:r w:rsidRPr="001D0C18">
        <w:rPr>
          <w:rStyle w:val="EndnoteReference"/>
          <w:sz w:val="16"/>
          <w:szCs w:val="16"/>
        </w:rPr>
        <w:endnoteRef/>
      </w:r>
      <w:r w:rsidRPr="001D0C18">
        <w:rPr>
          <w:sz w:val="16"/>
          <w:szCs w:val="16"/>
        </w:rPr>
        <w:t xml:space="preserve"> Tfl 16 August 2012 Tube power network contract restructure to bring savings and greater operational flexibility </w:t>
      </w:r>
      <w:hyperlink r:id="rId217" w:history="1">
        <w:r w:rsidRPr="001D0C18">
          <w:rPr>
            <w:rStyle w:val="Hyperlink"/>
            <w:sz w:val="16"/>
            <w:szCs w:val="16"/>
          </w:rPr>
          <w:t>http://www.tfl.gov.uk/corporate/media/newscentre/archive/25518.aspx</w:t>
        </w:r>
      </w:hyperlink>
      <w:r w:rsidRPr="001D0C18">
        <w:rPr>
          <w:sz w:val="16"/>
          <w:szCs w:val="16"/>
        </w:rPr>
        <w:t xml:space="preserve"> ; Railway Gazette 16 August 2012 </w:t>
      </w:r>
      <w:hyperlink r:id="rId218" w:history="1">
        <w:r w:rsidRPr="001D0C18">
          <w:rPr>
            <w:rStyle w:val="Hyperlink"/>
            <w:sz w:val="16"/>
            <w:szCs w:val="16"/>
          </w:rPr>
          <w:t>http://www.railwaygazette.com/news/single-view/view/london-underground-pulls-the-plug-on-powerlink-pfi.html</w:t>
        </w:r>
      </w:hyperlink>
      <w:r w:rsidRPr="001D0C18">
        <w:rPr>
          <w:sz w:val="16"/>
          <w:szCs w:val="16"/>
        </w:rPr>
        <w:t xml:space="preserve"> </w:t>
      </w:r>
    </w:p>
  </w:endnote>
  <w:endnote w:id="187">
    <w:p w:rsidR="006660F8" w:rsidRPr="001D0C18" w:rsidRDefault="006660F8" w:rsidP="00297567">
      <w:pPr>
        <w:pStyle w:val="EndnoteText"/>
        <w:rPr>
          <w:sz w:val="16"/>
          <w:szCs w:val="16"/>
        </w:rPr>
      </w:pPr>
      <w:r w:rsidRPr="001D0C18">
        <w:rPr>
          <w:rStyle w:val="EndnoteReference"/>
          <w:sz w:val="16"/>
          <w:szCs w:val="16"/>
        </w:rPr>
        <w:endnoteRef/>
      </w:r>
      <w:r w:rsidRPr="001D0C18">
        <w:rPr>
          <w:sz w:val="16"/>
          <w:szCs w:val="16"/>
        </w:rPr>
        <w:t xml:space="preserve"> </w:t>
      </w:r>
      <w:hyperlink r:id="rId219" w:history="1">
        <w:r w:rsidRPr="001D0C18">
          <w:rPr>
            <w:rStyle w:val="Hyperlink"/>
            <w:sz w:val="16"/>
            <w:szCs w:val="16"/>
          </w:rPr>
          <w:t>http://www.railwaygazette.com/news/single-view/view/tfl-expects-pound250m-saving-from-buying-docklands-light-railway-pfi-concessionaries.html</w:t>
        </w:r>
      </w:hyperlink>
      <w:r w:rsidRPr="001D0C18">
        <w:rPr>
          <w:sz w:val="16"/>
          <w:szCs w:val="16"/>
        </w:rPr>
        <w:t xml:space="preserve"> </w:t>
      </w:r>
    </w:p>
  </w:endnote>
  <w:endnote w:id="188">
    <w:p w:rsidR="006660F8" w:rsidRPr="001D0C18" w:rsidRDefault="006660F8" w:rsidP="00297567">
      <w:pPr>
        <w:rPr>
          <w:sz w:val="16"/>
          <w:szCs w:val="16"/>
        </w:rPr>
      </w:pPr>
      <w:r w:rsidRPr="001D0C18">
        <w:rPr>
          <w:rStyle w:val="EndnoteReference"/>
          <w:sz w:val="16"/>
          <w:szCs w:val="16"/>
        </w:rPr>
        <w:endnoteRef/>
      </w:r>
      <w:r>
        <w:rPr>
          <w:sz w:val="16"/>
          <w:szCs w:val="16"/>
        </w:rPr>
        <w:t xml:space="preserve"> </w:t>
      </w:r>
      <w:r w:rsidRPr="001D0C18">
        <w:rPr>
          <w:sz w:val="16"/>
          <w:szCs w:val="16"/>
        </w:rPr>
        <w:t xml:space="preserve">UK Newsquest Regional Press - This is Local London August 31, 2006 Thursday Tube's communication system hampered rescue; TfL Annual Report 2005 </w:t>
      </w:r>
      <w:hyperlink r:id="rId220" w:history="1">
        <w:r w:rsidRPr="001D0C18">
          <w:rPr>
            <w:rStyle w:val="Hyperlink"/>
            <w:sz w:val="16"/>
            <w:szCs w:val="16"/>
          </w:rPr>
          <w:t>http://www.tfl.gov.uk/corporate/about-tfl/investorrelations/4443.aspx</w:t>
        </w:r>
      </w:hyperlink>
      <w:r w:rsidRPr="001D0C18">
        <w:rPr>
          <w:sz w:val="16"/>
          <w:szCs w:val="16"/>
        </w:rPr>
        <w:t xml:space="preserve"> </w:t>
      </w:r>
    </w:p>
  </w:endnote>
  <w:endnote w:id="189">
    <w:p w:rsidR="006660F8" w:rsidRPr="001D0C18" w:rsidRDefault="006660F8" w:rsidP="00A60076">
      <w:pPr>
        <w:rPr>
          <w:sz w:val="16"/>
          <w:szCs w:val="16"/>
        </w:rPr>
      </w:pPr>
      <w:r w:rsidRPr="001D0C18">
        <w:rPr>
          <w:rStyle w:val="EndnoteReference"/>
          <w:sz w:val="16"/>
          <w:szCs w:val="16"/>
        </w:rPr>
        <w:endnoteRef/>
      </w:r>
      <w:r w:rsidRPr="001D0C18">
        <w:rPr>
          <w:sz w:val="16"/>
          <w:szCs w:val="16"/>
        </w:rPr>
        <w:t xml:space="preserve"> House of Commons Library.2012. London Underground after the PPP, 2007</w:t>
      </w:r>
    </w:p>
    <w:p w:rsidR="006660F8" w:rsidRPr="001D0C18" w:rsidRDefault="006660F8" w:rsidP="00A60076">
      <w:pPr>
        <w:pStyle w:val="EndnoteText"/>
        <w:rPr>
          <w:sz w:val="16"/>
          <w:szCs w:val="16"/>
        </w:rPr>
      </w:pPr>
      <w:r w:rsidRPr="001D0C18">
        <w:rPr>
          <w:sz w:val="16"/>
          <w:szCs w:val="16"/>
        </w:rPr>
        <w:t xml:space="preserve"> Briefing Paper SN01746 </w:t>
      </w:r>
      <w:hyperlink r:id="rId221" w:history="1">
        <w:r w:rsidRPr="001D0C18">
          <w:rPr>
            <w:rStyle w:val="Hyperlink"/>
            <w:sz w:val="16"/>
            <w:szCs w:val="16"/>
          </w:rPr>
          <w:t>http://www.parliament.uk/briefing-papers/SN01746</w:t>
        </w:r>
      </w:hyperlink>
    </w:p>
  </w:endnote>
  <w:endnote w:id="190">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TfL evidence to parliamentary Treasury select committee 2011 para 1.1 </w:t>
      </w:r>
      <w:hyperlink r:id="rId222" w:history="1">
        <w:r w:rsidRPr="001D0C18">
          <w:rPr>
            <w:rStyle w:val="Hyperlink"/>
            <w:sz w:val="16"/>
            <w:szCs w:val="16"/>
          </w:rPr>
          <w:t>http://www.publications.parliament.uk/pa/cm201012/cmselect/cmtreasy/1146/1146we05.htm</w:t>
        </w:r>
      </w:hyperlink>
      <w:r w:rsidRPr="001D0C18">
        <w:rPr>
          <w:sz w:val="16"/>
          <w:szCs w:val="16"/>
        </w:rPr>
        <w:t xml:space="preserve"> )</w:t>
      </w:r>
    </w:p>
  </w:endnote>
  <w:endnote w:id="191">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TfL</w:t>
      </w:r>
      <w:r>
        <w:rPr>
          <w:sz w:val="16"/>
          <w:szCs w:val="16"/>
        </w:rPr>
        <w:t xml:space="preserve"> </w:t>
      </w:r>
      <w:r w:rsidRPr="001D0C18">
        <w:rPr>
          <w:sz w:val="16"/>
          <w:szCs w:val="16"/>
        </w:rPr>
        <w:t>19 November 2013</w:t>
      </w:r>
      <w:r>
        <w:rPr>
          <w:sz w:val="16"/>
          <w:szCs w:val="16"/>
        </w:rPr>
        <w:t xml:space="preserve"> </w:t>
      </w:r>
      <w:r w:rsidRPr="001D0C18">
        <w:rPr>
          <w:sz w:val="16"/>
          <w:szCs w:val="16"/>
        </w:rPr>
        <w:t>Northern line extension public inquiry starts today</w:t>
      </w:r>
      <w:r>
        <w:rPr>
          <w:sz w:val="16"/>
          <w:szCs w:val="16"/>
        </w:rPr>
        <w:t xml:space="preserve"> </w:t>
      </w:r>
      <w:hyperlink r:id="rId223" w:history="1">
        <w:r w:rsidRPr="001D0C18">
          <w:rPr>
            <w:rStyle w:val="Hyperlink"/>
            <w:sz w:val="16"/>
            <w:szCs w:val="16"/>
          </w:rPr>
          <w:t>http://www.tfl.gov.uk/corporate/media/newscentre/archive/28947.aspx</w:t>
        </w:r>
      </w:hyperlink>
      <w:r w:rsidRPr="001D0C18">
        <w:rPr>
          <w:sz w:val="16"/>
          <w:szCs w:val="16"/>
        </w:rPr>
        <w:t xml:space="preserve"> ; Rail-technology.com Berenice Baker</w:t>
      </w:r>
      <w:r>
        <w:rPr>
          <w:sz w:val="16"/>
          <w:szCs w:val="16"/>
        </w:rPr>
        <w:t xml:space="preserve"> </w:t>
      </w:r>
      <w:r w:rsidRPr="001D0C18">
        <w:rPr>
          <w:sz w:val="16"/>
          <w:szCs w:val="16"/>
        </w:rPr>
        <w:t>25 March 2013</w:t>
      </w:r>
      <w:r>
        <w:rPr>
          <w:sz w:val="16"/>
          <w:szCs w:val="16"/>
        </w:rPr>
        <w:t xml:space="preserve"> </w:t>
      </w:r>
      <w:r w:rsidRPr="001D0C18">
        <w:rPr>
          <w:sz w:val="16"/>
          <w:szCs w:val="16"/>
        </w:rPr>
        <w:t xml:space="preserve">Pay as you grow – unique funding proposed for Northern Line extension </w:t>
      </w:r>
      <w:hyperlink r:id="rId224" w:history="1">
        <w:r w:rsidRPr="001D0C18">
          <w:rPr>
            <w:rStyle w:val="Hyperlink"/>
            <w:sz w:val="16"/>
            <w:szCs w:val="16"/>
          </w:rPr>
          <w:t>http://www.railway-technology.com/features/featurepay-as-you-grow-funding-proposed-northern-line-extension/</w:t>
        </w:r>
      </w:hyperlink>
      <w:r w:rsidRPr="001D0C18">
        <w:rPr>
          <w:sz w:val="16"/>
          <w:szCs w:val="16"/>
        </w:rPr>
        <w:t xml:space="preserve">; Christian Wolmar 17 October 2013 The wrong sort of extension </w:t>
      </w:r>
      <w:hyperlink r:id="rId225" w:history="1">
        <w:r w:rsidRPr="001D0C18">
          <w:rPr>
            <w:rStyle w:val="Hyperlink"/>
            <w:sz w:val="16"/>
            <w:szCs w:val="16"/>
          </w:rPr>
          <w:t>http://www.wolmarforlondon.co.uk/2013/10/the-wrong-sort-of-extension/</w:t>
        </w:r>
      </w:hyperlink>
    </w:p>
  </w:endnote>
  <w:endnote w:id="192">
    <w:p w:rsidR="006660F8" w:rsidRPr="001D0C18" w:rsidRDefault="006660F8" w:rsidP="00A60076">
      <w:pPr>
        <w:rPr>
          <w:sz w:val="16"/>
          <w:szCs w:val="16"/>
        </w:rPr>
      </w:pPr>
      <w:r w:rsidRPr="001D0C18">
        <w:rPr>
          <w:rStyle w:val="EndnoteReference"/>
          <w:sz w:val="16"/>
          <w:szCs w:val="16"/>
        </w:rPr>
        <w:endnoteRef/>
      </w:r>
      <w:r w:rsidRPr="001D0C18">
        <w:rPr>
          <w:sz w:val="16"/>
          <w:szCs w:val="16"/>
        </w:rPr>
        <w:t xml:space="preserve"> House of Commons Library.2012. London Underground after the PPP, 2007</w:t>
      </w:r>
      <w:r>
        <w:rPr>
          <w:sz w:val="16"/>
          <w:szCs w:val="16"/>
        </w:rPr>
        <w:t xml:space="preserve"> </w:t>
      </w:r>
      <w:r w:rsidRPr="001D0C18">
        <w:rPr>
          <w:sz w:val="16"/>
          <w:szCs w:val="16"/>
        </w:rPr>
        <w:t xml:space="preserve">Briefing Paper SN01746 </w:t>
      </w:r>
      <w:hyperlink r:id="rId226" w:history="1">
        <w:r w:rsidRPr="001D0C18">
          <w:rPr>
            <w:rStyle w:val="Hyperlink"/>
            <w:sz w:val="16"/>
            <w:szCs w:val="16"/>
          </w:rPr>
          <w:t>http://www.parliament.uk/briefing-papers/SN01746</w:t>
        </w:r>
      </w:hyperlink>
      <w:r w:rsidRPr="001D0C18">
        <w:rPr>
          <w:sz w:val="16"/>
          <w:szCs w:val="16"/>
        </w:rPr>
        <w:t xml:space="preserve"> </w:t>
      </w:r>
    </w:p>
  </w:endnote>
  <w:endnote w:id="193">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House of Commons Transport Committee: </w:t>
      </w:r>
      <w:r w:rsidRPr="001D0C18">
        <w:rPr>
          <w:bCs/>
          <w:sz w:val="16"/>
          <w:szCs w:val="16"/>
        </w:rPr>
        <w:t>The London Underground and the Public–Private Partnership Agreements Second Report of Session 2007–08 2007–08</w:t>
      </w:r>
      <w:r>
        <w:rPr>
          <w:bCs/>
          <w:sz w:val="16"/>
          <w:szCs w:val="16"/>
        </w:rPr>
        <w:t xml:space="preserve"> </w:t>
      </w:r>
      <w:r w:rsidRPr="001D0C18">
        <w:rPr>
          <w:bCs/>
          <w:sz w:val="16"/>
          <w:szCs w:val="16"/>
        </w:rPr>
        <w:t xml:space="preserve">HC 45 16 January 2008; </w:t>
      </w:r>
      <w:r w:rsidRPr="001D0C18">
        <w:rPr>
          <w:sz w:val="16"/>
          <w:szCs w:val="16"/>
        </w:rPr>
        <w:t xml:space="preserve">TfL evidence to parliamentary Treasury select committee 2011 para 3.3 </w:t>
      </w:r>
      <w:hyperlink r:id="rId227" w:history="1">
        <w:r w:rsidRPr="001D0C18">
          <w:rPr>
            <w:rStyle w:val="Hyperlink"/>
            <w:sz w:val="16"/>
            <w:szCs w:val="16"/>
          </w:rPr>
          <w:t>http://www.publications.parliament.uk/pa/cm201012/cmselect/cmtreasy/1146/1146we05.htm</w:t>
        </w:r>
      </w:hyperlink>
      <w:r w:rsidRPr="001D0C18">
        <w:rPr>
          <w:sz w:val="16"/>
          <w:szCs w:val="16"/>
        </w:rPr>
        <w:t xml:space="preserve"> </w:t>
      </w:r>
    </w:p>
  </w:endnote>
  <w:endnote w:id="194">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TfL 2012 </w:t>
      </w:r>
      <w:hyperlink r:id="rId228" w:history="1">
        <w:r w:rsidRPr="001D0C18">
          <w:rPr>
            <w:rStyle w:val="Hyperlink"/>
            <w:sz w:val="16"/>
            <w:szCs w:val="16"/>
          </w:rPr>
          <w:t>http://propertiesforlondon.co.uk/2011/12/12/tfl-to-acquire-docklands-light-railway-pfi-concessionaries/</w:t>
        </w:r>
      </w:hyperlink>
      <w:r w:rsidRPr="001D0C18">
        <w:rPr>
          <w:sz w:val="16"/>
          <w:szCs w:val="16"/>
        </w:rPr>
        <w:t xml:space="preserve"> </w:t>
      </w:r>
    </w:p>
  </w:endnote>
  <w:endnote w:id="195">
    <w:p w:rsidR="006660F8" w:rsidRPr="001D0C18" w:rsidRDefault="006660F8" w:rsidP="00A60076">
      <w:pPr>
        <w:rPr>
          <w:bCs/>
          <w:sz w:val="16"/>
          <w:szCs w:val="16"/>
        </w:rPr>
      </w:pPr>
      <w:r w:rsidRPr="001D0C18">
        <w:rPr>
          <w:rStyle w:val="EndnoteReference"/>
          <w:sz w:val="16"/>
          <w:szCs w:val="16"/>
        </w:rPr>
        <w:endnoteRef/>
      </w:r>
      <w:r w:rsidRPr="001D0C18">
        <w:rPr>
          <w:sz w:val="16"/>
          <w:szCs w:val="16"/>
        </w:rPr>
        <w:t xml:space="preserve"> House of Commons Transport Committee: </w:t>
      </w:r>
      <w:r w:rsidRPr="001D0C18">
        <w:rPr>
          <w:bCs/>
          <w:sz w:val="16"/>
          <w:szCs w:val="16"/>
        </w:rPr>
        <w:t>The London Underground and the Public–Private Partnership Agreements Second Report of Session 2007–08 2007–08</w:t>
      </w:r>
      <w:r>
        <w:rPr>
          <w:bCs/>
          <w:sz w:val="16"/>
          <w:szCs w:val="16"/>
        </w:rPr>
        <w:t xml:space="preserve"> </w:t>
      </w:r>
      <w:r w:rsidRPr="001D0C18">
        <w:rPr>
          <w:bCs/>
          <w:sz w:val="16"/>
          <w:szCs w:val="16"/>
        </w:rPr>
        <w:t>HC 45 16 January 2008</w:t>
      </w:r>
    </w:p>
  </w:endnote>
  <w:endnote w:id="196">
    <w:p w:rsidR="006660F8" w:rsidRPr="001D0C18" w:rsidRDefault="006660F8" w:rsidP="00A60076">
      <w:pPr>
        <w:rPr>
          <w:sz w:val="16"/>
          <w:szCs w:val="16"/>
        </w:rPr>
      </w:pPr>
      <w:r w:rsidRPr="001D0C18">
        <w:rPr>
          <w:rStyle w:val="EndnoteReference"/>
          <w:sz w:val="16"/>
          <w:szCs w:val="16"/>
        </w:rPr>
        <w:endnoteRef/>
      </w:r>
      <w:r w:rsidRPr="001D0C18">
        <w:rPr>
          <w:sz w:val="16"/>
          <w:szCs w:val="16"/>
        </w:rPr>
        <w:t xml:space="preserve"> The Economist May 15, 2010</w:t>
      </w:r>
      <w:r>
        <w:rPr>
          <w:sz w:val="16"/>
          <w:szCs w:val="16"/>
        </w:rPr>
        <w:t xml:space="preserve"> </w:t>
      </w:r>
      <w:r w:rsidRPr="001D0C18">
        <w:rPr>
          <w:sz w:val="16"/>
          <w:szCs w:val="16"/>
        </w:rPr>
        <w:t>F</w:t>
      </w:r>
      <w:r w:rsidRPr="001D0C18">
        <w:rPr>
          <w:bCs/>
          <w:sz w:val="16"/>
          <w:szCs w:val="16"/>
        </w:rPr>
        <w:t xml:space="preserve">inis; The Tube upgrade deals </w:t>
      </w:r>
      <w:hyperlink r:id="rId229" w:history="1">
        <w:r w:rsidRPr="001D0C18">
          <w:rPr>
            <w:rStyle w:val="Hyperlink"/>
            <w:bCs/>
            <w:sz w:val="16"/>
            <w:szCs w:val="16"/>
          </w:rPr>
          <w:t>http://www.economist.com/node/16113111</w:t>
        </w:r>
      </w:hyperlink>
      <w:r w:rsidRPr="001D0C18">
        <w:rPr>
          <w:bCs/>
          <w:sz w:val="16"/>
          <w:szCs w:val="16"/>
        </w:rPr>
        <w:t xml:space="preserve"> ; </w:t>
      </w:r>
      <w:r w:rsidRPr="001D0C18">
        <w:rPr>
          <w:sz w:val="16"/>
          <w:szCs w:val="16"/>
        </w:rPr>
        <w:t xml:space="preserve">Christian Wolmar 22 May 2010 Rail 644: Why the PPP was doomed from the start </w:t>
      </w:r>
      <w:hyperlink r:id="rId230" w:history="1">
        <w:r w:rsidRPr="001D0C18">
          <w:rPr>
            <w:rStyle w:val="Hyperlink"/>
            <w:sz w:val="16"/>
            <w:szCs w:val="16"/>
          </w:rPr>
          <w:t>http://www.christianwolmar.co.uk/2010/05/rail-644-why-the-ppp-was-doomed-from-the-start/</w:t>
        </w:r>
      </w:hyperlink>
      <w:r w:rsidRPr="001D0C18">
        <w:rPr>
          <w:rStyle w:val="Hyperlink"/>
          <w:sz w:val="16"/>
          <w:szCs w:val="16"/>
        </w:rPr>
        <w:t xml:space="preserve"> ; </w:t>
      </w:r>
    </w:p>
  </w:endnote>
  <w:endnote w:id="197">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House of Commons Transport Committee: </w:t>
      </w:r>
      <w:r w:rsidRPr="001D0C18">
        <w:rPr>
          <w:bCs/>
          <w:sz w:val="16"/>
          <w:szCs w:val="16"/>
        </w:rPr>
        <w:t>The London Underground and the Public–Private Partnership Agreements Second Report of Session 2007–08 2007–08</w:t>
      </w:r>
      <w:r>
        <w:rPr>
          <w:bCs/>
          <w:sz w:val="16"/>
          <w:szCs w:val="16"/>
        </w:rPr>
        <w:t xml:space="preserve"> </w:t>
      </w:r>
      <w:r w:rsidRPr="001D0C18">
        <w:rPr>
          <w:bCs/>
          <w:sz w:val="16"/>
          <w:szCs w:val="16"/>
        </w:rPr>
        <w:t xml:space="preserve">HC 45 16 January 2008; </w:t>
      </w:r>
      <w:r w:rsidRPr="001D0C18">
        <w:rPr>
          <w:sz w:val="16"/>
          <w:szCs w:val="16"/>
        </w:rPr>
        <w:t xml:space="preserve">TfL evidence to parliamentary Treasury select committee 2011 para 3.3 </w:t>
      </w:r>
      <w:hyperlink r:id="rId231" w:history="1">
        <w:r w:rsidRPr="001D0C18">
          <w:rPr>
            <w:rStyle w:val="Hyperlink"/>
            <w:sz w:val="16"/>
            <w:szCs w:val="16"/>
          </w:rPr>
          <w:t>http://www.publications.parliament.uk/pa/cm201012/cmselect/cmtreasy/1146/1146we05.htm</w:t>
        </w:r>
      </w:hyperlink>
      <w:r w:rsidRPr="001D0C18">
        <w:rPr>
          <w:sz w:val="16"/>
          <w:szCs w:val="16"/>
        </w:rPr>
        <w:t xml:space="preserve"> </w:t>
      </w:r>
    </w:p>
  </w:endnote>
  <w:endnote w:id="198">
    <w:p w:rsidR="006660F8" w:rsidRPr="001D0C18" w:rsidRDefault="006660F8" w:rsidP="001D0C18">
      <w:pPr>
        <w:rPr>
          <w:sz w:val="16"/>
          <w:szCs w:val="16"/>
        </w:rPr>
      </w:pPr>
      <w:r w:rsidRPr="001D0C18">
        <w:rPr>
          <w:rStyle w:val="EndnoteReference"/>
          <w:sz w:val="16"/>
          <w:szCs w:val="16"/>
        </w:rPr>
        <w:endnoteRef/>
      </w:r>
      <w:r w:rsidRPr="001D0C18">
        <w:rPr>
          <w:sz w:val="16"/>
          <w:szCs w:val="16"/>
        </w:rPr>
        <w:t xml:space="preserve"> House of Commons Library.2012. London Underground after the PPP, 2007</w:t>
      </w:r>
      <w:r>
        <w:rPr>
          <w:sz w:val="16"/>
          <w:szCs w:val="16"/>
        </w:rPr>
        <w:t xml:space="preserve"> </w:t>
      </w:r>
      <w:r w:rsidRPr="001D0C18">
        <w:rPr>
          <w:sz w:val="16"/>
          <w:szCs w:val="16"/>
        </w:rPr>
        <w:t xml:space="preserve">Briefing Paper SN01746 </w:t>
      </w:r>
      <w:hyperlink r:id="rId232" w:history="1">
        <w:r w:rsidRPr="001D0C18">
          <w:rPr>
            <w:rStyle w:val="Hyperlink"/>
            <w:sz w:val="16"/>
            <w:szCs w:val="16"/>
          </w:rPr>
          <w:t>http://www.parliament.uk/briefing-papers/SN01746</w:t>
        </w:r>
      </w:hyperlink>
    </w:p>
  </w:endnote>
  <w:endnote w:id="199">
    <w:p w:rsidR="006660F8" w:rsidRPr="001D0C18" w:rsidRDefault="006660F8" w:rsidP="001D0C18">
      <w:pPr>
        <w:rPr>
          <w:sz w:val="16"/>
          <w:szCs w:val="16"/>
        </w:rPr>
      </w:pPr>
      <w:r w:rsidRPr="001D0C18">
        <w:rPr>
          <w:rStyle w:val="EndnoteReference"/>
          <w:sz w:val="16"/>
          <w:szCs w:val="16"/>
        </w:rPr>
        <w:endnoteRef/>
      </w:r>
      <w:r w:rsidRPr="001D0C18">
        <w:rPr>
          <w:sz w:val="16"/>
          <w:szCs w:val="16"/>
        </w:rPr>
        <w:t xml:space="preserve"> House of Commons Library.2012. London Underground after the PPP, 2007</w:t>
      </w:r>
      <w:r>
        <w:rPr>
          <w:sz w:val="16"/>
          <w:szCs w:val="16"/>
        </w:rPr>
        <w:t xml:space="preserve"> </w:t>
      </w:r>
      <w:r w:rsidRPr="001D0C18">
        <w:rPr>
          <w:sz w:val="16"/>
          <w:szCs w:val="16"/>
        </w:rPr>
        <w:t xml:space="preserve">Briefing Paper SN01746 </w:t>
      </w:r>
      <w:hyperlink r:id="rId233" w:history="1">
        <w:r w:rsidRPr="001D0C18">
          <w:rPr>
            <w:rStyle w:val="Hyperlink"/>
            <w:sz w:val="16"/>
            <w:szCs w:val="16"/>
          </w:rPr>
          <w:t>http://www.parliament.uk/briefing-papers/SN01746</w:t>
        </w:r>
      </w:hyperlink>
    </w:p>
  </w:endnote>
  <w:endnote w:id="200">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TfL evidence to parliamentary Treasury select committee 2011 para 3.3, 3.6 </w:t>
      </w:r>
      <w:hyperlink r:id="rId234" w:history="1">
        <w:r w:rsidRPr="001D0C18">
          <w:rPr>
            <w:rStyle w:val="Hyperlink"/>
            <w:sz w:val="16"/>
            <w:szCs w:val="16"/>
          </w:rPr>
          <w:t>http://www.publications.parliament.uk/pa/cm201012/cmselect/cmtreasy/1146/1146we05.htm</w:t>
        </w:r>
      </w:hyperlink>
    </w:p>
  </w:endnote>
  <w:endnote w:id="201">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House of Commons Transport Committee: </w:t>
      </w:r>
      <w:r w:rsidRPr="001D0C18">
        <w:rPr>
          <w:bCs/>
          <w:sz w:val="16"/>
          <w:szCs w:val="16"/>
        </w:rPr>
        <w:t>The London Underground and the Public–Private Partnership Agreements Second Report of Session 2007–08 2007–08</w:t>
      </w:r>
      <w:r>
        <w:rPr>
          <w:bCs/>
          <w:sz w:val="16"/>
          <w:szCs w:val="16"/>
        </w:rPr>
        <w:t xml:space="preserve"> </w:t>
      </w:r>
      <w:r w:rsidRPr="001D0C18">
        <w:rPr>
          <w:bCs/>
          <w:sz w:val="16"/>
          <w:szCs w:val="16"/>
        </w:rPr>
        <w:t xml:space="preserve">HC 45 16 January 2008; </w:t>
      </w:r>
      <w:r w:rsidRPr="001D0C18">
        <w:rPr>
          <w:sz w:val="16"/>
          <w:szCs w:val="16"/>
        </w:rPr>
        <w:t xml:space="preserve">TfL evidence to parliamentary Treasury select committee 2011 para 3.3 </w:t>
      </w:r>
      <w:hyperlink r:id="rId235" w:history="1">
        <w:r w:rsidRPr="001D0C18">
          <w:rPr>
            <w:rStyle w:val="Hyperlink"/>
            <w:sz w:val="16"/>
            <w:szCs w:val="16"/>
          </w:rPr>
          <w:t>http://www.publications.parliament.uk/pa/cm201012/cmselect/cmtreasy/1146/1146we05.htm</w:t>
        </w:r>
      </w:hyperlink>
    </w:p>
  </w:endnote>
  <w:endnote w:id="202">
    <w:p w:rsidR="006660F8" w:rsidRPr="001D0C18" w:rsidRDefault="006660F8" w:rsidP="00A60076">
      <w:pPr>
        <w:rPr>
          <w:bCs/>
          <w:sz w:val="16"/>
          <w:szCs w:val="16"/>
        </w:rPr>
      </w:pPr>
      <w:r w:rsidRPr="001D0C18">
        <w:rPr>
          <w:rStyle w:val="EndnoteReference"/>
          <w:sz w:val="16"/>
          <w:szCs w:val="16"/>
        </w:rPr>
        <w:endnoteRef/>
      </w:r>
      <w:r w:rsidRPr="001D0C18">
        <w:rPr>
          <w:sz w:val="16"/>
          <w:szCs w:val="16"/>
        </w:rPr>
        <w:t xml:space="preserve"> House of Commons Transport Committee: </w:t>
      </w:r>
      <w:r w:rsidRPr="001D0C18">
        <w:rPr>
          <w:bCs/>
          <w:sz w:val="16"/>
          <w:szCs w:val="16"/>
        </w:rPr>
        <w:t>The London Underground and the Public–Private Partnership Agreements Second Report of Session 2007–08 2007–08</w:t>
      </w:r>
      <w:r>
        <w:rPr>
          <w:bCs/>
          <w:sz w:val="16"/>
          <w:szCs w:val="16"/>
        </w:rPr>
        <w:t xml:space="preserve"> </w:t>
      </w:r>
      <w:r w:rsidRPr="001D0C18">
        <w:rPr>
          <w:bCs/>
          <w:sz w:val="16"/>
          <w:szCs w:val="16"/>
        </w:rPr>
        <w:t>HC 45 16 January 2008</w:t>
      </w:r>
    </w:p>
  </w:endnote>
  <w:endnote w:id="203">
    <w:p w:rsidR="006660F8" w:rsidRPr="001D0C18" w:rsidRDefault="006660F8" w:rsidP="00A60076">
      <w:pPr>
        <w:rPr>
          <w:sz w:val="16"/>
          <w:szCs w:val="16"/>
        </w:rPr>
      </w:pPr>
      <w:r w:rsidRPr="001D0C18">
        <w:rPr>
          <w:rStyle w:val="EndnoteReference"/>
          <w:sz w:val="16"/>
          <w:szCs w:val="16"/>
        </w:rPr>
        <w:endnoteRef/>
      </w:r>
      <w:r w:rsidRPr="001D0C18">
        <w:rPr>
          <w:sz w:val="16"/>
          <w:szCs w:val="16"/>
        </w:rPr>
        <w:t xml:space="preserve"> House of Commons Library.2012. London Underground after the PPP, 2007</w:t>
      </w:r>
    </w:p>
    <w:p w:rsidR="006660F8" w:rsidRPr="001D0C18" w:rsidRDefault="006660F8" w:rsidP="00A60076">
      <w:pPr>
        <w:pStyle w:val="EndnoteText"/>
        <w:rPr>
          <w:sz w:val="16"/>
          <w:szCs w:val="16"/>
        </w:rPr>
      </w:pPr>
      <w:r w:rsidRPr="001D0C18">
        <w:rPr>
          <w:sz w:val="16"/>
          <w:szCs w:val="16"/>
        </w:rPr>
        <w:t xml:space="preserve"> Briefing Paper SN01746 </w:t>
      </w:r>
      <w:hyperlink r:id="rId236" w:history="1">
        <w:r w:rsidRPr="001D0C18">
          <w:rPr>
            <w:rStyle w:val="Hyperlink"/>
            <w:sz w:val="16"/>
            <w:szCs w:val="16"/>
          </w:rPr>
          <w:t>http://www.parliament.uk/briefing-papers/SN01746</w:t>
        </w:r>
      </w:hyperlink>
    </w:p>
  </w:endnote>
  <w:endnote w:id="204">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The Lawyer</w:t>
      </w:r>
      <w:r>
        <w:rPr>
          <w:sz w:val="16"/>
          <w:szCs w:val="16"/>
        </w:rPr>
        <w:t xml:space="preserve"> </w:t>
      </w:r>
      <w:r w:rsidRPr="001D0C18">
        <w:rPr>
          <w:sz w:val="16"/>
          <w:szCs w:val="16"/>
        </w:rPr>
        <w:t xml:space="preserve">6 September 2010 </w:t>
      </w:r>
      <w:hyperlink r:id="rId237" w:history="1">
        <w:r w:rsidRPr="001D0C18">
          <w:rPr>
            <w:rStyle w:val="Hyperlink"/>
            <w:sz w:val="16"/>
            <w:szCs w:val="16"/>
          </w:rPr>
          <w:t>http://www.thelawyer.com/does-failure-of-tfl-deals-spell-the-end-of-the-line-for-ppp-bonanza/1005403.article</w:t>
        </w:r>
      </w:hyperlink>
    </w:p>
  </w:endnote>
  <w:endnote w:id="205">
    <w:p w:rsidR="006660F8" w:rsidRPr="001D0C18" w:rsidRDefault="006660F8" w:rsidP="00A60076">
      <w:pPr>
        <w:rPr>
          <w:sz w:val="16"/>
          <w:szCs w:val="16"/>
        </w:rPr>
      </w:pPr>
      <w:r w:rsidRPr="001D0C18">
        <w:rPr>
          <w:rStyle w:val="EndnoteReference"/>
          <w:sz w:val="16"/>
          <w:szCs w:val="16"/>
        </w:rPr>
        <w:endnoteRef/>
      </w:r>
      <w:r w:rsidRPr="001D0C18">
        <w:rPr>
          <w:sz w:val="16"/>
          <w:szCs w:val="16"/>
        </w:rPr>
        <w:t xml:space="preserve"> Economist Dec 15th 2012 RIPPP - India’s love affair with public-private partnerships faces a stern test</w:t>
      </w:r>
    </w:p>
    <w:p w:rsidR="006660F8" w:rsidRPr="001D0C18" w:rsidRDefault="00A723E5" w:rsidP="00A60076">
      <w:pPr>
        <w:rPr>
          <w:sz w:val="16"/>
          <w:szCs w:val="16"/>
        </w:rPr>
      </w:pPr>
      <w:hyperlink r:id="rId238" w:history="1">
        <w:r w:rsidR="006660F8" w:rsidRPr="001D0C18">
          <w:rPr>
            <w:rStyle w:val="Hyperlink"/>
            <w:sz w:val="16"/>
            <w:szCs w:val="16"/>
          </w:rPr>
          <w:t>http://www.economist.com/news/finance-and-economics/21568397-indias-love-affair-public-private-partnerships-faces-stern-test-rippp</w:t>
        </w:r>
      </w:hyperlink>
      <w:r w:rsidR="006660F8" w:rsidRPr="001D0C18">
        <w:rPr>
          <w:sz w:val="16"/>
          <w:szCs w:val="16"/>
        </w:rPr>
        <w:t xml:space="preserve"> </w:t>
      </w:r>
    </w:p>
  </w:endnote>
  <w:endnote w:id="206">
    <w:p w:rsidR="006660F8" w:rsidRPr="00191F44" w:rsidRDefault="006660F8" w:rsidP="002C21EF">
      <w:pPr>
        <w:pStyle w:val="EndnoteText"/>
        <w:rPr>
          <w:sz w:val="16"/>
          <w:szCs w:val="16"/>
        </w:rPr>
      </w:pPr>
      <w:r w:rsidRPr="00191F44">
        <w:rPr>
          <w:rStyle w:val="EndnoteReference"/>
          <w:sz w:val="16"/>
          <w:szCs w:val="16"/>
        </w:rPr>
        <w:endnoteRef/>
      </w:r>
      <w:r w:rsidRPr="00191F44">
        <w:rPr>
          <w:sz w:val="16"/>
          <w:szCs w:val="16"/>
        </w:rPr>
        <w:t xml:space="preserve"> Economic Times Oct 14, 2013 Stalled PPP infrastructure projects likely to get a renegotiation clause </w:t>
      </w:r>
    </w:p>
    <w:p w:rsidR="006660F8" w:rsidRDefault="00A723E5" w:rsidP="002C21EF">
      <w:pPr>
        <w:pStyle w:val="EndnoteText"/>
      </w:pPr>
      <w:hyperlink r:id="rId239" w:history="1">
        <w:r w:rsidR="006660F8" w:rsidRPr="00191F44">
          <w:rPr>
            <w:rStyle w:val="Hyperlink"/>
            <w:sz w:val="16"/>
            <w:szCs w:val="16"/>
          </w:rPr>
          <w:t>http://articles.economictimes.indiatimes.com/2013-10-14/news/43027188_1_renegotiation-public-private-partnership-projects-ultra-mega-power-projects</w:t>
        </w:r>
      </w:hyperlink>
    </w:p>
  </w:endnote>
  <w:endnote w:id="207">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Down to Earth </w:t>
      </w:r>
      <w:r w:rsidRPr="001D0C18">
        <w:rPr>
          <w:rStyle w:val="taglabel"/>
          <w:sz w:val="16"/>
          <w:szCs w:val="16"/>
        </w:rPr>
        <w:t>Jul 31, 2013</w:t>
      </w:r>
      <w:r>
        <w:rPr>
          <w:rStyle w:val="taglabel"/>
          <w:sz w:val="16"/>
          <w:szCs w:val="16"/>
        </w:rPr>
        <w:t xml:space="preserve"> </w:t>
      </w:r>
      <w:r w:rsidRPr="001D0C18">
        <w:rPr>
          <w:sz w:val="16"/>
          <w:szCs w:val="16"/>
        </w:rPr>
        <w:t>Profitable exit</w:t>
      </w:r>
      <w:r>
        <w:rPr>
          <w:sz w:val="16"/>
          <w:szCs w:val="16"/>
        </w:rPr>
        <w:t xml:space="preserve"> </w:t>
      </w:r>
      <w:hyperlink r:id="rId240" w:history="1">
        <w:r w:rsidRPr="001D0C18">
          <w:rPr>
            <w:rStyle w:val="Hyperlink"/>
            <w:sz w:val="16"/>
            <w:szCs w:val="16"/>
          </w:rPr>
          <w:t>http://www.downtoearth.org.in/content/profitable-exit</w:t>
        </w:r>
      </w:hyperlink>
      <w:r w:rsidRPr="001D0C18">
        <w:rPr>
          <w:sz w:val="16"/>
          <w:szCs w:val="16"/>
        </w:rPr>
        <w:t xml:space="preserve"> </w:t>
      </w:r>
    </w:p>
  </w:endnote>
  <w:endnote w:id="208">
    <w:p w:rsidR="006660F8" w:rsidRPr="001D0C18" w:rsidRDefault="006660F8" w:rsidP="00A60076">
      <w:pPr>
        <w:rPr>
          <w:sz w:val="16"/>
          <w:szCs w:val="16"/>
        </w:rPr>
      </w:pPr>
      <w:r w:rsidRPr="001D0C18">
        <w:rPr>
          <w:rStyle w:val="EndnoteReference"/>
          <w:sz w:val="16"/>
          <w:szCs w:val="16"/>
        </w:rPr>
        <w:endnoteRef/>
      </w:r>
      <w:r>
        <w:rPr>
          <w:sz w:val="16"/>
          <w:szCs w:val="16"/>
        </w:rPr>
        <w:t xml:space="preserve"> </w:t>
      </w:r>
      <w:r w:rsidRPr="001D0C18">
        <w:rPr>
          <w:sz w:val="16"/>
          <w:szCs w:val="16"/>
        </w:rPr>
        <w:t xml:space="preserve">Down to Earth 19 Dec 2012 PPP is the way forward to improve healthcare in India: McKinsey </w:t>
      </w:r>
    </w:p>
    <w:p w:rsidR="006660F8" w:rsidRPr="001D0C18" w:rsidRDefault="006660F8" w:rsidP="00A60076">
      <w:pPr>
        <w:pStyle w:val="EndnoteText"/>
        <w:rPr>
          <w:sz w:val="16"/>
          <w:szCs w:val="16"/>
        </w:rPr>
      </w:pPr>
      <w:r w:rsidRPr="001D0C18">
        <w:rPr>
          <w:sz w:val="16"/>
          <w:szCs w:val="16"/>
        </w:rPr>
        <w:t xml:space="preserve"> </w:t>
      </w:r>
      <w:hyperlink r:id="rId241" w:history="1">
        <w:r w:rsidRPr="001D0C18">
          <w:rPr>
            <w:rStyle w:val="Hyperlink"/>
            <w:sz w:val="16"/>
            <w:szCs w:val="16"/>
          </w:rPr>
          <w:t>http://www.downtoearth.org.in/content/ppp-way-forward-improve-healthcare-india-mckinsey</w:t>
        </w:r>
      </w:hyperlink>
      <w:r w:rsidRPr="001D0C18">
        <w:rPr>
          <w:sz w:val="16"/>
          <w:szCs w:val="16"/>
        </w:rPr>
        <w:t xml:space="preserve"> </w:t>
      </w:r>
    </w:p>
  </w:endnote>
  <w:endnote w:id="209">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Down to Earth</w:t>
      </w:r>
      <w:r>
        <w:rPr>
          <w:sz w:val="16"/>
          <w:szCs w:val="16"/>
        </w:rPr>
        <w:t xml:space="preserve"> </w:t>
      </w:r>
      <w:r w:rsidRPr="001D0C18">
        <w:rPr>
          <w:sz w:val="16"/>
          <w:szCs w:val="16"/>
        </w:rPr>
        <w:t>21 June 2013</w:t>
      </w:r>
      <w:r>
        <w:rPr>
          <w:sz w:val="16"/>
          <w:szCs w:val="16"/>
        </w:rPr>
        <w:t xml:space="preserve"> </w:t>
      </w:r>
      <w:hyperlink r:id="rId242" w:history="1">
        <w:r w:rsidRPr="001D0C18">
          <w:rPr>
            <w:rStyle w:val="Hyperlink"/>
            <w:sz w:val="16"/>
            <w:szCs w:val="16"/>
          </w:rPr>
          <w:t>http://www.downtoearth.org.in/content/chhatisgarh-stalls-ppp-project-outsource-diagnostic-facilities</w:t>
        </w:r>
      </w:hyperlink>
      <w:r w:rsidRPr="001D0C18">
        <w:rPr>
          <w:sz w:val="16"/>
          <w:szCs w:val="16"/>
        </w:rPr>
        <w:t>; Down to Earth</w:t>
      </w:r>
      <w:r>
        <w:rPr>
          <w:sz w:val="16"/>
          <w:szCs w:val="16"/>
        </w:rPr>
        <w:t xml:space="preserve"> </w:t>
      </w:r>
      <w:r w:rsidRPr="001D0C18">
        <w:rPr>
          <w:sz w:val="16"/>
          <w:szCs w:val="16"/>
        </w:rPr>
        <w:t xml:space="preserve">24 May 2013 'Chhattisgarh's PPP model for diagnostic services flawed' </w:t>
      </w:r>
      <w:hyperlink r:id="rId243" w:history="1">
        <w:r w:rsidRPr="001D0C18">
          <w:rPr>
            <w:rStyle w:val="Hyperlink"/>
            <w:sz w:val="16"/>
            <w:szCs w:val="16"/>
          </w:rPr>
          <w:t>http://www.downtoearth.org.in/content/chhattisgarhs-ppp-model-diagnostic-services-flawed</w:t>
        </w:r>
      </w:hyperlink>
      <w:r w:rsidRPr="001D0C18">
        <w:rPr>
          <w:sz w:val="16"/>
          <w:szCs w:val="16"/>
        </w:rPr>
        <w:t xml:space="preserve"> </w:t>
      </w:r>
    </w:p>
  </w:endnote>
  <w:endnote w:id="210">
    <w:p w:rsidR="006660F8" w:rsidRPr="001D0C18" w:rsidRDefault="006660F8" w:rsidP="00A60076">
      <w:pPr>
        <w:rPr>
          <w:sz w:val="16"/>
          <w:szCs w:val="16"/>
        </w:rPr>
      </w:pPr>
      <w:r w:rsidRPr="001D0C18">
        <w:rPr>
          <w:rStyle w:val="EndnoteReference"/>
          <w:sz w:val="16"/>
          <w:szCs w:val="16"/>
        </w:rPr>
        <w:endnoteRef/>
      </w:r>
      <w:r w:rsidRPr="001D0C18">
        <w:rPr>
          <w:sz w:val="16"/>
          <w:szCs w:val="16"/>
        </w:rPr>
        <w:t xml:space="preserve"> Down to Earth 30 November 2013 2.9 mln TB cases go unreported </w:t>
      </w:r>
      <w:hyperlink r:id="rId244" w:history="1">
        <w:r w:rsidRPr="001D0C18">
          <w:rPr>
            <w:rStyle w:val="Hyperlink"/>
            <w:sz w:val="16"/>
            <w:szCs w:val="16"/>
          </w:rPr>
          <w:t>http://www.downtoearth.org.in/content/29-mln-tb-cases-go-unreported</w:t>
        </w:r>
      </w:hyperlink>
    </w:p>
  </w:endnote>
  <w:endnote w:id="211">
    <w:p w:rsidR="006660F8" w:rsidRPr="001D0C18" w:rsidRDefault="006660F8" w:rsidP="00A60076">
      <w:pPr>
        <w:rPr>
          <w:sz w:val="16"/>
          <w:szCs w:val="16"/>
        </w:rPr>
      </w:pPr>
      <w:r w:rsidRPr="001D0C18">
        <w:rPr>
          <w:rStyle w:val="EndnoteReference"/>
          <w:sz w:val="16"/>
          <w:szCs w:val="16"/>
        </w:rPr>
        <w:endnoteRef/>
      </w:r>
      <w:r>
        <w:rPr>
          <w:sz w:val="16"/>
          <w:szCs w:val="16"/>
        </w:rPr>
        <w:t xml:space="preserve"> </w:t>
      </w:r>
      <w:r w:rsidRPr="001D0C18">
        <w:rPr>
          <w:sz w:val="16"/>
          <w:szCs w:val="16"/>
        </w:rPr>
        <w:t xml:space="preserve">Down to Earth </w:t>
      </w:r>
      <w:r w:rsidRPr="001D0C18">
        <w:rPr>
          <w:rStyle w:val="taglabel"/>
          <w:sz w:val="16"/>
          <w:szCs w:val="16"/>
        </w:rPr>
        <w:t>Oct 5, 2013</w:t>
      </w:r>
      <w:r>
        <w:rPr>
          <w:rStyle w:val="taglabel"/>
          <w:sz w:val="16"/>
          <w:szCs w:val="16"/>
        </w:rPr>
        <w:t xml:space="preserve"> </w:t>
      </w:r>
      <w:r w:rsidRPr="001D0C18">
        <w:rPr>
          <w:sz w:val="16"/>
          <w:szCs w:val="16"/>
        </w:rPr>
        <w:t xml:space="preserve">India launches vaccine against Japanese encephalitis </w:t>
      </w:r>
    </w:p>
    <w:p w:rsidR="006660F8" w:rsidRPr="001D0C18" w:rsidRDefault="00A723E5" w:rsidP="00A60076">
      <w:pPr>
        <w:pStyle w:val="EndnoteText"/>
        <w:rPr>
          <w:sz w:val="16"/>
          <w:szCs w:val="16"/>
        </w:rPr>
      </w:pPr>
      <w:hyperlink r:id="rId245" w:history="1">
        <w:r w:rsidR="006660F8" w:rsidRPr="001D0C18">
          <w:rPr>
            <w:rStyle w:val="Hyperlink"/>
            <w:sz w:val="16"/>
            <w:szCs w:val="16"/>
          </w:rPr>
          <w:t>http://www.downtoearth.org.in/content/india-launches-vaccine-against-japanese-encephalitis</w:t>
        </w:r>
      </w:hyperlink>
      <w:r w:rsidR="006660F8" w:rsidRPr="001D0C18">
        <w:rPr>
          <w:sz w:val="16"/>
          <w:szCs w:val="16"/>
        </w:rPr>
        <w:t xml:space="preserve"> </w:t>
      </w:r>
    </w:p>
  </w:endnote>
  <w:endnote w:id="212">
    <w:p w:rsidR="006660F8" w:rsidRPr="001D0C18" w:rsidRDefault="006660F8" w:rsidP="00A60076">
      <w:pPr>
        <w:rPr>
          <w:sz w:val="16"/>
          <w:szCs w:val="16"/>
        </w:rPr>
      </w:pPr>
      <w:r w:rsidRPr="001D0C18">
        <w:rPr>
          <w:rStyle w:val="EndnoteReference"/>
          <w:sz w:val="16"/>
          <w:szCs w:val="16"/>
        </w:rPr>
        <w:endnoteRef/>
      </w:r>
      <w:r w:rsidRPr="001D0C18">
        <w:rPr>
          <w:sz w:val="16"/>
          <w:szCs w:val="16"/>
        </w:rPr>
        <w:t xml:space="preserve"> Down to Earth </w:t>
      </w:r>
      <w:r w:rsidRPr="001D0C18">
        <w:rPr>
          <w:rStyle w:val="taglabel"/>
          <w:sz w:val="16"/>
          <w:szCs w:val="16"/>
        </w:rPr>
        <w:t>Sep 30, 2013</w:t>
      </w:r>
      <w:r>
        <w:rPr>
          <w:rStyle w:val="taglabel"/>
          <w:sz w:val="16"/>
          <w:szCs w:val="16"/>
        </w:rPr>
        <w:t xml:space="preserve"> </w:t>
      </w:r>
      <w:r w:rsidRPr="001D0C18">
        <w:rPr>
          <w:sz w:val="16"/>
          <w:szCs w:val="16"/>
        </w:rPr>
        <w:t xml:space="preserve">Elementary failure </w:t>
      </w:r>
      <w:hyperlink r:id="rId246" w:history="1">
        <w:r w:rsidRPr="001D0C18">
          <w:rPr>
            <w:rStyle w:val="Hyperlink"/>
            <w:sz w:val="16"/>
            <w:szCs w:val="16"/>
          </w:rPr>
          <w:t>http://www.downtoearth.org.in/content/elementary-failure</w:t>
        </w:r>
      </w:hyperlink>
    </w:p>
  </w:endnote>
  <w:endnote w:id="213">
    <w:p w:rsidR="006660F8" w:rsidRPr="00191F44" w:rsidRDefault="006660F8">
      <w:pPr>
        <w:pStyle w:val="EndnoteText"/>
        <w:rPr>
          <w:sz w:val="16"/>
          <w:szCs w:val="16"/>
        </w:rPr>
      </w:pPr>
      <w:r w:rsidRPr="00191F44">
        <w:rPr>
          <w:rStyle w:val="EndnoteReference"/>
          <w:sz w:val="16"/>
          <w:szCs w:val="16"/>
        </w:rPr>
        <w:endnoteRef/>
      </w:r>
      <w:r w:rsidRPr="00191F44">
        <w:rPr>
          <w:sz w:val="16"/>
          <w:szCs w:val="16"/>
        </w:rPr>
        <w:t xml:space="preserve"> </w:t>
      </w:r>
      <w:r w:rsidRPr="00191F44">
        <w:rPr>
          <w:rFonts w:cstheme="minorHAnsi"/>
          <w:sz w:val="16"/>
          <w:szCs w:val="16"/>
        </w:rPr>
        <w:t xml:space="preserve">Firstpost Politics Feb 2, 2013PPP models create incentives for corruption: Aam Aadmi Party </w:t>
      </w:r>
      <w:hyperlink r:id="rId247" w:history="1">
        <w:r w:rsidRPr="00191F44">
          <w:rPr>
            <w:rStyle w:val="Hyperlink"/>
            <w:rFonts w:cstheme="minorHAnsi"/>
            <w:sz w:val="16"/>
            <w:szCs w:val="16"/>
          </w:rPr>
          <w:t>http://www.firstpost.com/politics/kejriwal-takes-on-sheila-dikshit-again-this-time-on-electricity-610673.html?utm_source=ref_article</w:t>
        </w:r>
      </w:hyperlink>
    </w:p>
  </w:endnote>
  <w:endnote w:id="214">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Global Assessment Report on Disaster Risk Reduction 2013</w:t>
      </w:r>
      <w:r>
        <w:rPr>
          <w:sz w:val="16"/>
          <w:szCs w:val="16"/>
        </w:rPr>
        <w:t xml:space="preserve"> </w:t>
      </w:r>
      <w:hyperlink r:id="rId248" w:history="1">
        <w:r w:rsidRPr="001D0C18">
          <w:rPr>
            <w:rStyle w:val="Hyperlink"/>
            <w:sz w:val="16"/>
            <w:szCs w:val="16"/>
          </w:rPr>
          <w:t>http://www.preventionweb.net/english/hyogo/gar/2013/en/home/index.html</w:t>
        </w:r>
      </w:hyperlink>
      <w:r w:rsidRPr="001D0C18">
        <w:rPr>
          <w:sz w:val="16"/>
          <w:szCs w:val="16"/>
        </w:rPr>
        <w:t xml:space="preserve"> </w:t>
      </w:r>
    </w:p>
  </w:endnote>
  <w:endnote w:id="215">
    <w:p w:rsidR="006660F8" w:rsidRPr="001D0C18" w:rsidRDefault="006660F8" w:rsidP="00A60076">
      <w:pPr>
        <w:pStyle w:val="EndnoteText"/>
        <w:rPr>
          <w:sz w:val="16"/>
          <w:szCs w:val="16"/>
        </w:rPr>
      </w:pPr>
      <w:r w:rsidRPr="001D0C18">
        <w:rPr>
          <w:rStyle w:val="EndnoteReference"/>
          <w:sz w:val="16"/>
          <w:szCs w:val="16"/>
        </w:rPr>
        <w:endnoteRef/>
      </w:r>
      <w:r>
        <w:rPr>
          <w:sz w:val="16"/>
          <w:szCs w:val="16"/>
        </w:rPr>
        <w:t xml:space="preserve"> </w:t>
      </w:r>
      <w:hyperlink r:id="rId249" w:history="1">
        <w:r w:rsidRPr="001D0C18">
          <w:rPr>
            <w:rStyle w:val="Hyperlink"/>
            <w:sz w:val="16"/>
            <w:szCs w:val="16"/>
          </w:rPr>
          <w:t>http://www.downtoearth.org.in/content/participation-or-takeover</w:t>
        </w:r>
      </w:hyperlink>
      <w:r w:rsidRPr="001D0C18">
        <w:rPr>
          <w:sz w:val="16"/>
          <w:szCs w:val="16"/>
        </w:rPr>
        <w:t xml:space="preserve"> </w:t>
      </w:r>
    </w:p>
  </w:endnote>
  <w:endnote w:id="216">
    <w:p w:rsidR="006660F8" w:rsidRPr="001D0C18" w:rsidRDefault="006660F8" w:rsidP="00A60076">
      <w:pPr>
        <w:pStyle w:val="EndnoteText"/>
        <w:rPr>
          <w:sz w:val="16"/>
          <w:szCs w:val="16"/>
        </w:rPr>
      </w:pPr>
      <w:r w:rsidRPr="001D0C18">
        <w:rPr>
          <w:rStyle w:val="EndnoteReference"/>
          <w:sz w:val="16"/>
          <w:szCs w:val="16"/>
        </w:rPr>
        <w:endnoteRef/>
      </w:r>
      <w:r>
        <w:rPr>
          <w:sz w:val="16"/>
          <w:szCs w:val="16"/>
        </w:rPr>
        <w:t xml:space="preserve"> </w:t>
      </w:r>
      <w:hyperlink r:id="rId250" w:history="1">
        <w:r w:rsidRPr="001D0C18">
          <w:rPr>
            <w:rStyle w:val="Hyperlink"/>
            <w:sz w:val="16"/>
            <w:szCs w:val="16"/>
          </w:rPr>
          <w:t>http://www.hoganlovells.com/files/Publication/ef6ff8d4-c4f0-4e0e-adf5-2e36ac1bbea1/Presentation/PublicationAttachment/882619d4-3efd-4f2d-ac28-5b7fa990fdf4/LALBR.pdf</w:t>
        </w:r>
      </w:hyperlink>
      <w:r w:rsidRPr="001D0C18">
        <w:rPr>
          <w:sz w:val="16"/>
          <w:szCs w:val="16"/>
        </w:rPr>
        <w:t xml:space="preserve"> </w:t>
      </w:r>
    </w:p>
  </w:endnote>
  <w:endnote w:id="217">
    <w:p w:rsidR="006660F8" w:rsidRPr="001D0C18" w:rsidRDefault="006660F8" w:rsidP="00A60076">
      <w:pPr>
        <w:pStyle w:val="EndnoteText"/>
        <w:rPr>
          <w:bCs/>
          <w:sz w:val="16"/>
          <w:szCs w:val="16"/>
        </w:rPr>
      </w:pPr>
      <w:r w:rsidRPr="001D0C18">
        <w:rPr>
          <w:rStyle w:val="EndnoteReference"/>
          <w:sz w:val="16"/>
          <w:szCs w:val="16"/>
        </w:rPr>
        <w:endnoteRef/>
      </w:r>
      <w:r>
        <w:rPr>
          <w:sz w:val="16"/>
          <w:szCs w:val="16"/>
        </w:rPr>
        <w:t xml:space="preserve"> </w:t>
      </w:r>
      <w:r w:rsidRPr="001D0C18">
        <w:rPr>
          <w:sz w:val="16"/>
          <w:szCs w:val="16"/>
        </w:rPr>
        <w:t xml:space="preserve">FT May 8, 2012 </w:t>
      </w:r>
      <w:r w:rsidRPr="001D0C18">
        <w:rPr>
          <w:bCs/>
          <w:sz w:val="16"/>
          <w:szCs w:val="16"/>
        </w:rPr>
        <w:t>Infrastructure: Pressing need for better transport</w:t>
      </w:r>
    </w:p>
    <w:p w:rsidR="006660F8" w:rsidRPr="001D0C18" w:rsidRDefault="006660F8" w:rsidP="00A60076">
      <w:pPr>
        <w:pStyle w:val="EndnoteText"/>
        <w:rPr>
          <w:sz w:val="16"/>
          <w:szCs w:val="16"/>
        </w:rPr>
      </w:pPr>
      <w:r>
        <w:rPr>
          <w:sz w:val="16"/>
          <w:szCs w:val="16"/>
        </w:rPr>
        <w:t xml:space="preserve"> </w:t>
      </w:r>
      <w:hyperlink r:id="rId251" w:anchor="axzz2mROn9frU" w:history="1">
        <w:r w:rsidRPr="001D0C18">
          <w:rPr>
            <w:rStyle w:val="Hyperlink"/>
            <w:sz w:val="16"/>
            <w:szCs w:val="16"/>
          </w:rPr>
          <w:t>http://www.ft.com/cms/s/0/4fd1e216-9441-11e1-bb47-00144feab49a.html#axzz2mROn9frU</w:t>
        </w:r>
      </w:hyperlink>
      <w:r w:rsidRPr="001D0C18">
        <w:rPr>
          <w:sz w:val="16"/>
          <w:szCs w:val="16"/>
        </w:rPr>
        <w:t xml:space="preserve"> </w:t>
      </w:r>
    </w:p>
  </w:endnote>
  <w:endnote w:id="218">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Public Private Partnership in Transport Infrastructure Projects: Lessons From The Chilean Experience Brasilia, May 2012 Eduardo Bitran, Universidad Adolfo Ibañez ,Chile </w:t>
      </w:r>
      <w:hyperlink r:id="rId252" w:history="1">
        <w:r w:rsidRPr="001D0C18">
          <w:rPr>
            <w:rStyle w:val="Hyperlink"/>
            <w:sz w:val="16"/>
            <w:szCs w:val="16"/>
          </w:rPr>
          <w:t>http://www.transportes.gov.br/public/arquivo/arq1336655345.pdf</w:t>
        </w:r>
      </w:hyperlink>
      <w:r w:rsidRPr="001D0C18">
        <w:rPr>
          <w:sz w:val="16"/>
          <w:szCs w:val="16"/>
        </w:rPr>
        <w:t xml:space="preserve"> </w:t>
      </w:r>
    </w:p>
    <w:p w:rsidR="006660F8" w:rsidRPr="00C35F37" w:rsidRDefault="006660F8" w:rsidP="00A60076">
      <w:pPr>
        <w:pStyle w:val="EndnoteText"/>
        <w:rPr>
          <w:sz w:val="16"/>
          <w:szCs w:val="16"/>
        </w:rPr>
      </w:pPr>
      <w:r w:rsidRPr="001D0C18">
        <w:rPr>
          <w:sz w:val="16"/>
          <w:szCs w:val="16"/>
        </w:rPr>
        <w:t xml:space="preserve">Bitran, E., S. Nieto-Parra and J. Robledo (2013), "Opening the Black Box of Contract Renegotiations: An Analysis of Road Concessions in Chile, Colombia and Peru", </w:t>
      </w:r>
      <w:r w:rsidRPr="001D0C18">
        <w:rPr>
          <w:i/>
          <w:iCs/>
          <w:sz w:val="16"/>
          <w:szCs w:val="16"/>
        </w:rPr>
        <w:t>OECD Development Centre Working Papers</w:t>
      </w:r>
      <w:r w:rsidRPr="001D0C18">
        <w:rPr>
          <w:sz w:val="16"/>
          <w:szCs w:val="16"/>
        </w:rPr>
        <w:t>, No. 317, OECD Publishing.</w:t>
      </w:r>
      <w:r>
        <w:rPr>
          <w:sz w:val="16"/>
          <w:szCs w:val="16"/>
        </w:rPr>
        <w:t xml:space="preserve"> </w:t>
      </w:r>
      <w:r w:rsidRPr="00C35F37">
        <w:rPr>
          <w:sz w:val="16"/>
          <w:szCs w:val="16"/>
        </w:rPr>
        <w:t xml:space="preserve">doi: </w:t>
      </w:r>
      <w:hyperlink r:id="rId253" w:tgtFrame="_blank" w:tooltip="10.1787/5k46n3wwxxq3-en" w:history="1">
        <w:r w:rsidRPr="00C35F37">
          <w:rPr>
            <w:rStyle w:val="Hyperlink"/>
            <w:sz w:val="16"/>
            <w:szCs w:val="16"/>
          </w:rPr>
          <w:t>10.1787/5k46n3wwxxq3-en</w:t>
        </w:r>
      </w:hyperlink>
      <w:r w:rsidRPr="00C35F37">
        <w:rPr>
          <w:sz w:val="16"/>
          <w:szCs w:val="16"/>
        </w:rPr>
        <w:t xml:space="preserve"> </w:t>
      </w:r>
      <w:hyperlink r:id="rId254" w:history="1">
        <w:r w:rsidRPr="00C35F37">
          <w:rPr>
            <w:rStyle w:val="Hyperlink"/>
            <w:sz w:val="16"/>
            <w:szCs w:val="16"/>
          </w:rPr>
          <w:t>http://www.oecd.org/chile/OECD_DEV_WP317.pdf</w:t>
        </w:r>
      </w:hyperlink>
    </w:p>
  </w:endnote>
  <w:endnote w:id="219">
    <w:p w:rsidR="006660F8" w:rsidRPr="001D0C18" w:rsidRDefault="006660F8" w:rsidP="00A60076">
      <w:pPr>
        <w:pStyle w:val="EndnoteText"/>
        <w:rPr>
          <w:sz w:val="16"/>
          <w:szCs w:val="16"/>
        </w:rPr>
      </w:pPr>
      <w:r w:rsidRPr="001D0C18">
        <w:rPr>
          <w:rStyle w:val="EndnoteReference"/>
          <w:sz w:val="16"/>
          <w:szCs w:val="16"/>
        </w:rPr>
        <w:endnoteRef/>
      </w:r>
      <w:r w:rsidRPr="001D0C18">
        <w:rPr>
          <w:sz w:val="16"/>
          <w:szCs w:val="16"/>
        </w:rPr>
        <w:t xml:space="preserve"> Public Private Partnership in Transport Infrastructure Projects: Lessons From The Chilean Experience Brasilia, May 2012 Eduardo Bitran, Universidad Adolfo Ibañez ,Chile </w:t>
      </w:r>
      <w:hyperlink r:id="rId255" w:history="1">
        <w:r w:rsidRPr="001D0C18">
          <w:rPr>
            <w:rStyle w:val="Hyperlink"/>
            <w:sz w:val="16"/>
            <w:szCs w:val="16"/>
          </w:rPr>
          <w:t>http://www.transportes.gov.br/public/arquivo/arq1336655345.pdf</w:t>
        </w:r>
      </w:hyperlink>
      <w:r w:rsidRPr="001D0C18">
        <w:rPr>
          <w:sz w:val="16"/>
          <w:szCs w:val="16"/>
        </w:rPr>
        <w:t xml:space="preserve"> </w:t>
      </w:r>
    </w:p>
    <w:p w:rsidR="006660F8" w:rsidRPr="00C35F37" w:rsidRDefault="006660F8" w:rsidP="00A60076">
      <w:pPr>
        <w:pStyle w:val="EndnoteText"/>
        <w:rPr>
          <w:sz w:val="16"/>
          <w:szCs w:val="16"/>
        </w:rPr>
      </w:pPr>
      <w:r w:rsidRPr="001D0C18">
        <w:rPr>
          <w:sz w:val="16"/>
          <w:szCs w:val="16"/>
        </w:rPr>
        <w:t xml:space="preserve">Bitran, E., S. Nieto-Parra and J. Robledo (2013), "Opening the Black Box of Contract Renegotiations: An Analysis of Road Concessions in Chile, Colombia and Peru", </w:t>
      </w:r>
      <w:r w:rsidRPr="001D0C18">
        <w:rPr>
          <w:i/>
          <w:iCs/>
          <w:sz w:val="16"/>
          <w:szCs w:val="16"/>
        </w:rPr>
        <w:t>OECD Development Centre Working Papers</w:t>
      </w:r>
      <w:r w:rsidRPr="001D0C18">
        <w:rPr>
          <w:sz w:val="16"/>
          <w:szCs w:val="16"/>
        </w:rPr>
        <w:t>, No. 317, OECD Publishing.</w:t>
      </w:r>
      <w:r>
        <w:rPr>
          <w:sz w:val="16"/>
          <w:szCs w:val="16"/>
        </w:rPr>
        <w:t xml:space="preserve"> </w:t>
      </w:r>
      <w:r w:rsidRPr="00C35F37">
        <w:rPr>
          <w:sz w:val="16"/>
          <w:szCs w:val="16"/>
        </w:rPr>
        <w:t xml:space="preserve">doi: </w:t>
      </w:r>
      <w:hyperlink r:id="rId256" w:tgtFrame="_blank" w:tooltip="10.1787/5k46n3wwxxq3-en" w:history="1">
        <w:r w:rsidRPr="00C35F37">
          <w:rPr>
            <w:rStyle w:val="Hyperlink"/>
            <w:sz w:val="16"/>
            <w:szCs w:val="16"/>
          </w:rPr>
          <w:t>10.1787/5k46n3wwxxq3-en</w:t>
        </w:r>
      </w:hyperlink>
      <w:r w:rsidRPr="00C35F37">
        <w:rPr>
          <w:sz w:val="16"/>
          <w:szCs w:val="16"/>
        </w:rPr>
        <w:t xml:space="preserve"> </w:t>
      </w:r>
      <w:hyperlink r:id="rId257" w:history="1">
        <w:r w:rsidRPr="00C35F37">
          <w:rPr>
            <w:rStyle w:val="Hyperlink"/>
            <w:sz w:val="16"/>
            <w:szCs w:val="16"/>
          </w:rPr>
          <w:t>http://www.oecd.org/chile/OECD_DEV_WP317.pdf</w:t>
        </w:r>
      </w:hyperlink>
    </w:p>
  </w:endnote>
  <w:endnote w:id="220">
    <w:p w:rsidR="006660F8" w:rsidRPr="001D0C18" w:rsidRDefault="006660F8" w:rsidP="004D655B">
      <w:pPr>
        <w:pStyle w:val="EndnoteText"/>
        <w:rPr>
          <w:sz w:val="16"/>
          <w:szCs w:val="16"/>
        </w:rPr>
      </w:pPr>
      <w:r w:rsidRPr="001D0C18">
        <w:rPr>
          <w:rStyle w:val="EndnoteReference"/>
          <w:sz w:val="16"/>
          <w:szCs w:val="16"/>
        </w:rPr>
        <w:endnoteRef/>
      </w:r>
      <w:r w:rsidRPr="001D0C18">
        <w:rPr>
          <w:sz w:val="16"/>
          <w:szCs w:val="16"/>
        </w:rPr>
        <w:t xml:space="preserve"> Infrastructure Investor 5 May 2011 EU/IMF tell Portugal to renegotiate PPP contracts </w:t>
      </w:r>
    </w:p>
  </w:endnote>
  <w:endnote w:id="221">
    <w:p w:rsidR="006660F8" w:rsidRPr="001D0C18" w:rsidRDefault="006660F8" w:rsidP="004D655B">
      <w:pPr>
        <w:pStyle w:val="EndnoteText"/>
        <w:rPr>
          <w:sz w:val="16"/>
          <w:szCs w:val="16"/>
        </w:rPr>
      </w:pPr>
      <w:r w:rsidRPr="001D0C18">
        <w:rPr>
          <w:rStyle w:val="EndnoteReference"/>
          <w:sz w:val="16"/>
          <w:szCs w:val="16"/>
        </w:rPr>
        <w:endnoteRef/>
      </w:r>
      <w:r w:rsidRPr="001D0C18">
        <w:rPr>
          <w:sz w:val="16"/>
          <w:szCs w:val="16"/>
        </w:rPr>
        <w:t xml:space="preserve"> IMF 2011 </w:t>
      </w:r>
      <w:r w:rsidRPr="001D0C18">
        <w:rPr>
          <w:bCs/>
          <w:sz w:val="16"/>
          <w:szCs w:val="16"/>
        </w:rPr>
        <w:t xml:space="preserve">Portugal: </w:t>
      </w:r>
      <w:r w:rsidRPr="001D0C18">
        <w:rPr>
          <w:sz w:val="16"/>
          <w:szCs w:val="16"/>
        </w:rPr>
        <w:t xml:space="preserve">Letter of Intent May 17, 2011 </w:t>
      </w:r>
      <w:hyperlink r:id="rId258" w:history="1">
        <w:r w:rsidRPr="001D0C18">
          <w:rPr>
            <w:rStyle w:val="Hyperlink"/>
            <w:sz w:val="16"/>
            <w:szCs w:val="16"/>
          </w:rPr>
          <w:t>http://www.imf.org/external/np/loi/2011/prt/051711.pdf</w:t>
        </w:r>
      </w:hyperlink>
    </w:p>
  </w:endnote>
  <w:endnote w:id="222">
    <w:p w:rsidR="006660F8" w:rsidRPr="001D0C18" w:rsidRDefault="006660F8" w:rsidP="004D655B">
      <w:pPr>
        <w:pStyle w:val="EndnoteText"/>
        <w:rPr>
          <w:sz w:val="16"/>
          <w:szCs w:val="16"/>
        </w:rPr>
      </w:pPr>
      <w:r w:rsidRPr="001D0C18">
        <w:rPr>
          <w:rStyle w:val="EndnoteReference"/>
          <w:sz w:val="16"/>
          <w:szCs w:val="16"/>
        </w:rPr>
        <w:endnoteRef/>
      </w:r>
      <w:r w:rsidRPr="001D0C18">
        <w:rPr>
          <w:sz w:val="16"/>
          <w:szCs w:val="16"/>
        </w:rPr>
        <w:t xml:space="preserve"> The Economic Adjustment Programme for Portugal Sixth Review – Autumn 2012</w:t>
      </w:r>
      <w:r>
        <w:rPr>
          <w:sz w:val="16"/>
          <w:szCs w:val="16"/>
        </w:rPr>
        <w:t xml:space="preserve"> </w:t>
      </w:r>
      <w:hyperlink r:id="rId259" w:history="1">
        <w:r w:rsidRPr="001D0C18">
          <w:rPr>
            <w:rStyle w:val="Hyperlink"/>
            <w:sz w:val="16"/>
            <w:szCs w:val="16"/>
          </w:rPr>
          <w:t>http://ec.europa.eu/economy_finance/publications/occasional_paper/2012/pdf/ocp124_en.pdf</w:t>
        </w:r>
      </w:hyperlink>
    </w:p>
  </w:endnote>
  <w:endnote w:id="223">
    <w:p w:rsidR="006660F8" w:rsidRPr="001D0C18" w:rsidRDefault="006660F8" w:rsidP="004D655B">
      <w:pPr>
        <w:rPr>
          <w:sz w:val="16"/>
          <w:szCs w:val="16"/>
          <w:lang w:val="pt-BR"/>
        </w:rPr>
      </w:pPr>
      <w:r w:rsidRPr="001D0C18">
        <w:rPr>
          <w:rStyle w:val="EndnoteReference"/>
          <w:sz w:val="16"/>
          <w:szCs w:val="16"/>
        </w:rPr>
        <w:endnoteRef/>
      </w:r>
      <w:r w:rsidRPr="001D0C18">
        <w:rPr>
          <w:sz w:val="16"/>
          <w:szCs w:val="16"/>
          <w:lang w:val="pt-BR"/>
        </w:rPr>
        <w:t xml:space="preserve"> As Parcerias Público-Privadas no Sector da Saúde Março 28, 2012 by Bruno Maia </w:t>
      </w:r>
      <w:r w:rsidRPr="001D0C18">
        <w:rPr>
          <w:b/>
          <w:bCs/>
          <w:i/>
          <w:iCs/>
          <w:sz w:val="16"/>
          <w:szCs w:val="16"/>
          <w:lang w:val="pt-BR"/>
        </w:rPr>
        <w:t>I</w:t>
      </w:r>
      <w:r w:rsidRPr="001D0C18">
        <w:rPr>
          <w:i/>
          <w:iCs/>
          <w:sz w:val="16"/>
          <w:szCs w:val="16"/>
          <w:lang w:val="pt-BR"/>
        </w:rPr>
        <w:t xml:space="preserve">niciativa de </w:t>
      </w:r>
      <w:r w:rsidRPr="001D0C18">
        <w:rPr>
          <w:b/>
          <w:bCs/>
          <w:i/>
          <w:iCs/>
          <w:sz w:val="16"/>
          <w:szCs w:val="16"/>
          <w:lang w:val="pt-BR"/>
        </w:rPr>
        <w:t>A</w:t>
      </w:r>
      <w:r w:rsidRPr="001D0C18">
        <w:rPr>
          <w:i/>
          <w:iCs/>
          <w:sz w:val="16"/>
          <w:szCs w:val="16"/>
          <w:lang w:val="pt-BR"/>
        </w:rPr>
        <w:t xml:space="preserve">uditoria </w:t>
      </w:r>
      <w:r w:rsidRPr="001D0C18">
        <w:rPr>
          <w:b/>
          <w:bCs/>
          <w:i/>
          <w:iCs/>
          <w:sz w:val="16"/>
          <w:szCs w:val="16"/>
          <w:lang w:val="pt-BR"/>
        </w:rPr>
        <w:t>C</w:t>
      </w:r>
      <w:r w:rsidRPr="001D0C18">
        <w:rPr>
          <w:i/>
          <w:iCs/>
          <w:sz w:val="16"/>
          <w:szCs w:val="16"/>
          <w:lang w:val="pt-BR"/>
        </w:rPr>
        <w:t>idadã à Divida Pública</w:t>
      </w:r>
      <w:r>
        <w:rPr>
          <w:i/>
          <w:iCs/>
          <w:sz w:val="16"/>
          <w:szCs w:val="16"/>
          <w:lang w:val="pt-BR"/>
        </w:rPr>
        <w:t xml:space="preserve"> </w:t>
      </w:r>
      <w:hyperlink r:id="rId260" w:history="1">
        <w:r w:rsidRPr="001D0C18">
          <w:rPr>
            <w:rStyle w:val="Hyperlink"/>
            <w:sz w:val="16"/>
            <w:szCs w:val="16"/>
            <w:lang w:val="pt-BR"/>
          </w:rPr>
          <w:t>http://auditoriacidada.info/article/parcerias-p%C3%BAblico-privadas-no-sector-da-sa%C3%BAde</w:t>
        </w:r>
      </w:hyperlink>
      <w:r w:rsidRPr="001D0C18">
        <w:rPr>
          <w:sz w:val="16"/>
          <w:szCs w:val="16"/>
          <w:lang w:val="pt-BR"/>
        </w:rPr>
        <w:t xml:space="preserve"> </w:t>
      </w:r>
    </w:p>
  </w:endnote>
  <w:endnote w:id="224">
    <w:p w:rsidR="006660F8" w:rsidRPr="001D0C18" w:rsidRDefault="006660F8" w:rsidP="004D655B">
      <w:pPr>
        <w:rPr>
          <w:sz w:val="16"/>
          <w:szCs w:val="16"/>
          <w:lang w:val="pt-BR"/>
        </w:rPr>
      </w:pPr>
      <w:r w:rsidRPr="001D0C18">
        <w:rPr>
          <w:rStyle w:val="EndnoteReference"/>
          <w:sz w:val="16"/>
          <w:szCs w:val="16"/>
        </w:rPr>
        <w:endnoteRef/>
      </w:r>
      <w:r w:rsidRPr="001D0C18">
        <w:rPr>
          <w:sz w:val="16"/>
          <w:szCs w:val="16"/>
          <w:lang w:val="pt-BR"/>
        </w:rPr>
        <w:t xml:space="preserve"> As Parcerias Público-Privadas no Sector da Saúde Março 28, 2012 by Bruno Maia </w:t>
      </w:r>
      <w:r w:rsidRPr="001D0C18">
        <w:rPr>
          <w:b/>
          <w:bCs/>
          <w:i/>
          <w:iCs/>
          <w:sz w:val="16"/>
          <w:szCs w:val="16"/>
          <w:lang w:val="pt-BR"/>
        </w:rPr>
        <w:t>I</w:t>
      </w:r>
      <w:r w:rsidRPr="001D0C18">
        <w:rPr>
          <w:i/>
          <w:iCs/>
          <w:sz w:val="16"/>
          <w:szCs w:val="16"/>
          <w:lang w:val="pt-BR"/>
        </w:rPr>
        <w:t xml:space="preserve">niciativa de </w:t>
      </w:r>
      <w:r w:rsidRPr="001D0C18">
        <w:rPr>
          <w:b/>
          <w:bCs/>
          <w:i/>
          <w:iCs/>
          <w:sz w:val="16"/>
          <w:szCs w:val="16"/>
          <w:lang w:val="pt-BR"/>
        </w:rPr>
        <w:t>A</w:t>
      </w:r>
      <w:r w:rsidRPr="001D0C18">
        <w:rPr>
          <w:i/>
          <w:iCs/>
          <w:sz w:val="16"/>
          <w:szCs w:val="16"/>
          <w:lang w:val="pt-BR"/>
        </w:rPr>
        <w:t xml:space="preserve">uditoria </w:t>
      </w:r>
      <w:r w:rsidRPr="001D0C18">
        <w:rPr>
          <w:b/>
          <w:bCs/>
          <w:i/>
          <w:iCs/>
          <w:sz w:val="16"/>
          <w:szCs w:val="16"/>
          <w:lang w:val="pt-BR"/>
        </w:rPr>
        <w:t>C</w:t>
      </w:r>
      <w:r w:rsidRPr="001D0C18">
        <w:rPr>
          <w:i/>
          <w:iCs/>
          <w:sz w:val="16"/>
          <w:szCs w:val="16"/>
          <w:lang w:val="pt-BR"/>
        </w:rPr>
        <w:t>idadã à Divida Pública</w:t>
      </w:r>
      <w:r>
        <w:rPr>
          <w:i/>
          <w:iCs/>
          <w:sz w:val="16"/>
          <w:szCs w:val="16"/>
          <w:lang w:val="pt-BR"/>
        </w:rPr>
        <w:t xml:space="preserve"> </w:t>
      </w:r>
      <w:hyperlink r:id="rId261" w:history="1">
        <w:r w:rsidRPr="001D0C18">
          <w:rPr>
            <w:rStyle w:val="Hyperlink"/>
            <w:sz w:val="16"/>
            <w:szCs w:val="16"/>
            <w:lang w:val="pt-BR"/>
          </w:rPr>
          <w:t>http://auditoriacidada.info/article/parcerias-p%C3%BAblico-privadas-no-sector-da-sa%C3%BAde</w:t>
        </w:r>
      </w:hyperlink>
      <w:r w:rsidRPr="001D0C18">
        <w:rPr>
          <w:sz w:val="16"/>
          <w:szCs w:val="16"/>
          <w:lang w:val="pt-BR"/>
        </w:rPr>
        <w:t xml:space="preserve"> </w:t>
      </w:r>
    </w:p>
  </w:endnote>
  <w:endnote w:id="225">
    <w:p w:rsidR="006660F8" w:rsidRPr="001D0C18" w:rsidRDefault="006660F8" w:rsidP="004D655B">
      <w:pPr>
        <w:rPr>
          <w:sz w:val="16"/>
          <w:szCs w:val="16"/>
          <w:lang w:val="pt-BR"/>
        </w:rPr>
      </w:pPr>
      <w:r w:rsidRPr="001D0C18">
        <w:rPr>
          <w:rStyle w:val="EndnoteReference"/>
          <w:sz w:val="16"/>
          <w:szCs w:val="16"/>
        </w:rPr>
        <w:endnoteRef/>
      </w:r>
      <w:r w:rsidRPr="001D0C18">
        <w:rPr>
          <w:sz w:val="16"/>
          <w:szCs w:val="16"/>
          <w:lang w:val="pt-BR"/>
        </w:rPr>
        <w:t xml:space="preserve"> As Parcerias Público-Privadas no Sector da Saúde Março 28, 2012 by Bruno Maia </w:t>
      </w:r>
      <w:r w:rsidRPr="001D0C18">
        <w:rPr>
          <w:b/>
          <w:bCs/>
          <w:i/>
          <w:iCs/>
          <w:sz w:val="16"/>
          <w:szCs w:val="16"/>
          <w:lang w:val="pt-BR"/>
        </w:rPr>
        <w:t>I</w:t>
      </w:r>
      <w:r w:rsidRPr="001D0C18">
        <w:rPr>
          <w:i/>
          <w:iCs/>
          <w:sz w:val="16"/>
          <w:szCs w:val="16"/>
          <w:lang w:val="pt-BR"/>
        </w:rPr>
        <w:t xml:space="preserve">niciativa de </w:t>
      </w:r>
      <w:r w:rsidRPr="001D0C18">
        <w:rPr>
          <w:b/>
          <w:bCs/>
          <w:i/>
          <w:iCs/>
          <w:sz w:val="16"/>
          <w:szCs w:val="16"/>
          <w:lang w:val="pt-BR"/>
        </w:rPr>
        <w:t>A</w:t>
      </w:r>
      <w:r w:rsidRPr="001D0C18">
        <w:rPr>
          <w:i/>
          <w:iCs/>
          <w:sz w:val="16"/>
          <w:szCs w:val="16"/>
          <w:lang w:val="pt-BR"/>
        </w:rPr>
        <w:t xml:space="preserve">uditoria </w:t>
      </w:r>
      <w:r w:rsidRPr="001D0C18">
        <w:rPr>
          <w:b/>
          <w:bCs/>
          <w:i/>
          <w:iCs/>
          <w:sz w:val="16"/>
          <w:szCs w:val="16"/>
          <w:lang w:val="pt-BR"/>
        </w:rPr>
        <w:t>C</w:t>
      </w:r>
      <w:r w:rsidRPr="001D0C18">
        <w:rPr>
          <w:i/>
          <w:iCs/>
          <w:sz w:val="16"/>
          <w:szCs w:val="16"/>
          <w:lang w:val="pt-BR"/>
        </w:rPr>
        <w:t>idadã à Divida Pública</w:t>
      </w:r>
      <w:r>
        <w:rPr>
          <w:i/>
          <w:iCs/>
          <w:sz w:val="16"/>
          <w:szCs w:val="16"/>
          <w:lang w:val="pt-BR"/>
        </w:rPr>
        <w:t xml:space="preserve"> </w:t>
      </w:r>
      <w:hyperlink r:id="rId262" w:history="1">
        <w:r w:rsidRPr="001D0C18">
          <w:rPr>
            <w:rStyle w:val="Hyperlink"/>
            <w:sz w:val="16"/>
            <w:szCs w:val="16"/>
            <w:lang w:val="pt-BR"/>
          </w:rPr>
          <w:t>http://auditoriacidada.info/article/parcerias-p%C3%BAblico-privadas-no-sector-da-sa%C3%BAde</w:t>
        </w:r>
      </w:hyperlink>
      <w:r w:rsidRPr="001D0C18">
        <w:rPr>
          <w:sz w:val="16"/>
          <w:szCs w:val="16"/>
          <w:lang w:val="pt-BR"/>
        </w:rPr>
        <w:t xml:space="preserve"> </w:t>
      </w:r>
    </w:p>
  </w:endnote>
  <w:endnote w:id="226">
    <w:p w:rsidR="006660F8" w:rsidRPr="001D0C18" w:rsidRDefault="006660F8" w:rsidP="004D655B">
      <w:pPr>
        <w:pStyle w:val="EndnoteText"/>
        <w:rPr>
          <w:sz w:val="16"/>
          <w:szCs w:val="16"/>
        </w:rPr>
      </w:pPr>
      <w:r w:rsidRPr="001D0C18">
        <w:rPr>
          <w:rStyle w:val="EndnoteReference"/>
          <w:sz w:val="16"/>
          <w:szCs w:val="16"/>
        </w:rPr>
        <w:endnoteRef/>
      </w:r>
      <w:r w:rsidRPr="001D0C18">
        <w:rPr>
          <w:sz w:val="16"/>
          <w:szCs w:val="16"/>
        </w:rPr>
        <w:t xml:space="preserve"> see </w:t>
      </w:r>
      <w:hyperlink r:id="rId263" w:history="1">
        <w:r w:rsidRPr="001D0C18">
          <w:rPr>
            <w:rStyle w:val="Hyperlink"/>
            <w:sz w:val="16"/>
            <w:szCs w:val="16"/>
          </w:rPr>
          <w:t>www.imf.org/external/pubs/ft/scr/2011/cr11331.pdf</w:t>
        </w:r>
      </w:hyperlink>
      <w:r w:rsidRPr="001D0C18">
        <w:rPr>
          <w:sz w:val="16"/>
          <w:szCs w:val="16"/>
        </w:rPr>
        <w:t xml:space="preserve"> </w:t>
      </w:r>
    </w:p>
  </w:endnote>
  <w:endnote w:id="227">
    <w:p w:rsidR="006660F8" w:rsidRPr="001D0C18" w:rsidRDefault="006660F8" w:rsidP="004D655B">
      <w:pPr>
        <w:rPr>
          <w:sz w:val="16"/>
          <w:szCs w:val="16"/>
        </w:rPr>
      </w:pPr>
      <w:r w:rsidRPr="001D0C18">
        <w:rPr>
          <w:rStyle w:val="EndnoteReference"/>
          <w:sz w:val="16"/>
          <w:szCs w:val="16"/>
        </w:rPr>
        <w:endnoteRef/>
      </w:r>
      <w:r w:rsidRPr="001D0C18">
        <w:rPr>
          <w:sz w:val="16"/>
          <w:szCs w:val="16"/>
        </w:rPr>
        <w:t xml:space="preserve"> Famagusta Gazette 12 April 2013 Full Text: Cyprus Memorandum of Understanding on Specific Economic Policy Conditionality </w:t>
      </w:r>
      <w:hyperlink r:id="rId264" w:history="1">
        <w:r w:rsidRPr="001D0C18">
          <w:rPr>
            <w:rStyle w:val="Hyperlink"/>
            <w:sz w:val="16"/>
            <w:szCs w:val="16"/>
          </w:rPr>
          <w:t>http://famagusta-gazette.com/full-text-cyprus-memorandum-of-understanding-on-specific-economic-policy-c-p18824-69.htm</w:t>
        </w:r>
      </w:hyperlink>
      <w:r w:rsidRPr="001D0C18">
        <w:rPr>
          <w:sz w:val="16"/>
          <w:szCs w:val="16"/>
        </w:rPr>
        <w:t xml:space="preserve"> </w:t>
      </w:r>
    </w:p>
  </w:endnote>
  <w:endnote w:id="228">
    <w:p w:rsidR="006660F8" w:rsidRPr="001D0C18" w:rsidRDefault="006660F8" w:rsidP="004D655B">
      <w:pPr>
        <w:rPr>
          <w:sz w:val="16"/>
          <w:szCs w:val="16"/>
        </w:rPr>
      </w:pPr>
      <w:r w:rsidRPr="001D0C18">
        <w:rPr>
          <w:rStyle w:val="EndnoteReference"/>
          <w:sz w:val="16"/>
          <w:szCs w:val="16"/>
        </w:rPr>
        <w:endnoteRef/>
      </w:r>
      <w:r w:rsidRPr="001D0C18">
        <w:rPr>
          <w:sz w:val="16"/>
          <w:szCs w:val="16"/>
        </w:rPr>
        <w:t xml:space="preserve"> World Finance 10 Jan 2013 </w:t>
      </w:r>
      <w:hyperlink r:id="rId265" w:history="1">
        <w:r w:rsidRPr="001D0C18">
          <w:rPr>
            <w:rStyle w:val="Hyperlink"/>
            <w:sz w:val="16"/>
            <w:szCs w:val="16"/>
          </w:rPr>
          <w:t>http://www.worldfinance.com/inward-investment/europe/cyprus-aims-to-boost-its-tourist-infrastructure</w:t>
        </w:r>
      </w:hyperlink>
      <w:r w:rsidRPr="001D0C18">
        <w:rPr>
          <w:sz w:val="16"/>
          <w:szCs w:val="16"/>
        </w:rPr>
        <w:t xml:space="preserve"> </w:t>
      </w:r>
    </w:p>
  </w:endnote>
  <w:endnote w:id="229">
    <w:p w:rsidR="006660F8" w:rsidRPr="001D0C18" w:rsidRDefault="006660F8" w:rsidP="004D655B">
      <w:pPr>
        <w:pStyle w:val="EndnoteText"/>
        <w:rPr>
          <w:sz w:val="16"/>
          <w:szCs w:val="16"/>
        </w:rPr>
      </w:pPr>
      <w:r w:rsidRPr="001D0C18">
        <w:rPr>
          <w:rStyle w:val="EndnoteReference"/>
          <w:sz w:val="16"/>
          <w:szCs w:val="16"/>
        </w:rPr>
        <w:endnoteRef/>
      </w:r>
      <w:r w:rsidRPr="001D0C18">
        <w:rPr>
          <w:sz w:val="16"/>
          <w:szCs w:val="16"/>
        </w:rPr>
        <w:t xml:space="preserve"> Cyprus Mail 17th October 2012 </w:t>
      </w:r>
      <w:hyperlink r:id="rId266" w:history="1">
        <w:r w:rsidRPr="001D0C18">
          <w:rPr>
            <w:rStyle w:val="Hyperlink"/>
            <w:sz w:val="16"/>
            <w:szCs w:val="16"/>
          </w:rPr>
          <w:t>http://www.news.cyprus-property-buyers.com/2012/10/17/chinese-airport-deal-a-dead-duck/id=0012981</w:t>
        </w:r>
      </w:hyperlink>
      <w:r w:rsidRPr="001D0C18">
        <w:rPr>
          <w:sz w:val="16"/>
          <w:szCs w:val="16"/>
        </w:rPr>
        <w:t xml:space="preserve"> .</w:t>
      </w:r>
    </w:p>
  </w:endnote>
  <w:endnote w:id="230">
    <w:p w:rsidR="006660F8" w:rsidRPr="001D0C18" w:rsidRDefault="006660F8" w:rsidP="005F0608">
      <w:pPr>
        <w:autoSpaceDE w:val="0"/>
        <w:autoSpaceDN w:val="0"/>
        <w:adjustRightInd w:val="0"/>
        <w:rPr>
          <w:sz w:val="16"/>
          <w:szCs w:val="16"/>
        </w:rPr>
      </w:pPr>
      <w:r w:rsidRPr="001D0C18">
        <w:rPr>
          <w:rStyle w:val="EndnoteReference"/>
          <w:sz w:val="16"/>
          <w:szCs w:val="16"/>
        </w:rPr>
        <w:endnoteRef/>
      </w:r>
      <w:r>
        <w:rPr>
          <w:sz w:val="16"/>
          <w:szCs w:val="16"/>
        </w:rPr>
        <w:t xml:space="preserve"> </w:t>
      </w:r>
      <w:r w:rsidRPr="001D0C18">
        <w:rPr>
          <w:sz w:val="16"/>
          <w:szCs w:val="16"/>
        </w:rPr>
        <w:t>LGIU Cllr June 2012 Nordic know-how</w:t>
      </w:r>
      <w:r>
        <w:rPr>
          <w:sz w:val="16"/>
          <w:szCs w:val="16"/>
        </w:rPr>
        <w:t xml:space="preserve"> </w:t>
      </w:r>
      <w:hyperlink r:id="rId267" w:history="1">
        <w:r w:rsidRPr="001D0C18">
          <w:rPr>
            <w:rStyle w:val="Hyperlink"/>
            <w:sz w:val="16"/>
            <w:szCs w:val="16"/>
          </w:rPr>
          <w:t>http://www.lgiu.org.uk/wp-content/uploads/2012/03/Cllr-June-2012.pdf</w:t>
        </w:r>
      </w:hyperlink>
      <w:r w:rsidRPr="001D0C18">
        <w:rPr>
          <w:sz w:val="16"/>
          <w:szCs w:val="16"/>
        </w:rPr>
        <w:t xml:space="preserve"> . Authors: Lars M Andersson is former CEO of Kommuninvest - the Local Government Funding Agency of Sweden. Nicholas Anderson is former CEO of Municipality Finance – the Local Government Funding Agency of Finland.</w:t>
      </w:r>
    </w:p>
  </w:endnote>
  <w:endnote w:id="231">
    <w:p w:rsidR="006660F8" w:rsidRPr="001D0C18" w:rsidRDefault="006660F8" w:rsidP="005F0608">
      <w:pPr>
        <w:pStyle w:val="EndnoteText"/>
        <w:rPr>
          <w:sz w:val="16"/>
          <w:szCs w:val="16"/>
        </w:rPr>
      </w:pPr>
      <w:r w:rsidRPr="001D0C18">
        <w:rPr>
          <w:rStyle w:val="EndnoteReference"/>
          <w:sz w:val="16"/>
          <w:szCs w:val="16"/>
        </w:rPr>
        <w:endnoteRef/>
      </w:r>
      <w:r>
        <w:rPr>
          <w:sz w:val="16"/>
          <w:szCs w:val="16"/>
        </w:rPr>
        <w:t xml:space="preserve"> </w:t>
      </w:r>
      <w:r w:rsidRPr="001D0C18">
        <w:rPr>
          <w:sz w:val="16"/>
          <w:szCs w:val="16"/>
        </w:rPr>
        <w:t>Kommuninvest Annual report 2012</w:t>
      </w:r>
      <w:r>
        <w:rPr>
          <w:sz w:val="16"/>
          <w:szCs w:val="16"/>
        </w:rPr>
        <w:t xml:space="preserve"> </w:t>
      </w:r>
      <w:hyperlink r:id="rId268" w:history="1">
        <w:r w:rsidRPr="001D0C18">
          <w:rPr>
            <w:rStyle w:val="Hyperlink"/>
            <w:sz w:val="16"/>
            <w:szCs w:val="16"/>
          </w:rPr>
          <w:t>http://www.kommuninvest.org/</w:t>
        </w:r>
      </w:hyperlink>
      <w:r w:rsidRPr="001D0C18">
        <w:rPr>
          <w:sz w:val="16"/>
          <w:szCs w:val="16"/>
        </w:rPr>
        <w:t xml:space="preserve"> </w:t>
      </w:r>
    </w:p>
  </w:endnote>
  <w:endnote w:id="232">
    <w:p w:rsidR="006660F8" w:rsidRPr="001D0C18" w:rsidRDefault="006660F8" w:rsidP="005F0608">
      <w:pPr>
        <w:pStyle w:val="EndnoteText"/>
        <w:rPr>
          <w:sz w:val="16"/>
          <w:szCs w:val="16"/>
        </w:rPr>
      </w:pPr>
      <w:r w:rsidRPr="001D0C18">
        <w:rPr>
          <w:rStyle w:val="EndnoteReference"/>
          <w:sz w:val="16"/>
          <w:szCs w:val="16"/>
        </w:rPr>
        <w:endnoteRef/>
      </w:r>
      <w:r>
        <w:rPr>
          <w:sz w:val="16"/>
          <w:szCs w:val="16"/>
        </w:rPr>
        <w:t xml:space="preserve"> </w:t>
      </w:r>
      <w:r w:rsidRPr="001D0C18">
        <w:rPr>
          <w:sz w:val="16"/>
          <w:szCs w:val="16"/>
        </w:rPr>
        <w:t>NWB Annual results 2012</w:t>
      </w:r>
      <w:r>
        <w:rPr>
          <w:sz w:val="16"/>
          <w:szCs w:val="16"/>
        </w:rPr>
        <w:t xml:space="preserve"> </w:t>
      </w:r>
      <w:hyperlink r:id="rId269" w:history="1">
        <w:r w:rsidRPr="001D0C18">
          <w:rPr>
            <w:rStyle w:val="Hyperlink"/>
            <w:sz w:val="16"/>
            <w:szCs w:val="16"/>
          </w:rPr>
          <w:t>https://www.nwbbank.com/en/press-releases/annual-results-2012/</w:t>
        </w:r>
      </w:hyperlink>
      <w:r w:rsidRPr="001D0C18">
        <w:rPr>
          <w:sz w:val="16"/>
          <w:szCs w:val="16"/>
        </w:rPr>
        <w:t xml:space="preserve"> </w:t>
      </w:r>
    </w:p>
  </w:endnote>
  <w:endnote w:id="233">
    <w:p w:rsidR="006660F8" w:rsidRPr="00CE3EAF" w:rsidRDefault="006660F8" w:rsidP="005F0608">
      <w:pPr>
        <w:pStyle w:val="EndnoteText"/>
        <w:rPr>
          <w:sz w:val="16"/>
          <w:szCs w:val="16"/>
          <w:lang w:val="pt-BR"/>
        </w:rPr>
      </w:pPr>
      <w:r w:rsidRPr="00CE3EAF">
        <w:rPr>
          <w:rStyle w:val="EndnoteReference"/>
          <w:sz w:val="16"/>
          <w:szCs w:val="16"/>
        </w:rPr>
        <w:endnoteRef/>
      </w:r>
      <w:r w:rsidRPr="00CE3EAF">
        <w:rPr>
          <w:sz w:val="16"/>
          <w:szCs w:val="16"/>
          <w:lang w:val="pt-BR"/>
        </w:rPr>
        <w:t xml:space="preserve"> JFM </w:t>
      </w:r>
      <w:hyperlink r:id="rId270" w:history="1">
        <w:r w:rsidRPr="00CE3EAF">
          <w:rPr>
            <w:rStyle w:val="Hyperlink"/>
            <w:sz w:val="16"/>
            <w:szCs w:val="16"/>
            <w:lang w:val="pt-BR"/>
          </w:rPr>
          <w:t>http://www.jfm.go.jp/en/about/</w:t>
        </w:r>
      </w:hyperlink>
      <w:r>
        <w:rPr>
          <w:sz w:val="16"/>
          <w:szCs w:val="16"/>
          <w:lang w:val="pt-BR"/>
        </w:rPr>
        <w:t xml:space="preserve"> </w:t>
      </w:r>
    </w:p>
  </w:endnote>
  <w:endnote w:id="234">
    <w:p w:rsidR="006660F8" w:rsidRPr="001D0C18" w:rsidRDefault="006660F8" w:rsidP="005F0608">
      <w:pPr>
        <w:pStyle w:val="EndnoteText"/>
        <w:rPr>
          <w:sz w:val="16"/>
          <w:szCs w:val="16"/>
        </w:rPr>
      </w:pPr>
      <w:r w:rsidRPr="001D0C18">
        <w:rPr>
          <w:rStyle w:val="EndnoteReference"/>
          <w:sz w:val="16"/>
          <w:szCs w:val="16"/>
        </w:rPr>
        <w:endnoteRef/>
      </w:r>
      <w:r w:rsidRPr="001D0C18">
        <w:rPr>
          <w:sz w:val="16"/>
          <w:szCs w:val="16"/>
        </w:rPr>
        <w:t xml:space="preserve"> Based on the total value of global PPPs as presented by PWC at the OECD meeting on PPPs, April 2013</w:t>
      </w:r>
    </w:p>
  </w:endnote>
  <w:endnote w:id="235">
    <w:p w:rsidR="006660F8" w:rsidRPr="001D0C18" w:rsidRDefault="006660F8" w:rsidP="005F0608">
      <w:pPr>
        <w:pStyle w:val="Default"/>
        <w:rPr>
          <w:sz w:val="16"/>
          <w:szCs w:val="16"/>
        </w:rPr>
      </w:pPr>
      <w:r w:rsidRPr="001D0C18">
        <w:rPr>
          <w:rStyle w:val="EndnoteReference"/>
          <w:sz w:val="16"/>
          <w:szCs w:val="16"/>
        </w:rPr>
        <w:endnoteRef/>
      </w:r>
      <w:r>
        <w:rPr>
          <w:sz w:val="16"/>
          <w:szCs w:val="16"/>
        </w:rPr>
        <w:t xml:space="preserve"> </w:t>
      </w:r>
      <w:r w:rsidRPr="001D0C18">
        <w:rPr>
          <w:bCs/>
          <w:sz w:val="16"/>
          <w:szCs w:val="16"/>
        </w:rPr>
        <w:t xml:space="preserve">New Zealand Local Government Funding Agency. Half Year Report Dec 2012 </w:t>
      </w:r>
      <w:hyperlink r:id="rId271" w:history="1">
        <w:r w:rsidRPr="001D0C18">
          <w:rPr>
            <w:rStyle w:val="Hyperlink"/>
            <w:sz w:val="16"/>
            <w:szCs w:val="16"/>
          </w:rPr>
          <w:t>http://www.lgfa.co.nz/</w:t>
        </w:r>
      </w:hyperlink>
      <w:r w:rsidRPr="001D0C18">
        <w:rPr>
          <w:sz w:val="16"/>
          <w:szCs w:val="16"/>
        </w:rPr>
        <w:t xml:space="preserve"> </w:t>
      </w:r>
    </w:p>
  </w:endnote>
  <w:endnote w:id="236">
    <w:p w:rsidR="006660F8" w:rsidRPr="001D0C18" w:rsidRDefault="006660F8" w:rsidP="00E441B8">
      <w:pPr>
        <w:pStyle w:val="EndnoteText"/>
        <w:rPr>
          <w:sz w:val="16"/>
          <w:szCs w:val="16"/>
        </w:rPr>
      </w:pPr>
      <w:r w:rsidRPr="001D0C18">
        <w:rPr>
          <w:rStyle w:val="EndnoteReference"/>
          <w:sz w:val="16"/>
          <w:szCs w:val="16"/>
        </w:rPr>
        <w:endnoteRef/>
      </w:r>
      <w:r w:rsidRPr="001D0C18">
        <w:rPr>
          <w:sz w:val="16"/>
          <w:szCs w:val="16"/>
        </w:rPr>
        <w:t xml:space="preserve"> </w:t>
      </w:r>
      <w:r w:rsidRPr="001D0C18">
        <w:rPr>
          <w:rFonts w:eastAsia="SimSun"/>
          <w:sz w:val="16"/>
          <w:szCs w:val="16"/>
        </w:rPr>
        <w:t xml:space="preserve">International Monetary 2004 Fund Public-Private Partnerships March 12, 2004 </w:t>
      </w:r>
      <w:hyperlink r:id="rId272" w:history="1">
        <w:r w:rsidRPr="001D0C18">
          <w:rPr>
            <w:rStyle w:val="Hyperlink"/>
            <w:rFonts w:eastAsia="SimSun"/>
            <w:sz w:val="16"/>
            <w:szCs w:val="16"/>
          </w:rPr>
          <w:t>http://www.imf.org/external/np/fad/2004/pifp/eng/031204.htm</w:t>
        </w:r>
      </w:hyperlink>
    </w:p>
  </w:endnote>
  <w:endnote w:id="237">
    <w:p w:rsidR="006660F8" w:rsidRPr="001D0C18" w:rsidRDefault="006660F8" w:rsidP="00E441B8">
      <w:pPr>
        <w:rPr>
          <w:sz w:val="16"/>
          <w:szCs w:val="16"/>
        </w:rPr>
      </w:pPr>
      <w:r w:rsidRPr="001D0C18">
        <w:rPr>
          <w:rStyle w:val="EndnoteReference"/>
          <w:b/>
          <w:sz w:val="16"/>
          <w:szCs w:val="16"/>
        </w:rPr>
        <w:endnoteRef/>
      </w:r>
      <w:r w:rsidRPr="001D0C18">
        <w:rPr>
          <w:sz w:val="16"/>
          <w:szCs w:val="16"/>
        </w:rPr>
        <w:t xml:space="preserve"> OECD 2008. Public-private partnerships: In pursuit of risk sharing and value-for-money. GOV/PGC/SBO(2008)</w:t>
      </w:r>
    </w:p>
  </w:endnote>
  <w:endnote w:id="238">
    <w:p w:rsidR="006660F8" w:rsidRPr="001D0C18" w:rsidRDefault="006660F8" w:rsidP="00E441B8">
      <w:pPr>
        <w:pStyle w:val="EndnoteText"/>
        <w:rPr>
          <w:sz w:val="16"/>
          <w:szCs w:val="16"/>
        </w:rPr>
      </w:pPr>
      <w:r w:rsidRPr="001D0C18">
        <w:rPr>
          <w:rStyle w:val="EndnoteReference"/>
          <w:sz w:val="16"/>
          <w:szCs w:val="16"/>
        </w:rPr>
        <w:endnoteRef/>
      </w:r>
      <w:r w:rsidRPr="001D0C18">
        <w:rPr>
          <w:sz w:val="16"/>
          <w:szCs w:val="16"/>
        </w:rPr>
        <w:t xml:space="preserve"> EPEC March 2013 Termination and Force Majeure Provisions in PPP Contracts Review of current European practice and guidance</w:t>
      </w:r>
      <w:r>
        <w:rPr>
          <w:sz w:val="16"/>
          <w:szCs w:val="16"/>
        </w:rPr>
        <w:t xml:space="preserve"> </w:t>
      </w:r>
      <w:hyperlink r:id="rId273" w:history="1">
        <w:r w:rsidRPr="001D0C18">
          <w:rPr>
            <w:rStyle w:val="Hyperlink"/>
            <w:sz w:val="16"/>
            <w:szCs w:val="16"/>
          </w:rPr>
          <w:t>http://www.eib.org/epec/resources/Termination_Report_public_version.pdf</w:t>
        </w:r>
      </w:hyperlink>
      <w:r w:rsidRPr="001D0C18">
        <w:rPr>
          <w:sz w:val="16"/>
          <w:szCs w:val="16"/>
        </w:rPr>
        <w:t xml:space="preserve"> </w:t>
      </w:r>
    </w:p>
  </w:endnote>
  <w:endnote w:id="239">
    <w:p w:rsidR="006660F8" w:rsidRDefault="006660F8" w:rsidP="00E441B8">
      <w:pPr>
        <w:pStyle w:val="EndnoteText"/>
      </w:pPr>
      <w:r w:rsidRPr="001D0C18">
        <w:rPr>
          <w:rStyle w:val="EndnoteReference"/>
          <w:sz w:val="16"/>
          <w:szCs w:val="16"/>
        </w:rPr>
        <w:endnoteRef/>
      </w:r>
      <w:r w:rsidRPr="001D0C18">
        <w:rPr>
          <w:sz w:val="16"/>
          <w:szCs w:val="16"/>
        </w:rPr>
        <w:t xml:space="preserve"> </w:t>
      </w:r>
      <w:hyperlink r:id="rId274" w:history="1">
        <w:r w:rsidRPr="001D0C18">
          <w:rPr>
            <w:rStyle w:val="Hyperlink"/>
            <w:sz w:val="16"/>
            <w:szCs w:val="16"/>
          </w:rPr>
          <w:t>http://www.psiru.org/sites/default/files/2008-11-PPPs-crit.doc</w:t>
        </w:r>
      </w:hyperlink>
      <w:r>
        <w:t xml:space="preserve"> </w:t>
      </w:r>
    </w:p>
  </w:endnote>
  <w:endnote w:id="240">
    <w:p w:rsidR="006660F8" w:rsidRPr="00335E66" w:rsidRDefault="006660F8" w:rsidP="00043059">
      <w:pPr>
        <w:rPr>
          <w:sz w:val="16"/>
          <w:szCs w:val="16"/>
        </w:rPr>
      </w:pPr>
      <w:r w:rsidRPr="00335E66">
        <w:rPr>
          <w:rStyle w:val="EndnoteReference"/>
          <w:sz w:val="16"/>
          <w:szCs w:val="16"/>
        </w:rPr>
        <w:endnoteRef/>
      </w:r>
      <w:r>
        <w:rPr>
          <w:sz w:val="16"/>
          <w:szCs w:val="16"/>
        </w:rPr>
        <w:t xml:space="preserve"> </w:t>
      </w:r>
      <w:r w:rsidRPr="00335E66">
        <w:rPr>
          <w:sz w:val="16"/>
          <w:szCs w:val="16"/>
        </w:rPr>
        <w:t xml:space="preserve">Prequin 2012 Pension Funds Investing in Infrastructure </w:t>
      </w:r>
      <w:hyperlink r:id="rId275" w:history="1">
        <w:r w:rsidRPr="00335E66">
          <w:rPr>
            <w:rStyle w:val="Hyperlink"/>
            <w:sz w:val="16"/>
            <w:szCs w:val="16"/>
          </w:rPr>
          <w:t>https://www.preqin.com/docs/newsletters/inf/Preqin_INFSL_Jul_2012_Pension_Funds_Investing.pdf</w:t>
        </w:r>
      </w:hyperlink>
      <w:r w:rsidRPr="00335E66">
        <w:rPr>
          <w:sz w:val="16"/>
          <w:szCs w:val="16"/>
        </w:rPr>
        <w:t xml:space="preserve"> ; FT </w:t>
      </w:r>
      <w:r w:rsidRPr="00335E66">
        <w:rPr>
          <w:rStyle w:val="time"/>
          <w:sz w:val="16"/>
          <w:szCs w:val="16"/>
        </w:rPr>
        <w:t xml:space="preserve">June 3, </w:t>
      </w:r>
      <w:r w:rsidRPr="00335E66">
        <w:rPr>
          <w:sz w:val="16"/>
          <w:szCs w:val="16"/>
        </w:rPr>
        <w:t xml:space="preserve">2012 </w:t>
      </w:r>
      <w:r w:rsidRPr="00335E66">
        <w:rPr>
          <w:bCs/>
          <w:sz w:val="16"/>
          <w:szCs w:val="16"/>
        </w:rPr>
        <w:t>Pensions funds back out of infrastructure</w:t>
      </w:r>
      <w:r w:rsidRPr="00335E66">
        <w:rPr>
          <w:sz w:val="16"/>
          <w:szCs w:val="16"/>
        </w:rPr>
        <w:t xml:space="preserve"> </w:t>
      </w:r>
      <w:hyperlink r:id="rId276" w:anchor="axzz2neeQY8WA" w:history="1">
        <w:r w:rsidRPr="00335E66">
          <w:rPr>
            <w:rStyle w:val="Hyperlink"/>
            <w:sz w:val="16"/>
            <w:szCs w:val="16"/>
          </w:rPr>
          <w:t>www.ft.com/cms/s/0/df996ef6-ad5e-11e1-bb8e-00144feabdc0.html#axzz2neeQY8WA</w:t>
        </w:r>
      </w:hyperlink>
      <w:r w:rsidRPr="00335E66">
        <w:rPr>
          <w:b/>
          <w:bCs/>
          <w:sz w:val="16"/>
          <w:szCs w:val="16"/>
        </w:rPr>
        <w:t xml:space="preserve"> </w:t>
      </w:r>
    </w:p>
  </w:endnote>
  <w:endnote w:id="241">
    <w:p w:rsidR="006660F8" w:rsidRPr="00E75CD9" w:rsidRDefault="006660F8" w:rsidP="00B63A72">
      <w:pPr>
        <w:pStyle w:val="EndnoteText"/>
        <w:rPr>
          <w:sz w:val="16"/>
          <w:szCs w:val="16"/>
          <w:lang w:val="fr-FR"/>
        </w:rPr>
      </w:pPr>
      <w:r w:rsidRPr="00335E66">
        <w:rPr>
          <w:rStyle w:val="EndnoteReference"/>
          <w:sz w:val="16"/>
          <w:szCs w:val="16"/>
        </w:rPr>
        <w:endnoteRef/>
      </w:r>
      <w:r w:rsidRPr="00E75CD9">
        <w:rPr>
          <w:sz w:val="16"/>
          <w:szCs w:val="16"/>
          <w:lang w:val="fr-FR"/>
        </w:rPr>
        <w:t xml:space="preserve"> APEC </w:t>
      </w:r>
      <w:hyperlink r:id="rId277" w:history="1">
        <w:r w:rsidRPr="00E75CD9">
          <w:rPr>
            <w:rStyle w:val="Hyperlink"/>
            <w:sz w:val="16"/>
            <w:szCs w:val="16"/>
            <w:lang w:val="fr-FR"/>
          </w:rPr>
          <w:t>http://www.apec.org.au/docs/Pension%20Fund%20Investment%20in%20PPPs.pdf</w:t>
        </w:r>
      </w:hyperlink>
      <w:r w:rsidRPr="00E75CD9">
        <w:rPr>
          <w:sz w:val="16"/>
          <w:szCs w:val="16"/>
          <w:lang w:val="fr-FR"/>
        </w:rPr>
        <w:t xml:space="preserve"> </w:t>
      </w:r>
    </w:p>
  </w:endnote>
  <w:endnote w:id="242">
    <w:p w:rsidR="006660F8" w:rsidRPr="00335E66" w:rsidRDefault="006660F8" w:rsidP="00B63A72">
      <w:pPr>
        <w:pStyle w:val="EndnoteText"/>
        <w:rPr>
          <w:sz w:val="16"/>
          <w:szCs w:val="16"/>
        </w:rPr>
      </w:pPr>
      <w:r w:rsidRPr="00335E66">
        <w:rPr>
          <w:rStyle w:val="EndnoteReference"/>
          <w:sz w:val="16"/>
          <w:szCs w:val="16"/>
        </w:rPr>
        <w:endnoteRef/>
      </w:r>
      <w:r w:rsidRPr="00335E66">
        <w:rPr>
          <w:sz w:val="16"/>
          <w:szCs w:val="16"/>
        </w:rPr>
        <w:t xml:space="preserve"> UK: HM Treasury Newsroom and Speeches (18 Oct 2012). </w:t>
      </w:r>
      <w:hyperlink r:id="rId278" w:history="1">
        <w:r w:rsidRPr="00335E66">
          <w:rPr>
            <w:rStyle w:val="Hyperlink"/>
            <w:sz w:val="16"/>
            <w:szCs w:val="16"/>
          </w:rPr>
          <w:t>"Government welcomes first injection into Pensions Infrastructure Platform"</w:t>
        </w:r>
      </w:hyperlink>
      <w:r w:rsidRPr="00335E66">
        <w:rPr>
          <w:sz w:val="16"/>
          <w:szCs w:val="16"/>
        </w:rPr>
        <w:t xml:space="preserve">, Nigeria </w:t>
      </w:r>
      <w:hyperlink r:id="rId279" w:history="1">
        <w:r w:rsidRPr="00335E66">
          <w:rPr>
            <w:rStyle w:val="Hyperlink"/>
            <w:sz w:val="16"/>
            <w:szCs w:val="16"/>
          </w:rPr>
          <w:t>http://www.ipfa.org/events/6461/ipfa-africa-nigeria-investing-nigerian-pension-funds-in-ppp-projects-the-key-drivers</w:t>
        </w:r>
      </w:hyperlink>
      <w:r w:rsidRPr="00335E66">
        <w:rPr>
          <w:sz w:val="16"/>
          <w:szCs w:val="16"/>
        </w:rPr>
        <w:t xml:space="preserve"> </w:t>
      </w:r>
    </w:p>
  </w:endnote>
  <w:endnote w:id="243">
    <w:p w:rsidR="006660F8" w:rsidRPr="00335E66" w:rsidRDefault="006660F8" w:rsidP="00B63A72">
      <w:pPr>
        <w:pStyle w:val="EndnoteText"/>
        <w:rPr>
          <w:sz w:val="16"/>
          <w:szCs w:val="16"/>
        </w:rPr>
      </w:pPr>
      <w:r w:rsidRPr="00335E66">
        <w:rPr>
          <w:rStyle w:val="EndnoteReference"/>
          <w:sz w:val="16"/>
          <w:szCs w:val="16"/>
        </w:rPr>
        <w:endnoteRef/>
      </w:r>
      <w:r w:rsidRPr="00335E66">
        <w:rPr>
          <w:sz w:val="16"/>
          <w:szCs w:val="16"/>
        </w:rPr>
        <w:t xml:space="preserve"> </w:t>
      </w:r>
      <w:hyperlink r:id="rId280" w:history="1">
        <w:r w:rsidRPr="00335E66">
          <w:rPr>
            <w:rStyle w:val="Hyperlink"/>
            <w:sz w:val="16"/>
            <w:szCs w:val="16"/>
          </w:rPr>
          <w:t>http://www.ipfa.org/events/6461/ipfa-africa-nigeria-investing-nigerian-pension-funds-in-ppp-projects-the-key-drivers</w:t>
        </w:r>
      </w:hyperlink>
    </w:p>
  </w:endnote>
  <w:endnote w:id="244">
    <w:p w:rsidR="006660F8" w:rsidRPr="00335E66" w:rsidRDefault="006660F8">
      <w:pPr>
        <w:pStyle w:val="EndnoteText"/>
        <w:rPr>
          <w:sz w:val="16"/>
          <w:szCs w:val="16"/>
        </w:rPr>
      </w:pPr>
      <w:r w:rsidRPr="00335E66">
        <w:rPr>
          <w:rStyle w:val="EndnoteReference"/>
          <w:sz w:val="16"/>
          <w:szCs w:val="16"/>
        </w:rPr>
        <w:endnoteRef/>
      </w:r>
      <w:r w:rsidRPr="00335E66">
        <w:rPr>
          <w:sz w:val="16"/>
          <w:szCs w:val="16"/>
        </w:rPr>
        <w:t xml:space="preserve"> </w:t>
      </w:r>
      <w:hyperlink r:id="rId281" w:history="1">
        <w:r w:rsidRPr="00335E66">
          <w:rPr>
            <w:rStyle w:val="Hyperlink"/>
            <w:sz w:val="16"/>
            <w:szCs w:val="16"/>
          </w:rPr>
          <w:t>http://pdf.usaid.gov/pdf_docs/PNADN511.pdf</w:t>
        </w:r>
      </w:hyperlink>
      <w:r w:rsidRPr="00335E66">
        <w:rPr>
          <w:sz w:val="16"/>
          <w:szCs w:val="16"/>
        </w:rPr>
        <w:t xml:space="preserve"> </w:t>
      </w:r>
    </w:p>
  </w:endnote>
  <w:endnote w:id="245">
    <w:p w:rsidR="006660F8" w:rsidRPr="00335E66" w:rsidRDefault="006660F8" w:rsidP="00D34154">
      <w:pPr>
        <w:pStyle w:val="EndnoteText"/>
        <w:rPr>
          <w:sz w:val="16"/>
          <w:szCs w:val="16"/>
        </w:rPr>
      </w:pPr>
      <w:r w:rsidRPr="00335E66">
        <w:rPr>
          <w:rStyle w:val="EndnoteReference"/>
          <w:sz w:val="16"/>
          <w:szCs w:val="16"/>
        </w:rPr>
        <w:endnoteRef/>
      </w:r>
      <w:r w:rsidRPr="00335E66">
        <w:rPr>
          <w:sz w:val="16"/>
          <w:szCs w:val="16"/>
        </w:rPr>
        <w:t xml:space="preserve"> OECD 2012 Della Croce, R. “Trends in Large Pension Fund</w:t>
      </w:r>
      <w:r>
        <w:rPr>
          <w:sz w:val="16"/>
          <w:szCs w:val="16"/>
        </w:rPr>
        <w:t xml:space="preserve"> </w:t>
      </w:r>
      <w:r w:rsidRPr="00335E66">
        <w:rPr>
          <w:sz w:val="16"/>
          <w:szCs w:val="16"/>
        </w:rPr>
        <w:t>Investment i n Infrastructure ”,</w:t>
      </w:r>
      <w:r>
        <w:rPr>
          <w:sz w:val="16"/>
          <w:szCs w:val="16"/>
        </w:rPr>
        <w:t xml:space="preserve"> </w:t>
      </w:r>
      <w:r w:rsidRPr="00335E66">
        <w:rPr>
          <w:sz w:val="16"/>
          <w:szCs w:val="16"/>
        </w:rPr>
        <w:t>OECD Working Papers on</w:t>
      </w:r>
      <w:r>
        <w:rPr>
          <w:sz w:val="16"/>
          <w:szCs w:val="16"/>
        </w:rPr>
        <w:t xml:space="preserve"> </w:t>
      </w:r>
      <w:r w:rsidRPr="00335E66">
        <w:rPr>
          <w:sz w:val="16"/>
          <w:szCs w:val="16"/>
        </w:rPr>
        <w:t>Finance, Insurance and Private Pensions , No.29 ,</w:t>
      </w:r>
      <w:r>
        <w:rPr>
          <w:sz w:val="16"/>
          <w:szCs w:val="16"/>
        </w:rPr>
        <w:t xml:space="preserve"> </w:t>
      </w:r>
      <w:hyperlink r:id="rId282" w:history="1">
        <w:r w:rsidRPr="00335E66">
          <w:rPr>
            <w:rStyle w:val="Hyperlink"/>
            <w:sz w:val="16"/>
            <w:szCs w:val="16"/>
          </w:rPr>
          <w:t>http://www.oecd.org/daf/fin/private-pensions/TrendsInLargePensionFundInvestmentInInfrastructure.pdf</w:t>
        </w:r>
      </w:hyperlink>
    </w:p>
  </w:endnote>
  <w:endnote w:id="246">
    <w:p w:rsidR="006660F8" w:rsidRPr="00FD745B" w:rsidRDefault="006660F8">
      <w:pPr>
        <w:pStyle w:val="EndnoteText"/>
      </w:pPr>
      <w:r w:rsidRPr="00335E66">
        <w:rPr>
          <w:rStyle w:val="EndnoteReference"/>
          <w:sz w:val="16"/>
          <w:szCs w:val="16"/>
        </w:rPr>
        <w:endnoteRef/>
      </w:r>
      <w:r w:rsidRPr="00335E66">
        <w:rPr>
          <w:sz w:val="16"/>
          <w:szCs w:val="16"/>
        </w:rPr>
        <w:t xml:space="preserve"> FT November 16, 2012 </w:t>
      </w:r>
      <w:hyperlink r:id="rId283" w:anchor="axzz2neeQY8WA" w:history="1">
        <w:r w:rsidRPr="00335E66">
          <w:rPr>
            <w:rStyle w:val="Hyperlink"/>
            <w:sz w:val="16"/>
            <w:szCs w:val="16"/>
          </w:rPr>
          <w:t xml:space="preserve"> </w:t>
        </w:r>
        <w:r w:rsidRPr="00335E66">
          <w:rPr>
            <w:rStyle w:val="Hyperlink"/>
            <w:bCs/>
            <w:sz w:val="16"/>
            <w:szCs w:val="16"/>
          </w:rPr>
          <w:t>Pension funds lose PFI test case</w:t>
        </w:r>
      </w:hyperlink>
      <w:r w:rsidRPr="00335E66">
        <w:rPr>
          <w:bCs/>
          <w:sz w:val="16"/>
          <w:szCs w:val="16"/>
        </w:rPr>
        <w:t xml:space="preserve"> </w:t>
      </w:r>
    </w:p>
  </w:endnote>
  <w:endnote w:id="247">
    <w:p w:rsidR="006660F8" w:rsidRPr="006660F8" w:rsidRDefault="006660F8" w:rsidP="00CC01DA">
      <w:pPr>
        <w:pStyle w:val="EndnoteText"/>
        <w:rPr>
          <w:sz w:val="16"/>
          <w:szCs w:val="16"/>
        </w:rPr>
      </w:pPr>
      <w:r w:rsidRPr="00335E66">
        <w:rPr>
          <w:rStyle w:val="EndnoteReference"/>
          <w:sz w:val="16"/>
          <w:szCs w:val="16"/>
        </w:rPr>
        <w:endnoteRef/>
      </w:r>
      <w:r w:rsidRPr="00335E66">
        <w:rPr>
          <w:sz w:val="16"/>
          <w:szCs w:val="16"/>
        </w:rPr>
        <w:t xml:space="preserve"> OECD, “Pension Funds Investment in Infrastructure –A Survey” (September 2011) </w:t>
      </w:r>
      <w:hyperlink r:id="rId284" w:history="1">
        <w:r w:rsidRPr="00335E66">
          <w:rPr>
            <w:rStyle w:val="Hyperlink"/>
            <w:sz w:val="16"/>
            <w:szCs w:val="16"/>
          </w:rPr>
          <w:t>http://www.oecd.org/sti/futures/infrastructureto2030/48634596.pdf</w:t>
        </w:r>
      </w:hyperlink>
      <w:r w:rsidRPr="00335E66">
        <w:rPr>
          <w:sz w:val="16"/>
          <w:szCs w:val="16"/>
        </w:rPr>
        <w:t xml:space="preserve"> . See also APEC 2012 Comparative Study of Frameworks to protect the Long Term Interests of Pension Funds Investing in PPPs. </w:t>
      </w:r>
      <w:r w:rsidRPr="00335E66">
        <w:rPr>
          <w:sz w:val="16"/>
          <w:szCs w:val="16"/>
          <w:lang w:val="fr-FR"/>
        </w:rPr>
        <w:t>Foster Infrastructure 2012.</w:t>
      </w:r>
      <w:r>
        <w:rPr>
          <w:sz w:val="16"/>
          <w:szCs w:val="16"/>
          <w:lang w:val="fr-FR"/>
        </w:rPr>
        <w:t xml:space="preserve"> </w:t>
      </w:r>
      <w:hyperlink r:id="rId285" w:history="1">
        <w:r w:rsidRPr="006660F8">
          <w:rPr>
            <w:rStyle w:val="Hyperlink"/>
            <w:sz w:val="16"/>
            <w:szCs w:val="16"/>
          </w:rPr>
          <w:t>http://www.apec.org.au/docs/Pension%20Fund%20Investment%20in%20PPPs.pdf</w:t>
        </w:r>
      </w:hyperlink>
      <w:r w:rsidRPr="006660F8">
        <w:rPr>
          <w:sz w:val="16"/>
          <w:szCs w:val="16"/>
        </w:rPr>
        <w:t xml:space="preserve"> </w:t>
      </w:r>
    </w:p>
  </w:endnote>
  <w:endnote w:id="248">
    <w:p w:rsidR="006660F8" w:rsidRPr="00335E66" w:rsidRDefault="006660F8" w:rsidP="007B02A2">
      <w:pPr>
        <w:pStyle w:val="EndnoteText"/>
        <w:rPr>
          <w:sz w:val="16"/>
          <w:szCs w:val="16"/>
        </w:rPr>
      </w:pPr>
      <w:r w:rsidRPr="00335E66">
        <w:rPr>
          <w:rStyle w:val="EndnoteReference"/>
          <w:sz w:val="16"/>
          <w:szCs w:val="16"/>
        </w:rPr>
        <w:endnoteRef/>
      </w:r>
      <w:r>
        <w:rPr>
          <w:sz w:val="16"/>
          <w:szCs w:val="16"/>
        </w:rPr>
        <w:t xml:space="preserve"> </w:t>
      </w:r>
      <w:r w:rsidRPr="00335E66">
        <w:rPr>
          <w:sz w:val="16"/>
          <w:szCs w:val="16"/>
        </w:rPr>
        <w:t>OECD 2012 Della Croce, R. “Trends in Large Pension Fund</w:t>
      </w:r>
      <w:r>
        <w:rPr>
          <w:sz w:val="16"/>
          <w:szCs w:val="16"/>
        </w:rPr>
        <w:t xml:space="preserve"> </w:t>
      </w:r>
      <w:r w:rsidRPr="00335E66">
        <w:rPr>
          <w:sz w:val="16"/>
          <w:szCs w:val="16"/>
        </w:rPr>
        <w:t>Investment i n Infrastructure ”,</w:t>
      </w:r>
      <w:r>
        <w:rPr>
          <w:sz w:val="16"/>
          <w:szCs w:val="16"/>
        </w:rPr>
        <w:t xml:space="preserve"> </w:t>
      </w:r>
      <w:r w:rsidRPr="00335E66">
        <w:rPr>
          <w:sz w:val="16"/>
          <w:szCs w:val="16"/>
        </w:rPr>
        <w:t>OECD Working Papers on</w:t>
      </w:r>
      <w:r>
        <w:rPr>
          <w:sz w:val="16"/>
          <w:szCs w:val="16"/>
        </w:rPr>
        <w:t xml:space="preserve"> </w:t>
      </w:r>
      <w:r w:rsidRPr="00335E66">
        <w:rPr>
          <w:sz w:val="16"/>
          <w:szCs w:val="16"/>
        </w:rPr>
        <w:t>Finance, Insurance and Private Pensions , No.29 ,</w:t>
      </w:r>
      <w:r>
        <w:rPr>
          <w:sz w:val="16"/>
          <w:szCs w:val="16"/>
        </w:rPr>
        <w:t xml:space="preserve"> </w:t>
      </w:r>
      <w:hyperlink r:id="rId286" w:history="1">
        <w:r w:rsidRPr="00335E66">
          <w:rPr>
            <w:rStyle w:val="Hyperlink"/>
            <w:sz w:val="16"/>
            <w:szCs w:val="16"/>
          </w:rPr>
          <w:t>http://www.oecd.org/daf/fin/private-pensions/TrendsInLargePensionFundInvestmentInInfrastructure.pdf</w:t>
        </w:r>
      </w:hyperlink>
      <w:r w:rsidRPr="00335E66">
        <w:rPr>
          <w:sz w:val="16"/>
          <w:szCs w:val="16"/>
        </w:rPr>
        <w:t xml:space="preserve"> </w:t>
      </w:r>
    </w:p>
  </w:endnote>
  <w:endnote w:id="249">
    <w:p w:rsidR="006660F8" w:rsidRPr="00191F44" w:rsidRDefault="006660F8" w:rsidP="007B02A2">
      <w:pPr>
        <w:pStyle w:val="EndnoteText"/>
        <w:rPr>
          <w:sz w:val="16"/>
          <w:szCs w:val="16"/>
        </w:rPr>
      </w:pPr>
      <w:r w:rsidRPr="00335E66">
        <w:rPr>
          <w:rStyle w:val="EndnoteReference"/>
          <w:sz w:val="16"/>
          <w:szCs w:val="16"/>
        </w:rPr>
        <w:endnoteRef/>
      </w:r>
      <w:r w:rsidRPr="00335E66">
        <w:rPr>
          <w:sz w:val="16"/>
          <w:szCs w:val="16"/>
        </w:rPr>
        <w:t xml:space="preserve"> OECD 2013</w:t>
      </w:r>
      <w:r>
        <w:rPr>
          <w:sz w:val="16"/>
          <w:szCs w:val="16"/>
        </w:rPr>
        <w:t xml:space="preserve"> </w:t>
      </w:r>
      <w:r w:rsidRPr="00335E66">
        <w:rPr>
          <w:sz w:val="16"/>
          <w:szCs w:val="16"/>
        </w:rPr>
        <w:t xml:space="preserve">Capital budgeting and procurement practices GOV/PGC/SBO(2013)2 </w:t>
      </w:r>
      <w:hyperlink r:id="rId287" w:history="1">
        <w:r w:rsidRPr="00191F44">
          <w:rPr>
            <w:rStyle w:val="Hyperlink"/>
            <w:sz w:val="16"/>
            <w:szCs w:val="16"/>
          </w:rPr>
          <w:t>http://search.oecd.org/officialdocuments/displaydocumentpdf/?cote=GOV/PGC/SBO%282013%292&amp;doclanguage=en</w:t>
        </w:r>
      </w:hyperlink>
    </w:p>
  </w:endnote>
  <w:endnote w:id="250">
    <w:p w:rsidR="006660F8" w:rsidRDefault="006660F8">
      <w:pPr>
        <w:pStyle w:val="EndnoteText"/>
      </w:pPr>
      <w:r w:rsidRPr="00191F44">
        <w:rPr>
          <w:rStyle w:val="EndnoteReference"/>
          <w:sz w:val="16"/>
          <w:szCs w:val="16"/>
        </w:rPr>
        <w:endnoteRef/>
      </w:r>
      <w:r w:rsidRPr="00191F44">
        <w:rPr>
          <w:sz w:val="16"/>
          <w:szCs w:val="16"/>
        </w:rPr>
        <w:t xml:space="preserve"> OECD 2012 Recommendation of the Council [of OECD] on Principles for Public Governance of Public-Private Partnerships May 2012 </w:t>
      </w:r>
      <w:hyperlink r:id="rId288" w:history="1">
        <w:r w:rsidRPr="00191F44">
          <w:rPr>
            <w:rStyle w:val="Hyperlink"/>
            <w:sz w:val="16"/>
            <w:szCs w:val="16"/>
          </w:rPr>
          <w:t>http://www.oecd.org/gov/budgeting/PPP-Recommendation.pdf</w:t>
        </w:r>
      </w:hyperlink>
    </w:p>
  </w:endnote>
  <w:endnote w:id="251">
    <w:p w:rsidR="006660F8" w:rsidRPr="00191F44" w:rsidRDefault="006660F8">
      <w:pPr>
        <w:pStyle w:val="EndnoteText"/>
        <w:rPr>
          <w:sz w:val="16"/>
          <w:szCs w:val="16"/>
        </w:rPr>
      </w:pPr>
      <w:r w:rsidRPr="00191F44">
        <w:rPr>
          <w:rStyle w:val="EndnoteReference"/>
          <w:sz w:val="16"/>
          <w:szCs w:val="16"/>
        </w:rPr>
        <w:endnoteRef/>
      </w:r>
      <w:r w:rsidRPr="00191F44">
        <w:rPr>
          <w:sz w:val="16"/>
          <w:szCs w:val="16"/>
        </w:rPr>
        <w:t xml:space="preserve"> </w:t>
      </w:r>
      <w:r w:rsidRPr="00191F44">
        <w:rPr>
          <w:rFonts w:cstheme="minorHAnsi"/>
          <w:sz w:val="16"/>
          <w:szCs w:val="16"/>
        </w:rPr>
        <w:t xml:space="preserve">World Bank Institute 2013 </w:t>
      </w:r>
      <w:r w:rsidRPr="00191F44">
        <w:rPr>
          <w:rFonts w:cstheme="minorHAnsi"/>
          <w:bCs/>
          <w:sz w:val="16"/>
          <w:szCs w:val="16"/>
        </w:rPr>
        <w:t xml:space="preserve">Disclosure of Project and Contract Information </w:t>
      </w:r>
      <w:r w:rsidRPr="00191F44">
        <w:rPr>
          <w:rFonts w:cstheme="minorHAnsi"/>
          <w:sz w:val="16"/>
          <w:szCs w:val="16"/>
        </w:rPr>
        <w:t xml:space="preserve">in Public-Private Partnerships Jan 2013 </w:t>
      </w:r>
      <w:hyperlink r:id="rId289" w:history="1">
        <w:r w:rsidRPr="00191F44">
          <w:rPr>
            <w:rStyle w:val="Hyperlink"/>
            <w:rFonts w:cstheme="minorHAnsi"/>
            <w:sz w:val="16"/>
            <w:szCs w:val="16"/>
          </w:rPr>
          <w:t>http://wbi.worldbank.org/wbi/Data/wbi/wbicms/files/drupal-acquia/wbi/Disclosure%20of%20Project%20PPP.pdf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ource Sans Pro Light">
    <w:altName w:val="Source Sans Pro Light"/>
    <w:panose1 w:val="00000000000000000000"/>
    <w:charset w:val="00"/>
    <w:family w:val="swiss"/>
    <w:notTrueType/>
    <w:pitch w:val="variable"/>
    <w:sig w:usb0="20000007" w:usb1="00000001" w:usb2="00000000" w:usb3="00000000" w:csb0="00000193" w:csb1="00000000"/>
  </w:font>
  <w:font w:name="Source Sans Pro">
    <w:altName w:val="Source Sans Pro"/>
    <w:panose1 w:val="00000000000000000000"/>
    <w:charset w:val="00"/>
    <w:family w:val="swiss"/>
    <w:notTrueType/>
    <w:pitch w:val="variable"/>
    <w:sig w:usb0="20000007" w:usb1="00000001" w:usb2="00000000" w:usb3="00000000" w:csb0="00000193" w:csb1="00000000"/>
  </w:font>
  <w:font w:name="Zurich Cn BT">
    <w:altName w:val="Zurich Cn B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KatarineLightCE">
    <w:altName w:val="MS Mincho"/>
    <w:panose1 w:val="00000000000000000000"/>
    <w:charset w:val="80"/>
    <w:family w:val="auto"/>
    <w:notTrueType/>
    <w:pitch w:val="default"/>
    <w:sig w:usb0="00000000" w:usb1="08070000" w:usb2="00000010" w:usb3="00000000" w:csb0="00020000" w:csb1="00000000"/>
  </w:font>
  <w:font w:name="BookAntiqu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TSY">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F8" w:rsidRPr="00652411" w:rsidRDefault="006660F8" w:rsidP="00814BF3">
    <w:pPr>
      <w:pStyle w:val="Footer"/>
      <w:pBdr>
        <w:top w:val="single" w:sz="4" w:space="1" w:color="FF0000"/>
      </w:pBdr>
      <w:jc w:val="center"/>
      <w:rPr>
        <w:rFonts w:cs="Lucida Sans Unicode"/>
        <w:sz w:val="16"/>
        <w:szCs w:val="16"/>
      </w:rPr>
    </w:pPr>
    <w:r w:rsidRPr="00652411">
      <w:rPr>
        <w:rFonts w:cs="Lucida Sans Unicode"/>
        <w:sz w:val="16"/>
        <w:szCs w:val="16"/>
      </w:rPr>
      <w:fldChar w:fldCharType="begin"/>
    </w:r>
    <w:r w:rsidRPr="00652411">
      <w:rPr>
        <w:rFonts w:cs="Lucida Sans Unicode"/>
        <w:sz w:val="16"/>
        <w:szCs w:val="16"/>
      </w:rPr>
      <w:instrText xml:space="preserve"> DATE \@ "dd/MM/yyyy" </w:instrText>
    </w:r>
    <w:r w:rsidRPr="00652411">
      <w:rPr>
        <w:rFonts w:cs="Lucida Sans Unicode"/>
        <w:sz w:val="16"/>
        <w:szCs w:val="16"/>
      </w:rPr>
      <w:fldChar w:fldCharType="separate"/>
    </w:r>
    <w:r w:rsidR="00FD5530">
      <w:rPr>
        <w:rFonts w:cs="Lucida Sans Unicode"/>
        <w:noProof/>
        <w:sz w:val="16"/>
        <w:szCs w:val="16"/>
      </w:rPr>
      <w:t>11/07/2014</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t xml:space="preserve">Page </w:t>
    </w:r>
    <w:r w:rsidRPr="00652411">
      <w:rPr>
        <w:rFonts w:cs="Lucida Sans Unicode"/>
        <w:sz w:val="16"/>
        <w:szCs w:val="16"/>
      </w:rPr>
      <w:fldChar w:fldCharType="begin"/>
    </w:r>
    <w:r w:rsidRPr="00652411">
      <w:rPr>
        <w:rFonts w:cs="Lucida Sans Unicode"/>
        <w:sz w:val="16"/>
        <w:szCs w:val="16"/>
      </w:rPr>
      <w:instrText xml:space="preserve"> PAGE </w:instrText>
    </w:r>
    <w:r w:rsidRPr="00652411">
      <w:rPr>
        <w:rFonts w:cs="Lucida Sans Unicode"/>
        <w:sz w:val="16"/>
        <w:szCs w:val="16"/>
      </w:rPr>
      <w:fldChar w:fldCharType="separate"/>
    </w:r>
    <w:r w:rsidR="00FD5530">
      <w:rPr>
        <w:rFonts w:cs="Lucida Sans Unicode"/>
        <w:noProof/>
        <w:sz w:val="16"/>
        <w:szCs w:val="16"/>
      </w:rPr>
      <w:t>2</w:t>
    </w:r>
    <w:r w:rsidRPr="00652411">
      <w:rPr>
        <w:rFonts w:cs="Lucida Sans Unicode"/>
        <w:sz w:val="16"/>
        <w:szCs w:val="16"/>
      </w:rPr>
      <w:fldChar w:fldCharType="end"/>
    </w:r>
    <w:r w:rsidRPr="00652411">
      <w:rPr>
        <w:rFonts w:cs="Lucida Sans Unicode"/>
        <w:sz w:val="16"/>
        <w:szCs w:val="16"/>
      </w:rPr>
      <w:t xml:space="preserve"> of </w:t>
    </w:r>
    <w:r w:rsidRPr="00652411">
      <w:rPr>
        <w:rFonts w:cs="Lucida Sans Unicode"/>
        <w:sz w:val="16"/>
        <w:szCs w:val="16"/>
      </w:rPr>
      <w:fldChar w:fldCharType="begin"/>
    </w:r>
    <w:r w:rsidRPr="00652411">
      <w:rPr>
        <w:rFonts w:cs="Lucida Sans Unicode"/>
        <w:sz w:val="16"/>
        <w:szCs w:val="16"/>
      </w:rPr>
      <w:instrText xml:space="preserve"> NUMPAGES </w:instrText>
    </w:r>
    <w:r w:rsidRPr="00652411">
      <w:rPr>
        <w:rFonts w:cs="Lucida Sans Unicode"/>
        <w:sz w:val="16"/>
        <w:szCs w:val="16"/>
      </w:rPr>
      <w:fldChar w:fldCharType="separate"/>
    </w:r>
    <w:r w:rsidR="00FD5530">
      <w:rPr>
        <w:rFonts w:cs="Lucida Sans Unicode"/>
        <w:noProof/>
        <w:sz w:val="16"/>
        <w:szCs w:val="16"/>
      </w:rPr>
      <w:t>81</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r>
    <w:r w:rsidRPr="00652411">
      <w:rPr>
        <w:rFonts w:cs="Lucida Sans Unicode"/>
        <w:sz w:val="16"/>
        <w:szCs w:val="16"/>
      </w:rPr>
      <w:tab/>
    </w:r>
  </w:p>
  <w:p w:rsidR="006660F8" w:rsidRDefault="006660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F8" w:rsidRPr="006153AC" w:rsidRDefault="006660F8" w:rsidP="000866FC">
    <w:pPr>
      <w:pBdr>
        <w:top w:val="single" w:sz="4" w:space="1" w:color="auto"/>
        <w:left w:val="single" w:sz="4" w:space="4" w:color="auto"/>
        <w:bottom w:val="single" w:sz="4" w:space="1" w:color="auto"/>
        <w:right w:val="single" w:sz="4" w:space="4" w:color="auto"/>
      </w:pBdr>
      <w:jc w:val="center"/>
      <w:rPr>
        <w:rFonts w:ascii="Calibri" w:hAnsi="Calibri" w:cs="Lucida Sans Unicode"/>
        <w:i/>
        <w:sz w:val="18"/>
        <w:szCs w:val="18"/>
      </w:rPr>
    </w:pPr>
    <w:r w:rsidRPr="006153AC">
      <w:rPr>
        <w:rFonts w:ascii="Calibri" w:hAnsi="Calibri" w:cs="Lucida Sans Unicode"/>
        <w:b/>
        <w:color w:val="FF0000"/>
        <w:sz w:val="18"/>
        <w:szCs w:val="18"/>
      </w:rPr>
      <w:t>PSIRU, Business School, University of Greenwich, Park Row, London SE10 9LS, U.K.</w:t>
    </w:r>
  </w:p>
  <w:p w:rsidR="006660F8" w:rsidRPr="006153AC" w:rsidRDefault="006660F8" w:rsidP="000866FC">
    <w:pPr>
      <w:pBdr>
        <w:top w:val="single" w:sz="4" w:space="1" w:color="auto"/>
        <w:left w:val="single" w:sz="4" w:space="4" w:color="auto"/>
        <w:bottom w:val="single" w:sz="4" w:space="1" w:color="auto"/>
        <w:right w:val="single" w:sz="4" w:space="4" w:color="auto"/>
      </w:pBdr>
      <w:jc w:val="center"/>
      <w:rPr>
        <w:rFonts w:ascii="Calibri" w:hAnsi="Calibri" w:cs="Lucida Sans Unicode"/>
        <w:sz w:val="18"/>
        <w:szCs w:val="18"/>
      </w:rPr>
    </w:pPr>
    <w:r w:rsidRPr="006153AC">
      <w:rPr>
        <w:rFonts w:ascii="Calibri" w:hAnsi="Calibri" w:cs="Lucida Sans Unicode"/>
        <w:iCs/>
        <w:sz w:val="18"/>
        <w:szCs w:val="18"/>
      </w:rPr>
      <w:t xml:space="preserve">Website: </w:t>
    </w:r>
    <w:hyperlink r:id="rId1" w:history="1">
      <w:r w:rsidRPr="006153AC">
        <w:rPr>
          <w:rStyle w:val="Hyperlink"/>
          <w:rFonts w:ascii="Calibri" w:hAnsi="Calibri" w:cs="Lucida Sans Unicode"/>
          <w:sz w:val="18"/>
          <w:szCs w:val="18"/>
        </w:rPr>
        <w:t>www.psiru.org</w:t>
      </w:r>
    </w:hyperlink>
    <w:r>
      <w:rPr>
        <w:rFonts w:ascii="Calibri" w:hAnsi="Calibri" w:cs="Lucida Sans Unicode"/>
        <w:sz w:val="18"/>
        <w:szCs w:val="18"/>
      </w:rPr>
      <w:t xml:space="preserve"> </w:t>
    </w:r>
    <w:r w:rsidRPr="006153AC">
      <w:rPr>
        <w:rFonts w:ascii="Calibri" w:hAnsi="Calibri" w:cs="Lucida Sans Unicode"/>
        <w:i/>
        <w:sz w:val="18"/>
        <w:szCs w:val="18"/>
      </w:rPr>
      <w:t xml:space="preserve">Email: </w:t>
    </w:r>
    <w:hyperlink r:id="rId2" w:history="1">
      <w:r w:rsidRPr="004824D2">
        <w:rPr>
          <w:rStyle w:val="Hyperlink"/>
          <w:rFonts w:ascii="Calibri" w:hAnsi="Calibri" w:cs="Lucida Sans Unicode"/>
          <w:i/>
          <w:sz w:val="18"/>
          <w:szCs w:val="18"/>
        </w:rPr>
        <w:t>d.j.hall@gre.ac.uk</w:t>
      </w:r>
    </w:hyperlink>
    <w:r>
      <w:rPr>
        <w:rFonts w:ascii="Calibri" w:hAnsi="Calibri" w:cs="Lucida Sans Unicode"/>
        <w:i/>
        <w:sz w:val="18"/>
        <w:szCs w:val="18"/>
      </w:rPr>
      <w:t xml:space="preserve"> </w:t>
    </w:r>
    <w:r w:rsidRPr="006153AC">
      <w:rPr>
        <w:rFonts w:ascii="Calibri" w:hAnsi="Calibri" w:cs="Lucida Sans Unicode"/>
        <w:i/>
        <w:sz w:val="18"/>
        <w:szCs w:val="18"/>
      </w:rPr>
      <w:t>Tel</w:t>
    </w:r>
    <w:r>
      <w:rPr>
        <w:rFonts w:ascii="Calibri" w:hAnsi="Calibri" w:cs="Lucida Sans Unicode"/>
        <w:sz w:val="18"/>
        <w:szCs w:val="18"/>
      </w:rPr>
      <w:t>: +44-(0)208-331-9933</w:t>
    </w:r>
  </w:p>
  <w:p w:rsidR="006660F8" w:rsidRPr="006153AC" w:rsidRDefault="006660F8" w:rsidP="000866FC">
    <w:pPr>
      <w:pBdr>
        <w:top w:val="single" w:sz="4" w:space="1" w:color="auto"/>
        <w:left w:val="single" w:sz="4" w:space="4" w:color="auto"/>
        <w:bottom w:val="single" w:sz="4" w:space="1" w:color="auto"/>
        <w:right w:val="single" w:sz="4" w:space="4" w:color="auto"/>
      </w:pBdr>
      <w:jc w:val="center"/>
      <w:rPr>
        <w:rFonts w:ascii="Calibri" w:hAnsi="Calibri" w:cs="Lucida Sans Unicode"/>
        <w:color w:val="FF0000"/>
        <w:sz w:val="18"/>
        <w:szCs w:val="18"/>
      </w:rPr>
    </w:pPr>
    <w:r w:rsidRPr="006153AC">
      <w:rPr>
        <w:rFonts w:ascii="Calibri" w:hAnsi="Calibri" w:cs="Lucida Sans Unicode"/>
        <w:color w:val="FF0000"/>
        <w:sz w:val="18"/>
        <w:szCs w:val="18"/>
      </w:rPr>
      <w:t xml:space="preserve">Prof. Stephen Thomas, David Hall (Director), Jane Lethbridge, Emanuele Lobina, </w:t>
    </w:r>
    <w:r>
      <w:rPr>
        <w:rFonts w:ascii="Calibri" w:hAnsi="Calibri" w:cs="Lucida Sans Unicode"/>
        <w:color w:val="FF0000"/>
        <w:sz w:val="18"/>
        <w:szCs w:val="18"/>
      </w:rPr>
      <w:t xml:space="preserve">Jenny Nguyen, </w:t>
    </w:r>
    <w:r w:rsidRPr="006153AC">
      <w:rPr>
        <w:rFonts w:ascii="Calibri" w:hAnsi="Calibri" w:cs="Lucida Sans Unicode"/>
        <w:color w:val="FF0000"/>
        <w:sz w:val="18"/>
        <w:szCs w:val="18"/>
      </w:rPr>
      <w:t xml:space="preserve">Vladimir Popov, </w:t>
    </w:r>
    <w:r>
      <w:rPr>
        <w:rFonts w:ascii="Calibri" w:hAnsi="Calibri" w:cs="Lucida Sans Unicode"/>
        <w:color w:val="FF0000"/>
        <w:sz w:val="18"/>
        <w:szCs w:val="18"/>
      </w:rPr>
      <w:t>Sandra van Niekerk</w:t>
    </w:r>
  </w:p>
  <w:p w:rsidR="006660F8" w:rsidRDefault="006660F8" w:rsidP="0052568E">
    <w:pPr>
      <w:jc w:val="both"/>
      <w:rPr>
        <w:rFonts w:ascii="Lucida Sans Unicode" w:hAnsi="Lucida Sans Unicode" w:cs="Lucida Sans Unicode"/>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F8" w:rsidRPr="00652411" w:rsidRDefault="006660F8" w:rsidP="00814BF3">
    <w:pPr>
      <w:pStyle w:val="Footer"/>
      <w:pBdr>
        <w:top w:val="single" w:sz="4" w:space="1" w:color="FF0000"/>
      </w:pBdr>
      <w:jc w:val="center"/>
      <w:rPr>
        <w:rFonts w:cs="Lucida Sans Unicode"/>
        <w:sz w:val="16"/>
        <w:szCs w:val="16"/>
      </w:rPr>
    </w:pPr>
    <w:r w:rsidRPr="00652411">
      <w:rPr>
        <w:rFonts w:cs="Lucida Sans Unicode"/>
        <w:sz w:val="16"/>
        <w:szCs w:val="16"/>
      </w:rPr>
      <w:fldChar w:fldCharType="begin"/>
    </w:r>
    <w:r w:rsidRPr="00652411">
      <w:rPr>
        <w:rFonts w:cs="Lucida Sans Unicode"/>
        <w:sz w:val="16"/>
        <w:szCs w:val="16"/>
      </w:rPr>
      <w:instrText xml:space="preserve"> DATE \@ "dd/MM/yyyy" </w:instrText>
    </w:r>
    <w:r w:rsidRPr="00652411">
      <w:rPr>
        <w:rFonts w:cs="Lucida Sans Unicode"/>
        <w:sz w:val="16"/>
        <w:szCs w:val="16"/>
      </w:rPr>
      <w:fldChar w:fldCharType="separate"/>
    </w:r>
    <w:r w:rsidR="00FD5530">
      <w:rPr>
        <w:rFonts w:cs="Lucida Sans Unicode"/>
        <w:noProof/>
        <w:sz w:val="16"/>
        <w:szCs w:val="16"/>
      </w:rPr>
      <w:t>11/07/2014</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t xml:space="preserve">Page </w:t>
    </w:r>
    <w:r w:rsidRPr="00652411">
      <w:rPr>
        <w:rFonts w:cs="Lucida Sans Unicode"/>
        <w:sz w:val="16"/>
        <w:szCs w:val="16"/>
      </w:rPr>
      <w:fldChar w:fldCharType="begin"/>
    </w:r>
    <w:r w:rsidRPr="00652411">
      <w:rPr>
        <w:rFonts w:cs="Lucida Sans Unicode"/>
        <w:sz w:val="16"/>
        <w:szCs w:val="16"/>
      </w:rPr>
      <w:instrText xml:space="preserve"> PAGE </w:instrText>
    </w:r>
    <w:r w:rsidRPr="00652411">
      <w:rPr>
        <w:rFonts w:cs="Lucida Sans Unicode"/>
        <w:sz w:val="16"/>
        <w:szCs w:val="16"/>
      </w:rPr>
      <w:fldChar w:fldCharType="separate"/>
    </w:r>
    <w:r w:rsidR="00FD5530">
      <w:rPr>
        <w:rFonts w:cs="Lucida Sans Unicode"/>
        <w:noProof/>
        <w:sz w:val="16"/>
        <w:szCs w:val="16"/>
      </w:rPr>
      <w:t>81</w:t>
    </w:r>
    <w:r w:rsidRPr="00652411">
      <w:rPr>
        <w:rFonts w:cs="Lucida Sans Unicode"/>
        <w:sz w:val="16"/>
        <w:szCs w:val="16"/>
      </w:rPr>
      <w:fldChar w:fldCharType="end"/>
    </w:r>
    <w:r w:rsidRPr="00652411">
      <w:rPr>
        <w:rFonts w:cs="Lucida Sans Unicode"/>
        <w:sz w:val="16"/>
        <w:szCs w:val="16"/>
      </w:rPr>
      <w:t xml:space="preserve"> of </w:t>
    </w:r>
    <w:r w:rsidRPr="00652411">
      <w:rPr>
        <w:rFonts w:cs="Lucida Sans Unicode"/>
        <w:sz w:val="16"/>
        <w:szCs w:val="16"/>
      </w:rPr>
      <w:fldChar w:fldCharType="begin"/>
    </w:r>
    <w:r w:rsidRPr="00652411">
      <w:rPr>
        <w:rFonts w:cs="Lucida Sans Unicode"/>
        <w:sz w:val="16"/>
        <w:szCs w:val="16"/>
      </w:rPr>
      <w:instrText xml:space="preserve"> NUMPAGES </w:instrText>
    </w:r>
    <w:r w:rsidRPr="00652411">
      <w:rPr>
        <w:rFonts w:cs="Lucida Sans Unicode"/>
        <w:sz w:val="16"/>
        <w:szCs w:val="16"/>
      </w:rPr>
      <w:fldChar w:fldCharType="separate"/>
    </w:r>
    <w:r w:rsidR="00FD5530">
      <w:rPr>
        <w:rFonts w:cs="Lucida Sans Unicode"/>
        <w:noProof/>
        <w:sz w:val="16"/>
        <w:szCs w:val="16"/>
      </w:rPr>
      <w:t>81</w:t>
    </w:r>
    <w:r w:rsidRPr="00652411">
      <w:rPr>
        <w:rFonts w:cs="Lucida Sans Unicode"/>
        <w:sz w:val="16"/>
        <w:szCs w:val="16"/>
      </w:rPr>
      <w:fldChar w:fldCharType="end"/>
    </w:r>
    <w:r w:rsidRPr="00652411">
      <w:rPr>
        <w:rFonts w:cs="Lucida Sans Unicode"/>
        <w:sz w:val="16"/>
        <w:szCs w:val="16"/>
      </w:rPr>
      <w:tab/>
    </w:r>
    <w:r w:rsidRPr="00652411">
      <w:rPr>
        <w:rFonts w:cs="Lucida Sans Unicode"/>
        <w:sz w:val="16"/>
        <w:szCs w:val="16"/>
      </w:rPr>
      <w:tab/>
    </w:r>
    <w:r w:rsidRPr="00652411">
      <w:rPr>
        <w:rFonts w:cs="Lucida Sans Unicode"/>
        <w:sz w:val="16"/>
        <w:szCs w:val="16"/>
      </w:rPr>
      <w:tab/>
    </w:r>
  </w:p>
  <w:p w:rsidR="006660F8" w:rsidRDefault="006660F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F8" w:rsidRPr="00750051" w:rsidRDefault="006660F8" w:rsidP="007500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3E5" w:rsidRDefault="00A723E5" w:rsidP="00992566">
      <w:r>
        <w:separator/>
      </w:r>
    </w:p>
  </w:footnote>
  <w:footnote w:type="continuationSeparator" w:id="0">
    <w:p w:rsidR="00A723E5" w:rsidRDefault="00A723E5" w:rsidP="00992566">
      <w:r>
        <w:continuationSeparator/>
      </w:r>
    </w:p>
  </w:footnote>
  <w:footnote w:id="1">
    <w:p w:rsidR="006660F8" w:rsidRDefault="006660F8" w:rsidP="00413559">
      <w:pPr>
        <w:pStyle w:val="FootnoteText"/>
      </w:pPr>
      <w:r>
        <w:rPr>
          <w:rStyle w:val="FootnoteReference"/>
        </w:rPr>
        <w:footnoteRef/>
      </w:r>
      <w:r>
        <w:t xml:space="preserve"> T</w:t>
      </w:r>
      <w:r w:rsidRPr="00413559">
        <w:t>he phrase ‘public private partnerships’ has been used with two other meanings. Firstly, it is used, especially in the EU, to refer to utility companies whose shares are partly owned by</w:t>
      </w:r>
      <w:r>
        <w:t xml:space="preserve"> </w:t>
      </w:r>
      <w:r w:rsidRPr="00413559">
        <w:t xml:space="preserve">a government or municipality, and partly by a private company. Secondly, the phrase has also been </w:t>
      </w:r>
      <w:r>
        <w:t xml:space="preserve">loosely </w:t>
      </w:r>
      <w:r w:rsidRPr="00413559">
        <w:t>used since the late 1990s by governments and institutions as a euphemism for ‘privatisation’ which by then had acquired a widespread bad reputation.</w:t>
      </w:r>
      <w:r>
        <w:t xml:space="preserve"> </w:t>
      </w:r>
      <w:r w:rsidRPr="00EC4A5D">
        <w:t xml:space="preserve">By 2014, </w:t>
      </w:r>
      <w:r>
        <w:t xml:space="preserve">however, </w:t>
      </w:r>
      <w:r w:rsidRPr="00EC4A5D">
        <w:t>there are already signs that international institutions now want to avoid using the phrase PPPs, because it has gained as bad a reputation as ‘privatisation</w:t>
      </w:r>
      <w:r>
        <w:t>.</w:t>
      </w:r>
      <w:r w:rsidRPr="00EC4A5D">
        <w:t>’</w:t>
      </w:r>
    </w:p>
  </w:footnote>
  <w:footnote w:id="2">
    <w:p w:rsidR="006660F8" w:rsidRPr="00621564" w:rsidRDefault="006660F8" w:rsidP="00621564">
      <w:pPr>
        <w:pStyle w:val="FootnoteText"/>
      </w:pPr>
      <w:r>
        <w:rPr>
          <w:rStyle w:val="FootnoteReference"/>
        </w:rPr>
        <w:footnoteRef/>
      </w:r>
      <w:r>
        <w:t xml:space="preserve"> Like privatisation, PPPs were also developed at the same time by the military dictatorship in Chile, e.g. through PPPs for technical and vocational education: see </w:t>
      </w:r>
      <w:hyperlink r:id="rId1" w:history="1">
        <w:r w:rsidRPr="00A24027">
          <w:rPr>
            <w:rStyle w:val="Hyperlink"/>
          </w:rPr>
          <w:t>http://www.unevoc.unesco.org/e-forum/GTZ_PPP-in-TVET.pdf</w:t>
        </w:r>
      </w:hyperlink>
      <w:r>
        <w:t xml:space="preserve"> </w:t>
      </w:r>
    </w:p>
    <w:p w:rsidR="006660F8" w:rsidRDefault="006660F8">
      <w:pPr>
        <w:pStyle w:val="FootnoteText"/>
      </w:pPr>
    </w:p>
  </w:footnote>
  <w:footnote w:id="3">
    <w:p w:rsidR="006660F8" w:rsidRDefault="006660F8">
      <w:pPr>
        <w:pStyle w:val="FootnoteText"/>
      </w:pPr>
      <w:r>
        <w:rPr>
          <w:rStyle w:val="FootnoteReference"/>
        </w:rPr>
        <w:footnoteRef/>
      </w:r>
      <w:r>
        <w:t>annual value of Subsidised loans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F8" w:rsidRPr="00652411" w:rsidRDefault="006660F8" w:rsidP="00507056">
    <w:pPr>
      <w:pStyle w:val="Header"/>
      <w:pBdr>
        <w:bottom w:val="single" w:sz="4" w:space="1" w:color="FF0000"/>
      </w:pBdr>
      <w:rPr>
        <w:rFonts w:cs="Lucida Sans Unicode"/>
        <w:sz w:val="16"/>
        <w:szCs w:val="16"/>
      </w:rPr>
    </w:pPr>
    <w:r w:rsidRPr="00652411">
      <w:rPr>
        <w:rFonts w:cs="Lucida Sans Unicode"/>
        <w:sz w:val="16"/>
        <w:szCs w:val="16"/>
      </w:rPr>
      <w:t>PSIRU University of Greenwich</w:t>
    </w:r>
    <w:r>
      <w:rPr>
        <w:rFonts w:cs="Lucida Sans Unicode"/>
        <w:sz w:val="16"/>
        <w:szCs w:val="16"/>
      </w:rPr>
      <w:t xml:space="preserve"> </w:t>
    </w:r>
    <w:hyperlink r:id="rId1" w:history="1">
      <w:r w:rsidRPr="00652411">
        <w:rPr>
          <w:rStyle w:val="Hyperlink"/>
          <w:rFonts w:cs="Lucida Sans Unicode"/>
          <w:sz w:val="16"/>
          <w:szCs w:val="16"/>
        </w:rPr>
        <w:t>www.psiru.org</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F8" w:rsidRDefault="006660F8" w:rsidP="00B05F6D">
    <w:pPr>
      <w:pStyle w:val="Header"/>
    </w:pPr>
    <w:r>
      <w:rPr>
        <w:noProof/>
        <w:lang w:eastAsia="en-GB"/>
      </w:rPr>
      <mc:AlternateContent>
        <mc:Choice Requires="wps">
          <w:drawing>
            <wp:anchor distT="0" distB="0" distL="114300" distR="114300" simplePos="0" relativeHeight="251659776" behindDoc="0" locked="0" layoutInCell="1" allowOverlap="1" wp14:anchorId="38625244" wp14:editId="2EFADD16">
              <wp:simplePos x="0" y="0"/>
              <wp:positionH relativeFrom="column">
                <wp:posOffset>1593902</wp:posOffset>
              </wp:positionH>
              <wp:positionV relativeFrom="paragraph">
                <wp:posOffset>50501</wp:posOffset>
              </wp:positionV>
              <wp:extent cx="4457700" cy="533193"/>
              <wp:effectExtent l="0" t="0" r="0"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33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0F8" w:rsidRPr="004E3457" w:rsidRDefault="006660F8" w:rsidP="00B05F6D">
                          <w:pPr>
                            <w:jc w:val="center"/>
                            <w:rPr>
                              <w:rFonts w:ascii="Lucida Sans Unicode" w:hAnsi="Lucida Sans Unicode" w:cs="Lucida Sans Unicode"/>
                              <w:b/>
                              <w:sz w:val="26"/>
                              <w:szCs w:val="26"/>
                            </w:rPr>
                          </w:pPr>
                          <w:r w:rsidRPr="004E3457">
                            <w:rPr>
                              <w:rFonts w:ascii="Lucida Sans Unicode" w:hAnsi="Lucida Sans Unicode" w:cs="Lucida Sans Unicode"/>
                              <w:b/>
                              <w:color w:val="FF0000"/>
                              <w:sz w:val="26"/>
                              <w:szCs w:val="26"/>
                            </w:rPr>
                            <w:t>Public Services International Research Unit (PSIRU)</w:t>
                          </w:r>
                          <w:r w:rsidRPr="004E3457">
                            <w:rPr>
                              <w:rFonts w:ascii="Lucida Sans Unicode" w:hAnsi="Lucida Sans Unicode" w:cs="Lucida Sans Unicode"/>
                              <w:b/>
                              <w:sz w:val="26"/>
                              <w:szCs w:val="26"/>
                            </w:rPr>
                            <w:t xml:space="preserve"> </w:t>
                          </w:r>
                        </w:p>
                        <w:p w:rsidR="006660F8" w:rsidRPr="00B05F6D" w:rsidRDefault="00A723E5" w:rsidP="004E3457">
                          <w:pPr>
                            <w:spacing w:line="600" w:lineRule="auto"/>
                            <w:jc w:val="center"/>
                            <w:rPr>
                              <w:rFonts w:ascii="Lucida Sans Unicode" w:hAnsi="Lucida Sans Unicode" w:cs="Lucida Sans Unicode"/>
                              <w:szCs w:val="20"/>
                            </w:rPr>
                          </w:pPr>
                          <w:hyperlink r:id="rId1" w:history="1">
                            <w:r w:rsidR="006660F8" w:rsidRPr="00B05F6D">
                              <w:rPr>
                                <w:rStyle w:val="Hyperlink"/>
                                <w:rFonts w:ascii="Lucida Sans Unicode" w:hAnsi="Lucida Sans Unicode" w:cs="Lucida Sans Unicode"/>
                                <w:szCs w:val="20"/>
                                <w:u w:val="none"/>
                              </w:rPr>
                              <w:t>www.psiru.org</w:t>
                            </w:r>
                          </w:hyperlink>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5.5pt;margin-top:4pt;width:351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" stroked="f">
              <v:textbox inset=".5mm,.3mm,.5mm,.3mm">
                <w:txbxContent>
                  <w:p w:rsidR="006660F8" w:rsidRPr="004E3457" w:rsidRDefault="006660F8" w:rsidP="00B05F6D">
                    <w:pPr>
                      <w:jc w:val="center"/>
                      <w:rPr>
                        <w:rFonts w:ascii="Lucida Sans Unicode" w:hAnsi="Lucida Sans Unicode" w:cs="Lucida Sans Unicode"/>
                        <w:b/>
                        <w:sz w:val="26"/>
                        <w:szCs w:val="26"/>
                      </w:rPr>
                    </w:pPr>
                    <w:r w:rsidRPr="004E3457">
                      <w:rPr>
                        <w:rFonts w:ascii="Lucida Sans Unicode" w:hAnsi="Lucida Sans Unicode" w:cs="Lucida Sans Unicode"/>
                        <w:b/>
                        <w:color w:val="FF0000"/>
                        <w:sz w:val="26"/>
                        <w:szCs w:val="26"/>
                      </w:rPr>
                      <w:t>Public Services International Research Unit (PSIRU)</w:t>
                    </w:r>
                    <w:r w:rsidRPr="004E3457">
                      <w:rPr>
                        <w:rFonts w:ascii="Lucida Sans Unicode" w:hAnsi="Lucida Sans Unicode" w:cs="Lucida Sans Unicode"/>
                        <w:b/>
                        <w:sz w:val="26"/>
                        <w:szCs w:val="26"/>
                      </w:rPr>
                      <w:t xml:space="preserve"> </w:t>
                    </w:r>
                  </w:p>
                  <w:p w:rsidR="006660F8" w:rsidRPr="00B05F6D" w:rsidRDefault="00A723E5" w:rsidP="004E3457">
                    <w:pPr>
                      <w:spacing w:line="600" w:lineRule="auto"/>
                      <w:jc w:val="center"/>
                      <w:rPr>
                        <w:rFonts w:ascii="Lucida Sans Unicode" w:hAnsi="Lucida Sans Unicode" w:cs="Lucida Sans Unicode"/>
                        <w:szCs w:val="20"/>
                      </w:rPr>
                    </w:pPr>
                    <w:hyperlink r:id="rId2" w:history="1">
                      <w:r w:rsidR="006660F8" w:rsidRPr="00B05F6D">
                        <w:rPr>
                          <w:rStyle w:val="Hyperlink"/>
                          <w:rFonts w:ascii="Lucida Sans Unicode" w:hAnsi="Lucida Sans Unicode" w:cs="Lucida Sans Unicode"/>
                          <w:szCs w:val="20"/>
                          <w:u w:val="none"/>
                        </w:rPr>
                        <w:t>www.psiru.org</w:t>
                      </w:r>
                    </w:hyperlink>
                  </w:p>
                </w:txbxContent>
              </v:textbox>
            </v:shape>
          </w:pict>
        </mc:Fallback>
      </mc:AlternateContent>
    </w:r>
    <w:r>
      <w:rPr>
        <w:noProof/>
        <w:color w:val="0033FF"/>
        <w:lang w:eastAsia="en-GB"/>
      </w:rPr>
      <w:drawing>
        <wp:inline distT="0" distB="0" distL="0" distR="0" wp14:anchorId="69005B6C" wp14:editId="4DC0348C">
          <wp:extent cx="1446245" cy="580157"/>
          <wp:effectExtent l="0" t="0" r="1905" b="0"/>
          <wp:docPr id="12" name="Picture 12" descr="Image link: University of Greenwich Home Pag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link: University of Greenwich Home P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0975" cy="582054"/>
                  </a:xfrm>
                  <a:prstGeom prst="rect">
                    <a:avLst/>
                  </a:prstGeom>
                  <a:noFill/>
                  <a:ln>
                    <a:noFill/>
                  </a:ln>
                </pic:spPr>
              </pic:pic>
            </a:graphicData>
          </a:graphic>
        </wp:inline>
      </w:drawing>
    </w:r>
  </w:p>
  <w:p w:rsidR="006660F8" w:rsidRDefault="006660F8" w:rsidP="004E3457">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F8" w:rsidRPr="00652411" w:rsidRDefault="006660F8" w:rsidP="00507056">
    <w:pPr>
      <w:pStyle w:val="Header"/>
      <w:pBdr>
        <w:bottom w:val="single" w:sz="4" w:space="1" w:color="FF0000"/>
      </w:pBdr>
      <w:rPr>
        <w:rFonts w:cs="Lucida Sans Unicode"/>
        <w:sz w:val="16"/>
        <w:szCs w:val="16"/>
      </w:rPr>
    </w:pPr>
    <w:r w:rsidRPr="00652411">
      <w:rPr>
        <w:rFonts w:cs="Lucida Sans Unicode"/>
        <w:sz w:val="16"/>
        <w:szCs w:val="16"/>
      </w:rPr>
      <w:t>PSIRU University of Greenwich</w:t>
    </w:r>
    <w:r>
      <w:rPr>
        <w:rFonts w:cs="Lucida Sans Unicode"/>
        <w:sz w:val="16"/>
        <w:szCs w:val="16"/>
      </w:rPr>
      <w:t xml:space="preserve"> </w:t>
    </w:r>
    <w:hyperlink r:id="rId1" w:history="1">
      <w:r w:rsidRPr="00652411">
        <w:rPr>
          <w:rStyle w:val="Hyperlink"/>
          <w:rFonts w:cs="Lucida Sans Unicode"/>
          <w:sz w:val="16"/>
          <w:szCs w:val="16"/>
        </w:rPr>
        <w:t>www.psiru.org</w:t>
      </w:r>
    </w:hyperlink>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0F8" w:rsidRPr="00750051" w:rsidRDefault="006660F8" w:rsidP="007500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D23DD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0FA74A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286BDA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BEC850A"/>
    <w:lvl w:ilvl="0">
      <w:start w:val="1"/>
      <w:numFmt w:val="decimal"/>
      <w:pStyle w:val="ListNumber2"/>
      <w:lvlText w:val="%1."/>
      <w:lvlJc w:val="left"/>
      <w:pPr>
        <w:tabs>
          <w:tab w:val="num" w:pos="643"/>
        </w:tabs>
        <w:ind w:left="643" w:hanging="360"/>
      </w:pPr>
    </w:lvl>
  </w:abstractNum>
  <w:abstractNum w:abstractNumId="4">
    <w:nsid w:val="FFFFFF80"/>
    <w:multiLevelType w:val="singleLevel"/>
    <w:tmpl w:val="C5DE5D2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BB052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450512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96059F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050492A"/>
    <w:lvl w:ilvl="0">
      <w:start w:val="1"/>
      <w:numFmt w:val="decimal"/>
      <w:pStyle w:val="ListNumber"/>
      <w:lvlText w:val="%1."/>
      <w:lvlJc w:val="left"/>
      <w:pPr>
        <w:tabs>
          <w:tab w:val="num" w:pos="360"/>
        </w:tabs>
        <w:ind w:left="360" w:hanging="360"/>
      </w:pPr>
    </w:lvl>
  </w:abstractNum>
  <w:abstractNum w:abstractNumId="9">
    <w:nsid w:val="009635BD"/>
    <w:multiLevelType w:val="hybridMultilevel"/>
    <w:tmpl w:val="91DE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23150E6"/>
    <w:multiLevelType w:val="hybridMultilevel"/>
    <w:tmpl w:val="B9186556"/>
    <w:lvl w:ilvl="0" w:tplc="18E0BB74">
      <w:start w:val="1"/>
      <w:numFmt w:val="bullet"/>
      <w:lvlText w:val=""/>
      <w:lvlJc w:val="left"/>
      <w:pPr>
        <w:tabs>
          <w:tab w:val="num" w:pos="720"/>
        </w:tabs>
        <w:ind w:left="720" w:hanging="360"/>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02360676"/>
    <w:multiLevelType w:val="hybridMultilevel"/>
    <w:tmpl w:val="28861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2F0550B"/>
    <w:multiLevelType w:val="multilevel"/>
    <w:tmpl w:val="8DC892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bullet"/>
      <w:lvlText w:val=""/>
      <w:lvlJc w:val="left"/>
      <w:pPr>
        <w:tabs>
          <w:tab w:val="num" w:pos="1224"/>
        </w:tabs>
        <w:ind w:left="1224" w:hanging="1224"/>
      </w:pPr>
      <w:rPr>
        <w:rFonts w:ascii="Symbol" w:hAnsi="Symbol" w:hint="default"/>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223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5EF4CD4"/>
    <w:multiLevelType w:val="hybridMultilevel"/>
    <w:tmpl w:val="2D581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6E70718"/>
    <w:multiLevelType w:val="hybridMultilevel"/>
    <w:tmpl w:val="F586BAA6"/>
    <w:lvl w:ilvl="0" w:tplc="6868B658">
      <w:start w:val="15"/>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D54366"/>
    <w:multiLevelType w:val="hybridMultilevel"/>
    <w:tmpl w:val="A6CE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0871F3"/>
    <w:multiLevelType w:val="hybridMultilevel"/>
    <w:tmpl w:val="7E7A8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22420D7"/>
    <w:multiLevelType w:val="hybridMultilevel"/>
    <w:tmpl w:val="25C0C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2AC137F"/>
    <w:multiLevelType w:val="hybridMultilevel"/>
    <w:tmpl w:val="3EA83448"/>
    <w:lvl w:ilvl="0" w:tplc="3CB2FD9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2B01A02"/>
    <w:multiLevelType w:val="hybridMultilevel"/>
    <w:tmpl w:val="F3FC8C32"/>
    <w:lvl w:ilvl="0" w:tplc="18E2F1DC">
      <w:start w:val="1"/>
      <w:numFmt w:val="upperLetter"/>
      <w:pStyle w:val="Heading8"/>
      <w:lvlText w:val="Chart %1."/>
      <w:lvlJc w:val="left"/>
      <w:pPr>
        <w:tabs>
          <w:tab w:val="num" w:pos="1211"/>
        </w:tabs>
        <w:ind w:left="1211"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1421646B"/>
    <w:multiLevelType w:val="hybridMultilevel"/>
    <w:tmpl w:val="076E7034"/>
    <w:lvl w:ilvl="0" w:tplc="E72AE1A4">
      <w:start w:val="1"/>
      <w:numFmt w:val="upperLetter"/>
      <w:pStyle w:val="Heading6"/>
      <w:lvlText w:val="Bo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62C4FD7"/>
    <w:multiLevelType w:val="hybridMultilevel"/>
    <w:tmpl w:val="52167C42"/>
    <w:lvl w:ilvl="0" w:tplc="08090001">
      <w:start w:val="1"/>
      <w:numFmt w:val="bullet"/>
      <w:lvlText w:val=""/>
      <w:lvlJc w:val="left"/>
      <w:pPr>
        <w:tabs>
          <w:tab w:val="num" w:pos="420"/>
        </w:tabs>
        <w:ind w:left="4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164755A2"/>
    <w:multiLevelType w:val="hybridMultilevel"/>
    <w:tmpl w:val="EB5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9DA019B"/>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1D5207F5"/>
    <w:multiLevelType w:val="hybridMultilevel"/>
    <w:tmpl w:val="E7CA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E7C4143"/>
    <w:multiLevelType w:val="hybridMultilevel"/>
    <w:tmpl w:val="ADA4F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EF841EF"/>
    <w:multiLevelType w:val="hybridMultilevel"/>
    <w:tmpl w:val="22F0DDAC"/>
    <w:lvl w:ilvl="0" w:tplc="8604B84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27D3DB9"/>
    <w:multiLevelType w:val="hybridMultilevel"/>
    <w:tmpl w:val="47D295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23361867"/>
    <w:multiLevelType w:val="hybridMultilevel"/>
    <w:tmpl w:val="D284C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42D1076"/>
    <w:multiLevelType w:val="hybridMultilevel"/>
    <w:tmpl w:val="A9C69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5AD1ABF"/>
    <w:multiLevelType w:val="hybridMultilevel"/>
    <w:tmpl w:val="3CCA7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E5478C7"/>
    <w:multiLevelType w:val="hybridMultilevel"/>
    <w:tmpl w:val="5A70F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47058A"/>
    <w:multiLevelType w:val="hybridMultilevel"/>
    <w:tmpl w:val="72FC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0F017C8"/>
    <w:multiLevelType w:val="hybridMultilevel"/>
    <w:tmpl w:val="F35C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6687707"/>
    <w:multiLevelType w:val="hybridMultilevel"/>
    <w:tmpl w:val="5B7E8832"/>
    <w:lvl w:ilvl="0" w:tplc="0809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nsid w:val="37F166D5"/>
    <w:multiLevelType w:val="hybridMultilevel"/>
    <w:tmpl w:val="0B94A9F6"/>
    <w:lvl w:ilvl="0" w:tplc="BFC6AA94">
      <w:start w:val="1"/>
      <w:numFmt w:val="decimal"/>
      <w:pStyle w:val="Heading7"/>
      <w:lvlText w:val="Table %1. "/>
      <w:lvlJc w:val="left"/>
      <w:pPr>
        <w:tabs>
          <w:tab w:val="num" w:pos="180"/>
        </w:tabs>
        <w:ind w:left="180" w:hanging="1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38DF77BD"/>
    <w:multiLevelType w:val="hybridMultilevel"/>
    <w:tmpl w:val="6016B6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395B111D"/>
    <w:multiLevelType w:val="hybridMultilevel"/>
    <w:tmpl w:val="7A42B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98C712E"/>
    <w:multiLevelType w:val="hybridMultilevel"/>
    <w:tmpl w:val="8F44C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9DD253D"/>
    <w:multiLevelType w:val="hybridMultilevel"/>
    <w:tmpl w:val="93A81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BBD7D0A"/>
    <w:multiLevelType w:val="hybridMultilevel"/>
    <w:tmpl w:val="B0705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BD52C56"/>
    <w:multiLevelType w:val="multilevel"/>
    <w:tmpl w:val="282C684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224"/>
        </w:tabs>
        <w:ind w:left="1224" w:hanging="1224"/>
      </w:pPr>
      <w:rPr>
        <w:rFonts w:hint="default"/>
      </w:rPr>
    </w:lvl>
    <w:lvl w:ilvl="3">
      <w:start w:val="1"/>
      <w:numFmt w:val="bullet"/>
      <w:lvlText w:val=""/>
      <w:lvlJc w:val="left"/>
      <w:pPr>
        <w:tabs>
          <w:tab w:val="num" w:pos="1800"/>
        </w:tabs>
        <w:ind w:left="1728" w:hanging="1728"/>
      </w:pPr>
      <w:rPr>
        <w:rFonts w:ascii="Symbol" w:hAnsi="Symbol" w:hint="default"/>
      </w:rPr>
    </w:lvl>
    <w:lvl w:ilvl="4">
      <w:start w:val="1"/>
      <w:numFmt w:val="decimal"/>
      <w:lvlText w:val="%1.%2.%3.%4.%5."/>
      <w:lvlJc w:val="left"/>
      <w:pPr>
        <w:tabs>
          <w:tab w:val="num" w:pos="2520"/>
        </w:tabs>
        <w:ind w:left="2232" w:hanging="223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E4476ED"/>
    <w:multiLevelType w:val="hybridMultilevel"/>
    <w:tmpl w:val="B5BE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F334AB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420B543A"/>
    <w:multiLevelType w:val="hybridMultilevel"/>
    <w:tmpl w:val="E9308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24F22B2"/>
    <w:multiLevelType w:val="hybridMultilevel"/>
    <w:tmpl w:val="9DE2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B8B5B50"/>
    <w:multiLevelType w:val="hybridMultilevel"/>
    <w:tmpl w:val="A5CE7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DB6786"/>
    <w:multiLevelType w:val="multilevel"/>
    <w:tmpl w:val="0DA8493A"/>
    <w:lvl w:ilvl="0">
      <w:start w:val="1"/>
      <w:numFmt w:val="decimal"/>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792"/>
      </w:pPr>
      <w:rPr>
        <w:rFonts w:hint="default"/>
      </w:rPr>
    </w:lvl>
    <w:lvl w:ilvl="2">
      <w:start w:val="1"/>
      <w:numFmt w:val="decimal"/>
      <w:pStyle w:val="Heading3"/>
      <w:lvlText w:val="%1.%2.%3."/>
      <w:lvlJc w:val="left"/>
      <w:pPr>
        <w:tabs>
          <w:tab w:val="num" w:pos="1224"/>
        </w:tabs>
        <w:ind w:left="1224" w:hanging="1224"/>
      </w:pPr>
      <w:rPr>
        <w:rFonts w:hint="default"/>
      </w:rPr>
    </w:lvl>
    <w:lvl w:ilvl="3">
      <w:start w:val="1"/>
      <w:numFmt w:val="decimal"/>
      <w:lvlText w:val="%1.%2.%3.%4."/>
      <w:lvlJc w:val="left"/>
      <w:pPr>
        <w:tabs>
          <w:tab w:val="num" w:pos="1800"/>
        </w:tabs>
        <w:ind w:left="1728" w:hanging="1728"/>
      </w:pPr>
      <w:rPr>
        <w:rFonts w:hint="default"/>
      </w:rPr>
    </w:lvl>
    <w:lvl w:ilvl="4">
      <w:start w:val="1"/>
      <w:numFmt w:val="decimal"/>
      <w:lvlText w:val="%1.%2.%3.%4.%5."/>
      <w:lvlJc w:val="left"/>
      <w:pPr>
        <w:tabs>
          <w:tab w:val="num" w:pos="2520"/>
        </w:tabs>
        <w:ind w:left="2232" w:hanging="223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ECC266E"/>
    <w:multiLevelType w:val="hybridMultilevel"/>
    <w:tmpl w:val="80E0769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F4A2178"/>
    <w:multiLevelType w:val="hybridMultilevel"/>
    <w:tmpl w:val="76E80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F8F5F5C"/>
    <w:multiLevelType w:val="hybridMultilevel"/>
    <w:tmpl w:val="13C2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0B5653C"/>
    <w:multiLevelType w:val="hybridMultilevel"/>
    <w:tmpl w:val="406A9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16C7463"/>
    <w:multiLevelType w:val="multilevel"/>
    <w:tmpl w:val="688E906A"/>
    <w:lvl w:ilvl="0">
      <w:start w:val="1"/>
      <w:numFmt w:val="decimal"/>
      <w:pStyle w:val="Heading9"/>
      <w:lvlText w:val="Annexe %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none"/>
      <w:pStyle w:val="Heading9"/>
      <w:lvlText w:val=""/>
      <w:lvlJc w:val="left"/>
      <w:pPr>
        <w:tabs>
          <w:tab w:val="num" w:pos="360"/>
        </w:tabs>
        <w:ind w:left="0" w:firstLine="0"/>
      </w:pPr>
      <w:rPr>
        <w:rFonts w:hint="default"/>
      </w:rPr>
    </w:lvl>
  </w:abstractNum>
  <w:abstractNum w:abstractNumId="53">
    <w:nsid w:val="5CBE31CF"/>
    <w:multiLevelType w:val="hybridMultilevel"/>
    <w:tmpl w:val="C3F40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D833ADC"/>
    <w:multiLevelType w:val="hybridMultilevel"/>
    <w:tmpl w:val="80FE0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FAB66EA"/>
    <w:multiLevelType w:val="hybridMultilevel"/>
    <w:tmpl w:val="9FEA7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6223288A"/>
    <w:multiLevelType w:val="hybridMultilevel"/>
    <w:tmpl w:val="792C0AFA"/>
    <w:lvl w:ilvl="0" w:tplc="8B76CEC2">
      <w:numFmt w:val="decimal"/>
      <w:pStyle w:val="Heading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63267093"/>
    <w:multiLevelType w:val="hybridMultilevel"/>
    <w:tmpl w:val="F25AF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4DF0700"/>
    <w:multiLevelType w:val="hybridMultilevel"/>
    <w:tmpl w:val="6F2E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7A337B8"/>
    <w:multiLevelType w:val="hybridMultilevel"/>
    <w:tmpl w:val="88A21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91770B1"/>
    <w:multiLevelType w:val="multilevel"/>
    <w:tmpl w:val="0AF25F3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224"/>
        </w:tabs>
        <w:ind w:left="1224" w:hanging="1224"/>
      </w:pPr>
      <w:rPr>
        <w:rFonts w:hint="default"/>
      </w:rPr>
    </w:lvl>
    <w:lvl w:ilvl="3">
      <w:start w:val="1"/>
      <w:numFmt w:val="bullet"/>
      <w:lvlText w:val=""/>
      <w:lvlJc w:val="left"/>
      <w:pPr>
        <w:tabs>
          <w:tab w:val="num" w:pos="1800"/>
        </w:tabs>
        <w:ind w:left="1728" w:hanging="1728"/>
      </w:pPr>
      <w:rPr>
        <w:rFonts w:ascii="Symbol" w:hAnsi="Symbol" w:hint="default"/>
      </w:rPr>
    </w:lvl>
    <w:lvl w:ilvl="4">
      <w:start w:val="1"/>
      <w:numFmt w:val="decimal"/>
      <w:lvlText w:val="%1.%2.%3.%4.%5."/>
      <w:lvlJc w:val="left"/>
      <w:pPr>
        <w:tabs>
          <w:tab w:val="num" w:pos="2520"/>
        </w:tabs>
        <w:ind w:left="2232" w:hanging="223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6ACF63A4"/>
    <w:multiLevelType w:val="hybridMultilevel"/>
    <w:tmpl w:val="3C68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C0B291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6F94425D"/>
    <w:multiLevelType w:val="hybridMultilevel"/>
    <w:tmpl w:val="2E98E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FC81EFC"/>
    <w:multiLevelType w:val="hybridMultilevel"/>
    <w:tmpl w:val="AF3E4AA8"/>
    <w:lvl w:ilvl="0" w:tplc="0809000F">
      <w:start w:val="1"/>
      <w:numFmt w:val="decimal"/>
      <w:lvlText w:val="%1."/>
      <w:lvlJc w:val="left"/>
      <w:pPr>
        <w:tabs>
          <w:tab w:val="num" w:pos="180"/>
        </w:tabs>
        <w:ind w:left="180" w:hanging="1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nsid w:val="72895341"/>
    <w:multiLevelType w:val="hybridMultilevel"/>
    <w:tmpl w:val="65E0D9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750058C3"/>
    <w:multiLevelType w:val="hybridMultilevel"/>
    <w:tmpl w:val="E40C4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E124BBE"/>
    <w:multiLevelType w:val="hybridMultilevel"/>
    <w:tmpl w:val="7738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43"/>
  </w:num>
  <w:num w:numId="3">
    <w:abstractNumId w:val="62"/>
  </w:num>
  <w:num w:numId="4">
    <w:abstractNumId w:val="2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35"/>
  </w:num>
  <w:num w:numId="16">
    <w:abstractNumId w:val="47"/>
  </w:num>
  <w:num w:numId="17">
    <w:abstractNumId w:val="65"/>
  </w:num>
  <w:num w:numId="18">
    <w:abstractNumId w:val="59"/>
  </w:num>
  <w:num w:numId="19">
    <w:abstractNumId w:val="58"/>
  </w:num>
  <w:num w:numId="20">
    <w:abstractNumId w:val="29"/>
  </w:num>
  <w:num w:numId="21">
    <w:abstractNumId w:val="63"/>
  </w:num>
  <w:num w:numId="22">
    <w:abstractNumId w:val="30"/>
  </w:num>
  <w:num w:numId="23">
    <w:abstractNumId w:val="32"/>
  </w:num>
  <w:num w:numId="24">
    <w:abstractNumId w:val="27"/>
  </w:num>
  <w:num w:numId="25">
    <w:abstractNumId w:val="20"/>
  </w:num>
  <w:num w:numId="26">
    <w:abstractNumId w:val="66"/>
  </w:num>
  <w:num w:numId="27">
    <w:abstractNumId w:val="34"/>
  </w:num>
  <w:num w:numId="28">
    <w:abstractNumId w:val="28"/>
  </w:num>
  <w:num w:numId="29">
    <w:abstractNumId w:val="14"/>
  </w:num>
  <w:num w:numId="30">
    <w:abstractNumId w:val="48"/>
  </w:num>
  <w:num w:numId="31">
    <w:abstractNumId w:val="36"/>
  </w:num>
  <w:num w:numId="32">
    <w:abstractNumId w:val="40"/>
  </w:num>
  <w:num w:numId="33">
    <w:abstractNumId w:val="33"/>
  </w:num>
  <w:num w:numId="34">
    <w:abstractNumId w:val="25"/>
  </w:num>
  <w:num w:numId="35">
    <w:abstractNumId w:val="24"/>
  </w:num>
  <w:num w:numId="36">
    <w:abstractNumId w:val="37"/>
  </w:num>
  <w:num w:numId="37">
    <w:abstractNumId w:val="31"/>
  </w:num>
  <w:num w:numId="38">
    <w:abstractNumId w:val="53"/>
  </w:num>
  <w:num w:numId="39">
    <w:abstractNumId w:val="46"/>
  </w:num>
  <w:num w:numId="40">
    <w:abstractNumId w:val="38"/>
  </w:num>
  <w:num w:numId="41">
    <w:abstractNumId w:val="57"/>
  </w:num>
  <w:num w:numId="42">
    <w:abstractNumId w:val="22"/>
  </w:num>
  <w:num w:numId="43">
    <w:abstractNumId w:val="42"/>
  </w:num>
  <w:num w:numId="44">
    <w:abstractNumId w:val="21"/>
  </w:num>
  <w:num w:numId="45">
    <w:abstractNumId w:val="67"/>
  </w:num>
  <w:num w:numId="46">
    <w:abstractNumId w:val="64"/>
  </w:num>
  <w:num w:numId="47">
    <w:abstractNumId w:val="26"/>
  </w:num>
  <w:num w:numId="48">
    <w:abstractNumId w:val="15"/>
  </w:num>
  <w:num w:numId="49">
    <w:abstractNumId w:val="50"/>
  </w:num>
  <w:num w:numId="50">
    <w:abstractNumId w:val="56"/>
  </w:num>
  <w:num w:numId="51">
    <w:abstractNumId w:val="13"/>
  </w:num>
  <w:num w:numId="52">
    <w:abstractNumId w:val="51"/>
  </w:num>
  <w:num w:numId="53">
    <w:abstractNumId w:val="35"/>
    <w:lvlOverride w:ilvl="0">
      <w:startOverride w:val="1"/>
    </w:lvlOverride>
  </w:num>
  <w:num w:numId="54">
    <w:abstractNumId w:val="55"/>
  </w:num>
  <w:num w:numId="55">
    <w:abstractNumId w:val="61"/>
  </w:num>
  <w:num w:numId="56">
    <w:abstractNumId w:val="49"/>
  </w:num>
  <w:num w:numId="57">
    <w:abstractNumId w:val="10"/>
  </w:num>
  <w:num w:numId="58">
    <w:abstractNumId w:val="11"/>
  </w:num>
  <w:num w:numId="59">
    <w:abstractNumId w:val="17"/>
  </w:num>
  <w:num w:numId="60">
    <w:abstractNumId w:val="16"/>
  </w:num>
  <w:num w:numId="61">
    <w:abstractNumId w:val="45"/>
  </w:num>
  <w:num w:numId="62">
    <w:abstractNumId w:val="44"/>
  </w:num>
  <w:num w:numId="63">
    <w:abstractNumId w:val="9"/>
  </w:num>
  <w:num w:numId="64">
    <w:abstractNumId w:val="39"/>
  </w:num>
  <w:num w:numId="65">
    <w:abstractNumId w:val="54"/>
  </w:num>
  <w:num w:numId="66">
    <w:abstractNumId w:val="41"/>
  </w:num>
  <w:num w:numId="67">
    <w:abstractNumId w:val="60"/>
  </w:num>
  <w:num w:numId="68">
    <w:abstractNumId w:val="12"/>
  </w:num>
  <w:num w:numId="69">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n-CA" w:vendorID="64" w:dllVersion="131078" w:nlCheck="1" w:checkStyle="1"/>
  <w:activeWritingStyle w:appName="MSWord" w:lang="en-029" w:vendorID="64" w:dllVersion="131078" w:nlCheck="1"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49" fillcolor="white" stroke="f">
      <v:fill color="white"/>
      <v:stroke on="f"/>
    </o:shapedefaults>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A07"/>
    <w:rsid w:val="0000166B"/>
    <w:rsid w:val="00001AFD"/>
    <w:rsid w:val="00003B52"/>
    <w:rsid w:val="00011432"/>
    <w:rsid w:val="00011C4E"/>
    <w:rsid w:val="00013924"/>
    <w:rsid w:val="00014545"/>
    <w:rsid w:val="00015083"/>
    <w:rsid w:val="00022D9F"/>
    <w:rsid w:val="000262F0"/>
    <w:rsid w:val="00027228"/>
    <w:rsid w:val="00030D6E"/>
    <w:rsid w:val="000310A0"/>
    <w:rsid w:val="00034868"/>
    <w:rsid w:val="00042AEC"/>
    <w:rsid w:val="00042F12"/>
    <w:rsid w:val="00043059"/>
    <w:rsid w:val="00043954"/>
    <w:rsid w:val="000443F5"/>
    <w:rsid w:val="00047D48"/>
    <w:rsid w:val="00051AE6"/>
    <w:rsid w:val="000560E8"/>
    <w:rsid w:val="00062F11"/>
    <w:rsid w:val="00063B03"/>
    <w:rsid w:val="00065DB4"/>
    <w:rsid w:val="00071699"/>
    <w:rsid w:val="00071829"/>
    <w:rsid w:val="000722C3"/>
    <w:rsid w:val="00074370"/>
    <w:rsid w:val="00081667"/>
    <w:rsid w:val="00084FAB"/>
    <w:rsid w:val="00085299"/>
    <w:rsid w:val="000855AC"/>
    <w:rsid w:val="000866FC"/>
    <w:rsid w:val="00087868"/>
    <w:rsid w:val="000879B5"/>
    <w:rsid w:val="00094EC8"/>
    <w:rsid w:val="00095D86"/>
    <w:rsid w:val="00096F51"/>
    <w:rsid w:val="000979F0"/>
    <w:rsid w:val="000A0F59"/>
    <w:rsid w:val="000A2AC1"/>
    <w:rsid w:val="000A6315"/>
    <w:rsid w:val="000B0547"/>
    <w:rsid w:val="000C2220"/>
    <w:rsid w:val="000C629A"/>
    <w:rsid w:val="000C64CB"/>
    <w:rsid w:val="000C77D5"/>
    <w:rsid w:val="000D1F79"/>
    <w:rsid w:val="000D4118"/>
    <w:rsid w:val="000D5EBE"/>
    <w:rsid w:val="000E505F"/>
    <w:rsid w:val="000E50C7"/>
    <w:rsid w:val="000E7DF8"/>
    <w:rsid w:val="000F2640"/>
    <w:rsid w:val="000F6CAA"/>
    <w:rsid w:val="00100472"/>
    <w:rsid w:val="00101253"/>
    <w:rsid w:val="0010506C"/>
    <w:rsid w:val="00105A31"/>
    <w:rsid w:val="00110705"/>
    <w:rsid w:val="001112DE"/>
    <w:rsid w:val="00112CBE"/>
    <w:rsid w:val="00114CD2"/>
    <w:rsid w:val="001212D6"/>
    <w:rsid w:val="001224E6"/>
    <w:rsid w:val="00123E59"/>
    <w:rsid w:val="00124764"/>
    <w:rsid w:val="0013051D"/>
    <w:rsid w:val="00134E25"/>
    <w:rsid w:val="00140545"/>
    <w:rsid w:val="00142F25"/>
    <w:rsid w:val="00143DED"/>
    <w:rsid w:val="001513D8"/>
    <w:rsid w:val="00152861"/>
    <w:rsid w:val="001531F0"/>
    <w:rsid w:val="001535C3"/>
    <w:rsid w:val="00160AAB"/>
    <w:rsid w:val="00164F07"/>
    <w:rsid w:val="00165A68"/>
    <w:rsid w:val="00167C86"/>
    <w:rsid w:val="001708C0"/>
    <w:rsid w:val="00174630"/>
    <w:rsid w:val="00174BEE"/>
    <w:rsid w:val="001766A5"/>
    <w:rsid w:val="00182B4C"/>
    <w:rsid w:val="00183F69"/>
    <w:rsid w:val="00191F44"/>
    <w:rsid w:val="0019275D"/>
    <w:rsid w:val="00192C03"/>
    <w:rsid w:val="001970DD"/>
    <w:rsid w:val="0019719E"/>
    <w:rsid w:val="00197F2F"/>
    <w:rsid w:val="001A1435"/>
    <w:rsid w:val="001A1D84"/>
    <w:rsid w:val="001A4B45"/>
    <w:rsid w:val="001A5D17"/>
    <w:rsid w:val="001A748B"/>
    <w:rsid w:val="001A7C9B"/>
    <w:rsid w:val="001B23A3"/>
    <w:rsid w:val="001B35C9"/>
    <w:rsid w:val="001B449A"/>
    <w:rsid w:val="001B48BA"/>
    <w:rsid w:val="001B4D38"/>
    <w:rsid w:val="001B7C02"/>
    <w:rsid w:val="001C6B5A"/>
    <w:rsid w:val="001D0C18"/>
    <w:rsid w:val="001D3653"/>
    <w:rsid w:val="001D43D2"/>
    <w:rsid w:val="001E3E52"/>
    <w:rsid w:val="001E4A41"/>
    <w:rsid w:val="001E6DEB"/>
    <w:rsid w:val="001E72A5"/>
    <w:rsid w:val="001F07C1"/>
    <w:rsid w:val="001F0D16"/>
    <w:rsid w:val="001F7125"/>
    <w:rsid w:val="00201070"/>
    <w:rsid w:val="00201122"/>
    <w:rsid w:val="002044D4"/>
    <w:rsid w:val="0020700D"/>
    <w:rsid w:val="00215198"/>
    <w:rsid w:val="00216817"/>
    <w:rsid w:val="00216A71"/>
    <w:rsid w:val="00220965"/>
    <w:rsid w:val="00226F87"/>
    <w:rsid w:val="00231992"/>
    <w:rsid w:val="002342DB"/>
    <w:rsid w:val="00237AAF"/>
    <w:rsid w:val="00240DCD"/>
    <w:rsid w:val="00241C66"/>
    <w:rsid w:val="002435BE"/>
    <w:rsid w:val="00246590"/>
    <w:rsid w:val="00247522"/>
    <w:rsid w:val="00253050"/>
    <w:rsid w:val="002557B0"/>
    <w:rsid w:val="0025698C"/>
    <w:rsid w:val="00256E40"/>
    <w:rsid w:val="002574CE"/>
    <w:rsid w:val="00257A6D"/>
    <w:rsid w:val="00260774"/>
    <w:rsid w:val="002622FC"/>
    <w:rsid w:val="00264211"/>
    <w:rsid w:val="002663A7"/>
    <w:rsid w:val="002679D6"/>
    <w:rsid w:val="00275BFE"/>
    <w:rsid w:val="00277AAA"/>
    <w:rsid w:val="002811BB"/>
    <w:rsid w:val="00285AA6"/>
    <w:rsid w:val="00287AD5"/>
    <w:rsid w:val="0029090A"/>
    <w:rsid w:val="00297567"/>
    <w:rsid w:val="002A13FA"/>
    <w:rsid w:val="002A17DD"/>
    <w:rsid w:val="002A2E6D"/>
    <w:rsid w:val="002C0F36"/>
    <w:rsid w:val="002C21EF"/>
    <w:rsid w:val="002C2794"/>
    <w:rsid w:val="002C4A92"/>
    <w:rsid w:val="002C5CF8"/>
    <w:rsid w:val="002C73A7"/>
    <w:rsid w:val="002C748D"/>
    <w:rsid w:val="002D2EEB"/>
    <w:rsid w:val="002D36B2"/>
    <w:rsid w:val="002D458C"/>
    <w:rsid w:val="002D465B"/>
    <w:rsid w:val="002D4726"/>
    <w:rsid w:val="002E0566"/>
    <w:rsid w:val="002E0A8D"/>
    <w:rsid w:val="002E1819"/>
    <w:rsid w:val="002E2218"/>
    <w:rsid w:val="002E381A"/>
    <w:rsid w:val="002E3B62"/>
    <w:rsid w:val="002E4F22"/>
    <w:rsid w:val="002F0E0E"/>
    <w:rsid w:val="002F2A52"/>
    <w:rsid w:val="002F3151"/>
    <w:rsid w:val="002F4378"/>
    <w:rsid w:val="003102BC"/>
    <w:rsid w:val="00310A48"/>
    <w:rsid w:val="00313090"/>
    <w:rsid w:val="00313D48"/>
    <w:rsid w:val="003142E1"/>
    <w:rsid w:val="00316070"/>
    <w:rsid w:val="00320342"/>
    <w:rsid w:val="003229D8"/>
    <w:rsid w:val="00326552"/>
    <w:rsid w:val="00327ABE"/>
    <w:rsid w:val="00327EE1"/>
    <w:rsid w:val="003343B9"/>
    <w:rsid w:val="003349F1"/>
    <w:rsid w:val="00335DD8"/>
    <w:rsid w:val="00335E66"/>
    <w:rsid w:val="003420EF"/>
    <w:rsid w:val="003439A5"/>
    <w:rsid w:val="00344DD4"/>
    <w:rsid w:val="0034586E"/>
    <w:rsid w:val="00345C59"/>
    <w:rsid w:val="00346015"/>
    <w:rsid w:val="00346D93"/>
    <w:rsid w:val="003501EF"/>
    <w:rsid w:val="003531BF"/>
    <w:rsid w:val="00360736"/>
    <w:rsid w:val="00364142"/>
    <w:rsid w:val="003662A2"/>
    <w:rsid w:val="0037163D"/>
    <w:rsid w:val="00372FA2"/>
    <w:rsid w:val="00381974"/>
    <w:rsid w:val="0038480F"/>
    <w:rsid w:val="00385FF5"/>
    <w:rsid w:val="003877E7"/>
    <w:rsid w:val="00391DC0"/>
    <w:rsid w:val="003924F3"/>
    <w:rsid w:val="00393115"/>
    <w:rsid w:val="00396189"/>
    <w:rsid w:val="0039730A"/>
    <w:rsid w:val="003A1D5E"/>
    <w:rsid w:val="003A5667"/>
    <w:rsid w:val="003B6BBC"/>
    <w:rsid w:val="003B7D26"/>
    <w:rsid w:val="003D2484"/>
    <w:rsid w:val="003D4DA5"/>
    <w:rsid w:val="003E035E"/>
    <w:rsid w:val="003E0D84"/>
    <w:rsid w:val="003E2DAE"/>
    <w:rsid w:val="003E3DB9"/>
    <w:rsid w:val="003E51DE"/>
    <w:rsid w:val="003E6B67"/>
    <w:rsid w:val="003E7CAC"/>
    <w:rsid w:val="003F0284"/>
    <w:rsid w:val="003F0530"/>
    <w:rsid w:val="003F3E1C"/>
    <w:rsid w:val="003F5ECB"/>
    <w:rsid w:val="004037C3"/>
    <w:rsid w:val="004042A2"/>
    <w:rsid w:val="004045AD"/>
    <w:rsid w:val="00405159"/>
    <w:rsid w:val="00413559"/>
    <w:rsid w:val="004141A5"/>
    <w:rsid w:val="004170A9"/>
    <w:rsid w:val="004274A7"/>
    <w:rsid w:val="00433AAB"/>
    <w:rsid w:val="00437739"/>
    <w:rsid w:val="00446BED"/>
    <w:rsid w:val="004558A9"/>
    <w:rsid w:val="00456977"/>
    <w:rsid w:val="00461FAC"/>
    <w:rsid w:val="004663AF"/>
    <w:rsid w:val="004758B5"/>
    <w:rsid w:val="00482C27"/>
    <w:rsid w:val="00483698"/>
    <w:rsid w:val="00483861"/>
    <w:rsid w:val="00487DAA"/>
    <w:rsid w:val="00492FC5"/>
    <w:rsid w:val="004A0689"/>
    <w:rsid w:val="004A0C9F"/>
    <w:rsid w:val="004A328E"/>
    <w:rsid w:val="004A4A9E"/>
    <w:rsid w:val="004A6064"/>
    <w:rsid w:val="004B21AC"/>
    <w:rsid w:val="004B3C9B"/>
    <w:rsid w:val="004C0FF0"/>
    <w:rsid w:val="004C3AFE"/>
    <w:rsid w:val="004C42D6"/>
    <w:rsid w:val="004C4A75"/>
    <w:rsid w:val="004C53B4"/>
    <w:rsid w:val="004C72A9"/>
    <w:rsid w:val="004D0D30"/>
    <w:rsid w:val="004D3BBF"/>
    <w:rsid w:val="004D5EB2"/>
    <w:rsid w:val="004D655B"/>
    <w:rsid w:val="004E07F6"/>
    <w:rsid w:val="004E0835"/>
    <w:rsid w:val="004E16E5"/>
    <w:rsid w:val="004E3457"/>
    <w:rsid w:val="004F63A2"/>
    <w:rsid w:val="00500AE8"/>
    <w:rsid w:val="00502123"/>
    <w:rsid w:val="005053A1"/>
    <w:rsid w:val="00507056"/>
    <w:rsid w:val="00511033"/>
    <w:rsid w:val="005129B0"/>
    <w:rsid w:val="00512F6B"/>
    <w:rsid w:val="00514B0E"/>
    <w:rsid w:val="00515D49"/>
    <w:rsid w:val="00517D64"/>
    <w:rsid w:val="0052568E"/>
    <w:rsid w:val="00527178"/>
    <w:rsid w:val="00532688"/>
    <w:rsid w:val="00542B1C"/>
    <w:rsid w:val="005443FF"/>
    <w:rsid w:val="00546E9E"/>
    <w:rsid w:val="005470F7"/>
    <w:rsid w:val="00547333"/>
    <w:rsid w:val="005474A3"/>
    <w:rsid w:val="00551774"/>
    <w:rsid w:val="005531B9"/>
    <w:rsid w:val="00556C6C"/>
    <w:rsid w:val="00560E99"/>
    <w:rsid w:val="00561FE1"/>
    <w:rsid w:val="00563269"/>
    <w:rsid w:val="00563F31"/>
    <w:rsid w:val="005660D3"/>
    <w:rsid w:val="00567CE3"/>
    <w:rsid w:val="00572BE7"/>
    <w:rsid w:val="005804AA"/>
    <w:rsid w:val="00580BF5"/>
    <w:rsid w:val="00582F93"/>
    <w:rsid w:val="00585B80"/>
    <w:rsid w:val="005933A5"/>
    <w:rsid w:val="005940E8"/>
    <w:rsid w:val="005962D6"/>
    <w:rsid w:val="005A2E06"/>
    <w:rsid w:val="005A3A65"/>
    <w:rsid w:val="005A663D"/>
    <w:rsid w:val="005B1497"/>
    <w:rsid w:val="005B56EA"/>
    <w:rsid w:val="005B5888"/>
    <w:rsid w:val="005C11DE"/>
    <w:rsid w:val="005C2ABC"/>
    <w:rsid w:val="005C377E"/>
    <w:rsid w:val="005C37EF"/>
    <w:rsid w:val="005C7237"/>
    <w:rsid w:val="005C72D4"/>
    <w:rsid w:val="005C76A1"/>
    <w:rsid w:val="005C7BF3"/>
    <w:rsid w:val="005D08F6"/>
    <w:rsid w:val="005D24E0"/>
    <w:rsid w:val="005D3F0F"/>
    <w:rsid w:val="005D438D"/>
    <w:rsid w:val="005E2531"/>
    <w:rsid w:val="005E2720"/>
    <w:rsid w:val="005E7F86"/>
    <w:rsid w:val="005F0608"/>
    <w:rsid w:val="0061218D"/>
    <w:rsid w:val="006153AC"/>
    <w:rsid w:val="006154BD"/>
    <w:rsid w:val="0061695B"/>
    <w:rsid w:val="00620C8A"/>
    <w:rsid w:val="00621564"/>
    <w:rsid w:val="006222B3"/>
    <w:rsid w:val="006230DF"/>
    <w:rsid w:val="00625566"/>
    <w:rsid w:val="00625E0A"/>
    <w:rsid w:val="006333C7"/>
    <w:rsid w:val="00633FF2"/>
    <w:rsid w:val="006350DB"/>
    <w:rsid w:val="00636159"/>
    <w:rsid w:val="00640AE3"/>
    <w:rsid w:val="0064224B"/>
    <w:rsid w:val="00642680"/>
    <w:rsid w:val="0064331C"/>
    <w:rsid w:val="006520B8"/>
    <w:rsid w:val="00652411"/>
    <w:rsid w:val="006525BD"/>
    <w:rsid w:val="00653BFA"/>
    <w:rsid w:val="00654182"/>
    <w:rsid w:val="00655038"/>
    <w:rsid w:val="0066057E"/>
    <w:rsid w:val="0066148C"/>
    <w:rsid w:val="00663753"/>
    <w:rsid w:val="00664249"/>
    <w:rsid w:val="0066431B"/>
    <w:rsid w:val="00665E50"/>
    <w:rsid w:val="006660F8"/>
    <w:rsid w:val="006669E8"/>
    <w:rsid w:val="00666CB8"/>
    <w:rsid w:val="006677F7"/>
    <w:rsid w:val="00667C99"/>
    <w:rsid w:val="00670F60"/>
    <w:rsid w:val="006721D7"/>
    <w:rsid w:val="006729DB"/>
    <w:rsid w:val="00673B04"/>
    <w:rsid w:val="00674432"/>
    <w:rsid w:val="00680EC6"/>
    <w:rsid w:val="0068256C"/>
    <w:rsid w:val="00684218"/>
    <w:rsid w:val="006926D7"/>
    <w:rsid w:val="00693217"/>
    <w:rsid w:val="00694ED9"/>
    <w:rsid w:val="00697EA3"/>
    <w:rsid w:val="006A0729"/>
    <w:rsid w:val="006A390A"/>
    <w:rsid w:val="006A6550"/>
    <w:rsid w:val="006B1CF1"/>
    <w:rsid w:val="006B29F8"/>
    <w:rsid w:val="006B3C2D"/>
    <w:rsid w:val="006B47E7"/>
    <w:rsid w:val="006B65C5"/>
    <w:rsid w:val="006B7A10"/>
    <w:rsid w:val="006C087C"/>
    <w:rsid w:val="006C200D"/>
    <w:rsid w:val="006C25A3"/>
    <w:rsid w:val="006C6874"/>
    <w:rsid w:val="006D1C30"/>
    <w:rsid w:val="006D54D1"/>
    <w:rsid w:val="006E3235"/>
    <w:rsid w:val="006E700F"/>
    <w:rsid w:val="006F0DBC"/>
    <w:rsid w:val="006F2688"/>
    <w:rsid w:val="006F3947"/>
    <w:rsid w:val="006F4F3E"/>
    <w:rsid w:val="007068F4"/>
    <w:rsid w:val="00711B85"/>
    <w:rsid w:val="00713C54"/>
    <w:rsid w:val="007206B7"/>
    <w:rsid w:val="00725E40"/>
    <w:rsid w:val="00726892"/>
    <w:rsid w:val="00732B04"/>
    <w:rsid w:val="0073642F"/>
    <w:rsid w:val="00746749"/>
    <w:rsid w:val="00747C89"/>
    <w:rsid w:val="00750051"/>
    <w:rsid w:val="00750053"/>
    <w:rsid w:val="007549B5"/>
    <w:rsid w:val="00755BB4"/>
    <w:rsid w:val="00760471"/>
    <w:rsid w:val="00760CC8"/>
    <w:rsid w:val="0076727C"/>
    <w:rsid w:val="007712AE"/>
    <w:rsid w:val="00772C9A"/>
    <w:rsid w:val="00772CE5"/>
    <w:rsid w:val="00772EE4"/>
    <w:rsid w:val="007779D0"/>
    <w:rsid w:val="0078087D"/>
    <w:rsid w:val="00781636"/>
    <w:rsid w:val="00781C4E"/>
    <w:rsid w:val="00781FBC"/>
    <w:rsid w:val="0078248B"/>
    <w:rsid w:val="00785AC1"/>
    <w:rsid w:val="007867A1"/>
    <w:rsid w:val="007877C7"/>
    <w:rsid w:val="007904A5"/>
    <w:rsid w:val="007934FC"/>
    <w:rsid w:val="007945AF"/>
    <w:rsid w:val="007A0DEC"/>
    <w:rsid w:val="007A5DE3"/>
    <w:rsid w:val="007B02A2"/>
    <w:rsid w:val="007B1F8A"/>
    <w:rsid w:val="007B5211"/>
    <w:rsid w:val="007B56A0"/>
    <w:rsid w:val="007B5D09"/>
    <w:rsid w:val="007B656E"/>
    <w:rsid w:val="007C1B39"/>
    <w:rsid w:val="007C4CA6"/>
    <w:rsid w:val="007D1B2A"/>
    <w:rsid w:val="007D333E"/>
    <w:rsid w:val="007D4B2F"/>
    <w:rsid w:val="007D6101"/>
    <w:rsid w:val="007D7E27"/>
    <w:rsid w:val="007E045D"/>
    <w:rsid w:val="007E3F49"/>
    <w:rsid w:val="007E4721"/>
    <w:rsid w:val="007E7585"/>
    <w:rsid w:val="007F0057"/>
    <w:rsid w:val="007F3DD2"/>
    <w:rsid w:val="007F6A60"/>
    <w:rsid w:val="0080036E"/>
    <w:rsid w:val="00804DB0"/>
    <w:rsid w:val="0080740F"/>
    <w:rsid w:val="00814A3E"/>
    <w:rsid w:val="00814BF3"/>
    <w:rsid w:val="00815868"/>
    <w:rsid w:val="00817611"/>
    <w:rsid w:val="00822BF2"/>
    <w:rsid w:val="0082500C"/>
    <w:rsid w:val="00825741"/>
    <w:rsid w:val="00830512"/>
    <w:rsid w:val="008309C8"/>
    <w:rsid w:val="00830E75"/>
    <w:rsid w:val="00834D8C"/>
    <w:rsid w:val="00835BC3"/>
    <w:rsid w:val="008374DA"/>
    <w:rsid w:val="00844717"/>
    <w:rsid w:val="008517B2"/>
    <w:rsid w:val="00851810"/>
    <w:rsid w:val="0085442D"/>
    <w:rsid w:val="00854A07"/>
    <w:rsid w:val="008600B4"/>
    <w:rsid w:val="00863FAE"/>
    <w:rsid w:val="00866797"/>
    <w:rsid w:val="0087448C"/>
    <w:rsid w:val="0087510F"/>
    <w:rsid w:val="00875435"/>
    <w:rsid w:val="00876A83"/>
    <w:rsid w:val="0088208F"/>
    <w:rsid w:val="00885545"/>
    <w:rsid w:val="008867DF"/>
    <w:rsid w:val="00886DB0"/>
    <w:rsid w:val="00887CF4"/>
    <w:rsid w:val="008940D4"/>
    <w:rsid w:val="00896460"/>
    <w:rsid w:val="008964E7"/>
    <w:rsid w:val="0089768A"/>
    <w:rsid w:val="008A026F"/>
    <w:rsid w:val="008A315D"/>
    <w:rsid w:val="008A31DD"/>
    <w:rsid w:val="008A6B67"/>
    <w:rsid w:val="008A79D3"/>
    <w:rsid w:val="008B6ADA"/>
    <w:rsid w:val="008C1D3E"/>
    <w:rsid w:val="008C359F"/>
    <w:rsid w:val="008D1B6E"/>
    <w:rsid w:val="008D71FB"/>
    <w:rsid w:val="008E2913"/>
    <w:rsid w:val="008E2EDD"/>
    <w:rsid w:val="008E48AF"/>
    <w:rsid w:val="008F00EF"/>
    <w:rsid w:val="008F1153"/>
    <w:rsid w:val="008F2C1D"/>
    <w:rsid w:val="008F454F"/>
    <w:rsid w:val="008F45CE"/>
    <w:rsid w:val="008F4F74"/>
    <w:rsid w:val="00900FD9"/>
    <w:rsid w:val="00904CE0"/>
    <w:rsid w:val="00906C3C"/>
    <w:rsid w:val="009072EF"/>
    <w:rsid w:val="00907EF3"/>
    <w:rsid w:val="009105D8"/>
    <w:rsid w:val="00912487"/>
    <w:rsid w:val="009148A6"/>
    <w:rsid w:val="0091525E"/>
    <w:rsid w:val="009218D1"/>
    <w:rsid w:val="00924784"/>
    <w:rsid w:val="00926355"/>
    <w:rsid w:val="0093076E"/>
    <w:rsid w:val="009317DD"/>
    <w:rsid w:val="00932055"/>
    <w:rsid w:val="00933744"/>
    <w:rsid w:val="00933CB6"/>
    <w:rsid w:val="009372DB"/>
    <w:rsid w:val="00943D63"/>
    <w:rsid w:val="009515FC"/>
    <w:rsid w:val="00952395"/>
    <w:rsid w:val="009537B9"/>
    <w:rsid w:val="009551CF"/>
    <w:rsid w:val="00956D02"/>
    <w:rsid w:val="00960ACE"/>
    <w:rsid w:val="00963209"/>
    <w:rsid w:val="00963417"/>
    <w:rsid w:val="00970179"/>
    <w:rsid w:val="009776E6"/>
    <w:rsid w:val="00982DFA"/>
    <w:rsid w:val="00985156"/>
    <w:rsid w:val="009878F6"/>
    <w:rsid w:val="00992566"/>
    <w:rsid w:val="00993CB2"/>
    <w:rsid w:val="009970FD"/>
    <w:rsid w:val="009A2BE5"/>
    <w:rsid w:val="009A38E0"/>
    <w:rsid w:val="009A3B34"/>
    <w:rsid w:val="009A4436"/>
    <w:rsid w:val="009A4E73"/>
    <w:rsid w:val="009B23FE"/>
    <w:rsid w:val="009B3B0D"/>
    <w:rsid w:val="009B6981"/>
    <w:rsid w:val="009C3996"/>
    <w:rsid w:val="009D1818"/>
    <w:rsid w:val="009D3466"/>
    <w:rsid w:val="009D3765"/>
    <w:rsid w:val="009D3ACA"/>
    <w:rsid w:val="009D3CAB"/>
    <w:rsid w:val="009D7F62"/>
    <w:rsid w:val="009E2299"/>
    <w:rsid w:val="009E3F6D"/>
    <w:rsid w:val="009E450B"/>
    <w:rsid w:val="009F184B"/>
    <w:rsid w:val="009F228C"/>
    <w:rsid w:val="009F2BFE"/>
    <w:rsid w:val="009F3CB1"/>
    <w:rsid w:val="009F4F54"/>
    <w:rsid w:val="009F7E3B"/>
    <w:rsid w:val="00A0154B"/>
    <w:rsid w:val="00A06B8C"/>
    <w:rsid w:val="00A11146"/>
    <w:rsid w:val="00A13986"/>
    <w:rsid w:val="00A14148"/>
    <w:rsid w:val="00A16A2E"/>
    <w:rsid w:val="00A20726"/>
    <w:rsid w:val="00A241D3"/>
    <w:rsid w:val="00A24B74"/>
    <w:rsid w:val="00A270F3"/>
    <w:rsid w:val="00A278CB"/>
    <w:rsid w:val="00A31234"/>
    <w:rsid w:val="00A33280"/>
    <w:rsid w:val="00A40581"/>
    <w:rsid w:val="00A42F35"/>
    <w:rsid w:val="00A42FDE"/>
    <w:rsid w:val="00A43D87"/>
    <w:rsid w:val="00A4758B"/>
    <w:rsid w:val="00A47EE9"/>
    <w:rsid w:val="00A50131"/>
    <w:rsid w:val="00A546FC"/>
    <w:rsid w:val="00A54D47"/>
    <w:rsid w:val="00A60076"/>
    <w:rsid w:val="00A6465D"/>
    <w:rsid w:val="00A65038"/>
    <w:rsid w:val="00A65ED2"/>
    <w:rsid w:val="00A66254"/>
    <w:rsid w:val="00A666EA"/>
    <w:rsid w:val="00A70034"/>
    <w:rsid w:val="00A710DD"/>
    <w:rsid w:val="00A7228A"/>
    <w:rsid w:val="00A723E5"/>
    <w:rsid w:val="00A73BDF"/>
    <w:rsid w:val="00A745FE"/>
    <w:rsid w:val="00A754D1"/>
    <w:rsid w:val="00A80547"/>
    <w:rsid w:val="00A858FA"/>
    <w:rsid w:val="00A86B9E"/>
    <w:rsid w:val="00A97EF0"/>
    <w:rsid w:val="00AA261E"/>
    <w:rsid w:val="00AB085C"/>
    <w:rsid w:val="00AB2E5C"/>
    <w:rsid w:val="00AB5069"/>
    <w:rsid w:val="00AC0895"/>
    <w:rsid w:val="00AC3771"/>
    <w:rsid w:val="00AC518A"/>
    <w:rsid w:val="00AD09BB"/>
    <w:rsid w:val="00AD199B"/>
    <w:rsid w:val="00AD3DAE"/>
    <w:rsid w:val="00AE19A5"/>
    <w:rsid w:val="00AF1820"/>
    <w:rsid w:val="00AF66B3"/>
    <w:rsid w:val="00B01B8A"/>
    <w:rsid w:val="00B02EF8"/>
    <w:rsid w:val="00B05F6D"/>
    <w:rsid w:val="00B14F89"/>
    <w:rsid w:val="00B151C0"/>
    <w:rsid w:val="00B24232"/>
    <w:rsid w:val="00B249E7"/>
    <w:rsid w:val="00B3551A"/>
    <w:rsid w:val="00B3769F"/>
    <w:rsid w:val="00B4239D"/>
    <w:rsid w:val="00B450D6"/>
    <w:rsid w:val="00B463CF"/>
    <w:rsid w:val="00B46BF2"/>
    <w:rsid w:val="00B50157"/>
    <w:rsid w:val="00B51D2D"/>
    <w:rsid w:val="00B54759"/>
    <w:rsid w:val="00B55310"/>
    <w:rsid w:val="00B60117"/>
    <w:rsid w:val="00B61256"/>
    <w:rsid w:val="00B61896"/>
    <w:rsid w:val="00B61A94"/>
    <w:rsid w:val="00B63A72"/>
    <w:rsid w:val="00B74BB8"/>
    <w:rsid w:val="00B80495"/>
    <w:rsid w:val="00B80A9B"/>
    <w:rsid w:val="00B91544"/>
    <w:rsid w:val="00B9450C"/>
    <w:rsid w:val="00B94CE0"/>
    <w:rsid w:val="00B951BB"/>
    <w:rsid w:val="00B97F8B"/>
    <w:rsid w:val="00BA0051"/>
    <w:rsid w:val="00BA58D1"/>
    <w:rsid w:val="00BB10C1"/>
    <w:rsid w:val="00BB23B3"/>
    <w:rsid w:val="00BB57B1"/>
    <w:rsid w:val="00BB7373"/>
    <w:rsid w:val="00BC10F5"/>
    <w:rsid w:val="00BC1B88"/>
    <w:rsid w:val="00BC38A4"/>
    <w:rsid w:val="00BC5DD7"/>
    <w:rsid w:val="00BC66D1"/>
    <w:rsid w:val="00BD45E4"/>
    <w:rsid w:val="00BD5EEF"/>
    <w:rsid w:val="00BD6D9D"/>
    <w:rsid w:val="00BE5CD8"/>
    <w:rsid w:val="00BF036D"/>
    <w:rsid w:val="00BF058F"/>
    <w:rsid w:val="00BF7FC8"/>
    <w:rsid w:val="00C01857"/>
    <w:rsid w:val="00C02FC3"/>
    <w:rsid w:val="00C03240"/>
    <w:rsid w:val="00C1362A"/>
    <w:rsid w:val="00C14A02"/>
    <w:rsid w:val="00C15581"/>
    <w:rsid w:val="00C16B82"/>
    <w:rsid w:val="00C21627"/>
    <w:rsid w:val="00C33FDE"/>
    <w:rsid w:val="00C358F0"/>
    <w:rsid w:val="00C35F37"/>
    <w:rsid w:val="00C370B3"/>
    <w:rsid w:val="00C41593"/>
    <w:rsid w:val="00C5046D"/>
    <w:rsid w:val="00C50D9C"/>
    <w:rsid w:val="00C55306"/>
    <w:rsid w:val="00C575E1"/>
    <w:rsid w:val="00C61C11"/>
    <w:rsid w:val="00C62470"/>
    <w:rsid w:val="00C645B6"/>
    <w:rsid w:val="00C64B42"/>
    <w:rsid w:val="00C66997"/>
    <w:rsid w:val="00C66DD3"/>
    <w:rsid w:val="00C67131"/>
    <w:rsid w:val="00C81468"/>
    <w:rsid w:val="00C827B0"/>
    <w:rsid w:val="00C831B7"/>
    <w:rsid w:val="00C84EDB"/>
    <w:rsid w:val="00C8723D"/>
    <w:rsid w:val="00C92232"/>
    <w:rsid w:val="00CA0253"/>
    <w:rsid w:val="00CA0C16"/>
    <w:rsid w:val="00CA0ED7"/>
    <w:rsid w:val="00CA5823"/>
    <w:rsid w:val="00CC01DA"/>
    <w:rsid w:val="00CC43AC"/>
    <w:rsid w:val="00CC445A"/>
    <w:rsid w:val="00CC6A26"/>
    <w:rsid w:val="00CD0077"/>
    <w:rsid w:val="00CD5564"/>
    <w:rsid w:val="00CD5AED"/>
    <w:rsid w:val="00CD69BF"/>
    <w:rsid w:val="00CE1FBB"/>
    <w:rsid w:val="00CE2CFF"/>
    <w:rsid w:val="00CE3EAF"/>
    <w:rsid w:val="00CE4DF4"/>
    <w:rsid w:val="00CF112D"/>
    <w:rsid w:val="00CF2548"/>
    <w:rsid w:val="00CF7806"/>
    <w:rsid w:val="00D00E28"/>
    <w:rsid w:val="00D0297F"/>
    <w:rsid w:val="00D124C8"/>
    <w:rsid w:val="00D146EB"/>
    <w:rsid w:val="00D150F3"/>
    <w:rsid w:val="00D16CA9"/>
    <w:rsid w:val="00D20C89"/>
    <w:rsid w:val="00D318A6"/>
    <w:rsid w:val="00D34154"/>
    <w:rsid w:val="00D341C1"/>
    <w:rsid w:val="00D35C51"/>
    <w:rsid w:val="00D408D1"/>
    <w:rsid w:val="00D45FD0"/>
    <w:rsid w:val="00D5425C"/>
    <w:rsid w:val="00D55846"/>
    <w:rsid w:val="00D625FA"/>
    <w:rsid w:val="00D62A87"/>
    <w:rsid w:val="00D70217"/>
    <w:rsid w:val="00D7183C"/>
    <w:rsid w:val="00D72319"/>
    <w:rsid w:val="00D75210"/>
    <w:rsid w:val="00D754BC"/>
    <w:rsid w:val="00D768AC"/>
    <w:rsid w:val="00D84210"/>
    <w:rsid w:val="00D8485F"/>
    <w:rsid w:val="00D848C2"/>
    <w:rsid w:val="00D86701"/>
    <w:rsid w:val="00D86819"/>
    <w:rsid w:val="00D90026"/>
    <w:rsid w:val="00D95E1E"/>
    <w:rsid w:val="00DA10D6"/>
    <w:rsid w:val="00DA35A6"/>
    <w:rsid w:val="00DA7C49"/>
    <w:rsid w:val="00DB7F76"/>
    <w:rsid w:val="00DC0718"/>
    <w:rsid w:val="00DC2B15"/>
    <w:rsid w:val="00DC419A"/>
    <w:rsid w:val="00DC6DCE"/>
    <w:rsid w:val="00DD0002"/>
    <w:rsid w:val="00DD41F7"/>
    <w:rsid w:val="00DD5731"/>
    <w:rsid w:val="00DE129F"/>
    <w:rsid w:val="00DE46E2"/>
    <w:rsid w:val="00DE51A4"/>
    <w:rsid w:val="00DE5A75"/>
    <w:rsid w:val="00DE65B5"/>
    <w:rsid w:val="00DE7343"/>
    <w:rsid w:val="00DF029D"/>
    <w:rsid w:val="00DF0BBD"/>
    <w:rsid w:val="00E006A8"/>
    <w:rsid w:val="00E0587F"/>
    <w:rsid w:val="00E06088"/>
    <w:rsid w:val="00E16011"/>
    <w:rsid w:val="00E16EE5"/>
    <w:rsid w:val="00E17CD0"/>
    <w:rsid w:val="00E243F5"/>
    <w:rsid w:val="00E2447F"/>
    <w:rsid w:val="00E24D1E"/>
    <w:rsid w:val="00E2546B"/>
    <w:rsid w:val="00E25CB3"/>
    <w:rsid w:val="00E26E16"/>
    <w:rsid w:val="00E32AD8"/>
    <w:rsid w:val="00E3362F"/>
    <w:rsid w:val="00E37922"/>
    <w:rsid w:val="00E37E55"/>
    <w:rsid w:val="00E44112"/>
    <w:rsid w:val="00E441B8"/>
    <w:rsid w:val="00E45505"/>
    <w:rsid w:val="00E45767"/>
    <w:rsid w:val="00E50F88"/>
    <w:rsid w:val="00E553EF"/>
    <w:rsid w:val="00E55FAE"/>
    <w:rsid w:val="00E67155"/>
    <w:rsid w:val="00E75CD9"/>
    <w:rsid w:val="00E764D2"/>
    <w:rsid w:val="00E81509"/>
    <w:rsid w:val="00E87F01"/>
    <w:rsid w:val="00E92200"/>
    <w:rsid w:val="00E922E8"/>
    <w:rsid w:val="00E92B90"/>
    <w:rsid w:val="00E941FA"/>
    <w:rsid w:val="00E96EDC"/>
    <w:rsid w:val="00E9780C"/>
    <w:rsid w:val="00EA2F96"/>
    <w:rsid w:val="00EA47F5"/>
    <w:rsid w:val="00EA5A74"/>
    <w:rsid w:val="00EA5ED2"/>
    <w:rsid w:val="00EA6787"/>
    <w:rsid w:val="00EB259A"/>
    <w:rsid w:val="00EB3601"/>
    <w:rsid w:val="00EB3FD4"/>
    <w:rsid w:val="00EB53CF"/>
    <w:rsid w:val="00EB79FA"/>
    <w:rsid w:val="00EC2AB9"/>
    <w:rsid w:val="00EC3651"/>
    <w:rsid w:val="00EC3840"/>
    <w:rsid w:val="00EC45B4"/>
    <w:rsid w:val="00EC4A5D"/>
    <w:rsid w:val="00EC6184"/>
    <w:rsid w:val="00ED0688"/>
    <w:rsid w:val="00ED1E7F"/>
    <w:rsid w:val="00ED22C8"/>
    <w:rsid w:val="00ED7FF8"/>
    <w:rsid w:val="00EE29CF"/>
    <w:rsid w:val="00EE3EDC"/>
    <w:rsid w:val="00EE4D0C"/>
    <w:rsid w:val="00EE4E88"/>
    <w:rsid w:val="00EE5294"/>
    <w:rsid w:val="00EE6203"/>
    <w:rsid w:val="00EE6A27"/>
    <w:rsid w:val="00EE76F2"/>
    <w:rsid w:val="00EF04EF"/>
    <w:rsid w:val="00EF2922"/>
    <w:rsid w:val="00EF78BD"/>
    <w:rsid w:val="00F01441"/>
    <w:rsid w:val="00F06619"/>
    <w:rsid w:val="00F06927"/>
    <w:rsid w:val="00F12A38"/>
    <w:rsid w:val="00F12B0C"/>
    <w:rsid w:val="00F12B90"/>
    <w:rsid w:val="00F20695"/>
    <w:rsid w:val="00F2359C"/>
    <w:rsid w:val="00F23A32"/>
    <w:rsid w:val="00F24011"/>
    <w:rsid w:val="00F24576"/>
    <w:rsid w:val="00F24607"/>
    <w:rsid w:val="00F43030"/>
    <w:rsid w:val="00F50B00"/>
    <w:rsid w:val="00F56139"/>
    <w:rsid w:val="00F60F13"/>
    <w:rsid w:val="00F61F50"/>
    <w:rsid w:val="00F66291"/>
    <w:rsid w:val="00F66BD2"/>
    <w:rsid w:val="00F70096"/>
    <w:rsid w:val="00F7421A"/>
    <w:rsid w:val="00F74AE3"/>
    <w:rsid w:val="00F80962"/>
    <w:rsid w:val="00F84288"/>
    <w:rsid w:val="00F901B7"/>
    <w:rsid w:val="00F90593"/>
    <w:rsid w:val="00F93F83"/>
    <w:rsid w:val="00FA0001"/>
    <w:rsid w:val="00FA0CB6"/>
    <w:rsid w:val="00FA23A4"/>
    <w:rsid w:val="00FA4962"/>
    <w:rsid w:val="00FA503F"/>
    <w:rsid w:val="00FA542C"/>
    <w:rsid w:val="00FA7EF8"/>
    <w:rsid w:val="00FA7F1C"/>
    <w:rsid w:val="00FB02A6"/>
    <w:rsid w:val="00FB6926"/>
    <w:rsid w:val="00FC03A5"/>
    <w:rsid w:val="00FC09FF"/>
    <w:rsid w:val="00FC0B09"/>
    <w:rsid w:val="00FC4644"/>
    <w:rsid w:val="00FC4CDF"/>
    <w:rsid w:val="00FC6927"/>
    <w:rsid w:val="00FD1B91"/>
    <w:rsid w:val="00FD28AC"/>
    <w:rsid w:val="00FD4340"/>
    <w:rsid w:val="00FD5530"/>
    <w:rsid w:val="00FD745B"/>
    <w:rsid w:val="00FE1E3A"/>
    <w:rsid w:val="00FE1E9E"/>
    <w:rsid w:val="00FE2338"/>
    <w:rsid w:val="00FE28D3"/>
    <w:rsid w:val="00FE3A25"/>
    <w:rsid w:val="00FE3B79"/>
    <w:rsid w:val="00FE3E27"/>
    <w:rsid w:val="00FE5D8C"/>
    <w:rsid w:val="00FE73F7"/>
    <w:rsid w:val="00FE7BBA"/>
    <w:rsid w:val="00FF11C9"/>
    <w:rsid w:val="00FF53CA"/>
    <w:rsid w:val="00FF5EE0"/>
    <w:rsid w:val="00FF6D63"/>
  </w:rsids>
  <m:mathPr>
    <m:mathFont m:val="Cambria Math"/>
    <m:brkBin m:val="before"/>
    <m:brkBinSub m:val="--"/>
    <m:smallFrac m:val="0"/>
    <m:dispDef/>
    <m:lMargin m:val="0"/>
    <m:rMargin m:val="0"/>
    <m:defJc m:val="centerGroup"/>
    <m:wrapIndent m:val="1440"/>
    <m:intLim m:val="subSup"/>
    <m:naryLim m:val="undOvr"/>
  </m:mathPr>
  <w:attachedSchema w:val="http://schema.highwire.org/NLM/Journal"/>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530"/>
    <w:rPr>
      <w:rFonts w:asciiTheme="minorHAnsi" w:eastAsiaTheme="minorHAnsi" w:hAnsiTheme="minorHAnsi" w:cstheme="minorBidi"/>
      <w:sz w:val="22"/>
      <w:szCs w:val="22"/>
      <w:lang w:eastAsia="en-US"/>
    </w:rPr>
  </w:style>
  <w:style w:type="paragraph" w:styleId="Heading1">
    <w:name w:val="heading 1"/>
    <w:basedOn w:val="Normal"/>
    <w:next w:val="Normal"/>
    <w:autoRedefine/>
    <w:qFormat/>
    <w:rsid w:val="00CE1FBB"/>
    <w:pPr>
      <w:keepNext/>
      <w:numPr>
        <w:numId w:val="50"/>
      </w:numPr>
      <w:spacing w:before="240"/>
      <w:outlineLvl w:val="0"/>
    </w:pPr>
    <w:rPr>
      <w:rFonts w:cstheme="minorHAnsi"/>
      <w:b/>
      <w:bCs/>
      <w:kern w:val="32"/>
      <w:szCs w:val="24"/>
    </w:rPr>
  </w:style>
  <w:style w:type="paragraph" w:styleId="Heading2">
    <w:name w:val="heading 2"/>
    <w:basedOn w:val="Normal"/>
    <w:next w:val="Normal"/>
    <w:link w:val="Heading2Char"/>
    <w:qFormat/>
    <w:rsid w:val="00515D49"/>
    <w:pPr>
      <w:keepNext/>
      <w:numPr>
        <w:ilvl w:val="1"/>
        <w:numId w:val="16"/>
      </w:numPr>
      <w:spacing w:before="240" w:after="60"/>
      <w:outlineLvl w:val="1"/>
    </w:pPr>
    <w:rPr>
      <w:rFonts w:ascii="Trebuchet MS" w:hAnsi="Trebuchet MS" w:cs="Arial"/>
      <w:b/>
      <w:bCs/>
      <w:iCs/>
      <w:szCs w:val="28"/>
    </w:rPr>
  </w:style>
  <w:style w:type="paragraph" w:styleId="Heading3">
    <w:name w:val="heading 3"/>
    <w:aliases w:val="H3"/>
    <w:basedOn w:val="Normal"/>
    <w:next w:val="Normal"/>
    <w:qFormat/>
    <w:rsid w:val="00515D49"/>
    <w:pPr>
      <w:keepNext/>
      <w:numPr>
        <w:ilvl w:val="2"/>
        <w:numId w:val="16"/>
      </w:numPr>
      <w:spacing w:before="120" w:after="60"/>
      <w:outlineLvl w:val="2"/>
    </w:pPr>
    <w:rPr>
      <w:rFonts w:ascii="Trebuchet MS" w:hAnsi="Trebuchet MS" w:cs="Arial"/>
      <w:b/>
      <w:bCs/>
      <w:szCs w:val="26"/>
    </w:rPr>
  </w:style>
  <w:style w:type="paragraph" w:styleId="Heading4">
    <w:name w:val="heading 4"/>
    <w:basedOn w:val="Normal"/>
    <w:next w:val="Normal"/>
    <w:qFormat/>
    <w:rsid w:val="00043954"/>
    <w:pPr>
      <w:keepNext/>
      <w:numPr>
        <w:ilvl w:val="3"/>
        <w:numId w:val="1"/>
      </w:numPr>
      <w:spacing w:before="60" w:after="60"/>
      <w:ind w:left="0" w:firstLine="0"/>
      <w:outlineLvl w:val="3"/>
    </w:pPr>
    <w:rPr>
      <w:rFonts w:ascii="Trebuchet MS" w:hAnsi="Trebuchet MS"/>
      <w:b/>
      <w:bCs/>
      <w:szCs w:val="28"/>
    </w:rPr>
  </w:style>
  <w:style w:type="paragraph" w:styleId="Heading5">
    <w:name w:val="heading 5"/>
    <w:basedOn w:val="Normal"/>
    <w:next w:val="Normal"/>
    <w:qFormat/>
    <w:rsid w:val="00043954"/>
    <w:pPr>
      <w:numPr>
        <w:ilvl w:val="4"/>
        <w:numId w:val="1"/>
      </w:numPr>
      <w:spacing w:before="240" w:after="60"/>
      <w:outlineLvl w:val="4"/>
    </w:pPr>
    <w:rPr>
      <w:rFonts w:ascii="Trebuchet MS" w:hAnsi="Trebuchet MS"/>
      <w:b/>
      <w:bCs/>
      <w:iCs/>
      <w:szCs w:val="26"/>
    </w:rPr>
  </w:style>
  <w:style w:type="paragraph" w:styleId="Heading6">
    <w:name w:val="heading 6"/>
    <w:basedOn w:val="Normal"/>
    <w:next w:val="Normal"/>
    <w:autoRedefine/>
    <w:qFormat/>
    <w:rsid w:val="006C087C"/>
    <w:pPr>
      <w:numPr>
        <w:numId w:val="25"/>
      </w:numPr>
      <w:spacing w:before="240" w:after="60"/>
      <w:outlineLvl w:val="5"/>
    </w:pPr>
    <w:rPr>
      <w:b/>
      <w:bCs/>
    </w:rPr>
  </w:style>
  <w:style w:type="paragraph" w:styleId="Heading7">
    <w:name w:val="heading 7"/>
    <w:basedOn w:val="Normal"/>
    <w:next w:val="Normal"/>
    <w:qFormat/>
    <w:rsid w:val="00D0297F"/>
    <w:pPr>
      <w:numPr>
        <w:numId w:val="15"/>
      </w:numPr>
      <w:spacing w:before="240" w:after="60"/>
      <w:outlineLvl w:val="6"/>
    </w:pPr>
    <w:rPr>
      <w:rFonts w:ascii="Trebuchet MS" w:hAnsi="Trebuchet MS"/>
      <w:b/>
    </w:rPr>
  </w:style>
  <w:style w:type="paragraph" w:styleId="Heading8">
    <w:name w:val="heading 8"/>
    <w:basedOn w:val="Normal"/>
    <w:next w:val="Normal"/>
    <w:link w:val="Heading8Char"/>
    <w:qFormat/>
    <w:rsid w:val="00D0297F"/>
    <w:pPr>
      <w:numPr>
        <w:numId w:val="14"/>
      </w:numPr>
      <w:tabs>
        <w:tab w:val="clear" w:pos="1211"/>
        <w:tab w:val="num" w:pos="360"/>
      </w:tabs>
      <w:spacing w:before="240" w:after="60"/>
      <w:ind w:left="360"/>
      <w:outlineLvl w:val="7"/>
    </w:pPr>
    <w:rPr>
      <w:rFonts w:ascii="Trebuchet MS" w:hAnsi="Trebuchet MS"/>
      <w:b/>
      <w:iCs/>
    </w:rPr>
  </w:style>
  <w:style w:type="paragraph" w:styleId="Heading9">
    <w:name w:val="heading 9"/>
    <w:basedOn w:val="Normal"/>
    <w:next w:val="Normal"/>
    <w:qFormat/>
    <w:rsid w:val="00D0297F"/>
    <w:pPr>
      <w:numPr>
        <w:numId w:val="1"/>
      </w:numPr>
      <w:spacing w:before="240" w:after="60"/>
      <w:outlineLvl w:val="8"/>
    </w:pPr>
    <w:rPr>
      <w:rFonts w:ascii="Trebuchet MS" w:hAnsi="Trebuchet MS" w:cs="Arial"/>
      <w:b/>
    </w:rPr>
  </w:style>
  <w:style w:type="character" w:default="1" w:styleId="DefaultParagraphFont">
    <w:name w:val="Default Paragraph Font"/>
    <w:uiPriority w:val="1"/>
    <w:semiHidden/>
    <w:unhideWhenUsed/>
    <w:rsid w:val="00FD553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5530"/>
  </w:style>
  <w:style w:type="paragraph" w:styleId="Header">
    <w:name w:val="header"/>
    <w:basedOn w:val="Normal"/>
    <w:rsid w:val="006E3235"/>
    <w:pPr>
      <w:tabs>
        <w:tab w:val="center" w:pos="4153"/>
        <w:tab w:val="right" w:pos="8306"/>
      </w:tabs>
    </w:pPr>
    <w:rPr>
      <w:rFonts w:ascii="Lucida Sans Unicode" w:hAnsi="Lucida Sans Unicode"/>
      <w:sz w:val="18"/>
    </w:rPr>
  </w:style>
  <w:style w:type="paragraph" w:styleId="Footer">
    <w:name w:val="footer"/>
    <w:basedOn w:val="Normal"/>
    <w:rsid w:val="006E3235"/>
    <w:pPr>
      <w:tabs>
        <w:tab w:val="center" w:pos="4153"/>
        <w:tab w:val="right" w:pos="8306"/>
      </w:tabs>
    </w:pPr>
    <w:rPr>
      <w:rFonts w:ascii="Lucida Sans Unicode" w:hAnsi="Lucida Sans Unicode"/>
      <w:sz w:val="18"/>
    </w:rPr>
  </w:style>
  <w:style w:type="character" w:styleId="Hyperlink">
    <w:name w:val="Hyperlink"/>
    <w:basedOn w:val="DefaultParagraphFont"/>
    <w:uiPriority w:val="99"/>
    <w:rsid w:val="00814BF3"/>
    <w:rPr>
      <w:color w:val="0000FF"/>
      <w:u w:val="single"/>
    </w:rPr>
  </w:style>
  <w:style w:type="table" w:styleId="TableList6">
    <w:name w:val="Table List 6"/>
    <w:basedOn w:val="TableNormal"/>
    <w:semiHidden/>
    <w:rsid w:val="00D900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900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900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900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900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900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900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900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900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90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900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900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900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7B1F8A"/>
    <w:pPr>
      <w:numPr>
        <w:numId w:val="2"/>
      </w:numPr>
    </w:pPr>
  </w:style>
  <w:style w:type="numbering" w:styleId="1ai">
    <w:name w:val="Outline List 1"/>
    <w:basedOn w:val="NoList"/>
    <w:semiHidden/>
    <w:rsid w:val="007B1F8A"/>
    <w:pPr>
      <w:numPr>
        <w:numId w:val="3"/>
      </w:numPr>
    </w:pPr>
  </w:style>
  <w:style w:type="numbering" w:styleId="ArticleSection">
    <w:name w:val="Outline List 3"/>
    <w:basedOn w:val="NoList"/>
    <w:semiHidden/>
    <w:rsid w:val="007B1F8A"/>
    <w:pPr>
      <w:numPr>
        <w:numId w:val="4"/>
      </w:numPr>
    </w:pPr>
  </w:style>
  <w:style w:type="paragraph" w:styleId="BlockText">
    <w:name w:val="Block Text"/>
    <w:basedOn w:val="Normal"/>
    <w:semiHidden/>
    <w:rsid w:val="007B1F8A"/>
    <w:pPr>
      <w:ind w:left="1440" w:right="1440"/>
    </w:pPr>
  </w:style>
  <w:style w:type="paragraph" w:styleId="BodyText2">
    <w:name w:val="Body Text 2"/>
    <w:basedOn w:val="Normal"/>
    <w:semiHidden/>
    <w:rsid w:val="007B1F8A"/>
    <w:pPr>
      <w:spacing w:line="480" w:lineRule="auto"/>
    </w:pPr>
  </w:style>
  <w:style w:type="paragraph" w:styleId="BodyText3">
    <w:name w:val="Body Text 3"/>
    <w:basedOn w:val="Normal"/>
    <w:semiHidden/>
    <w:rsid w:val="007B1F8A"/>
    <w:rPr>
      <w:sz w:val="16"/>
      <w:szCs w:val="16"/>
    </w:rPr>
  </w:style>
  <w:style w:type="paragraph" w:styleId="BodyText">
    <w:name w:val="Body Text"/>
    <w:basedOn w:val="Normal"/>
    <w:rsid w:val="008964E7"/>
  </w:style>
  <w:style w:type="paragraph" w:styleId="BodyTextFirstIndent">
    <w:name w:val="Body Text First Indent"/>
    <w:basedOn w:val="BodyText"/>
    <w:semiHidden/>
    <w:rsid w:val="007B1F8A"/>
    <w:pPr>
      <w:ind w:firstLine="210"/>
    </w:pPr>
  </w:style>
  <w:style w:type="paragraph" w:styleId="BodyTextIndent">
    <w:name w:val="Body Text Indent"/>
    <w:basedOn w:val="Normal"/>
    <w:semiHidden/>
    <w:rsid w:val="007B1F8A"/>
    <w:pPr>
      <w:ind w:left="283"/>
    </w:pPr>
  </w:style>
  <w:style w:type="paragraph" w:styleId="BodyTextFirstIndent2">
    <w:name w:val="Body Text First Indent 2"/>
    <w:basedOn w:val="BodyTextIndent"/>
    <w:semiHidden/>
    <w:rsid w:val="007B1F8A"/>
    <w:pPr>
      <w:ind w:firstLine="210"/>
    </w:pPr>
  </w:style>
  <w:style w:type="paragraph" w:styleId="BodyTextIndent2">
    <w:name w:val="Body Text Indent 2"/>
    <w:basedOn w:val="Normal"/>
    <w:semiHidden/>
    <w:rsid w:val="007B1F8A"/>
    <w:pPr>
      <w:spacing w:line="480" w:lineRule="auto"/>
      <w:ind w:left="283"/>
    </w:pPr>
  </w:style>
  <w:style w:type="paragraph" w:styleId="BodyTextIndent3">
    <w:name w:val="Body Text Indent 3"/>
    <w:basedOn w:val="Normal"/>
    <w:semiHidden/>
    <w:rsid w:val="007B1F8A"/>
    <w:pPr>
      <w:ind w:left="283"/>
    </w:pPr>
    <w:rPr>
      <w:sz w:val="16"/>
      <w:szCs w:val="16"/>
    </w:rPr>
  </w:style>
  <w:style w:type="paragraph" w:styleId="Closing">
    <w:name w:val="Closing"/>
    <w:basedOn w:val="Normal"/>
    <w:semiHidden/>
    <w:rsid w:val="007B1F8A"/>
    <w:pPr>
      <w:ind w:left="4252"/>
    </w:pPr>
  </w:style>
  <w:style w:type="paragraph" w:styleId="Date">
    <w:name w:val="Date"/>
    <w:basedOn w:val="Normal"/>
    <w:next w:val="Normal"/>
    <w:semiHidden/>
    <w:rsid w:val="007B1F8A"/>
  </w:style>
  <w:style w:type="paragraph" w:styleId="E-mailSignature">
    <w:name w:val="E-mail Signature"/>
    <w:basedOn w:val="Normal"/>
    <w:semiHidden/>
    <w:rsid w:val="007B1F8A"/>
  </w:style>
  <w:style w:type="character" w:styleId="Emphasis">
    <w:name w:val="Emphasis"/>
    <w:basedOn w:val="DefaultParagraphFont"/>
    <w:qFormat/>
    <w:rsid w:val="007B1F8A"/>
    <w:rPr>
      <w:i/>
      <w:iCs/>
    </w:rPr>
  </w:style>
  <w:style w:type="paragraph" w:styleId="EndnoteText">
    <w:name w:val="endnote text"/>
    <w:aliases w:val="Endnote Text Char1,Endnote Text Char Char,Endnote Text Char Char Char Char,Endnote Text Char Char Char Char Char Char Char,Endnote Text Char1 Char Char,Endnote Text Char Char Char1 Char,Endnote Text Char Char Char Char1 Char Char"/>
    <w:basedOn w:val="Normal"/>
    <w:link w:val="EndnoteTextChar"/>
    <w:rsid w:val="007B1F8A"/>
    <w:rPr>
      <w:szCs w:val="20"/>
    </w:rPr>
  </w:style>
  <w:style w:type="paragraph" w:styleId="EnvelopeAddress">
    <w:name w:val="envelope address"/>
    <w:basedOn w:val="Normal"/>
    <w:semiHidden/>
    <w:rsid w:val="007B1F8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B1F8A"/>
    <w:rPr>
      <w:rFonts w:ascii="Arial" w:hAnsi="Arial" w:cs="Arial"/>
      <w:szCs w:val="20"/>
    </w:rPr>
  </w:style>
  <w:style w:type="character" w:styleId="FollowedHyperlink">
    <w:name w:val="FollowedHyperlink"/>
    <w:basedOn w:val="DefaultParagraphFont"/>
    <w:semiHidden/>
    <w:rsid w:val="007B1F8A"/>
    <w:rPr>
      <w:color w:val="800080"/>
      <w:u w:val="single"/>
    </w:rPr>
  </w:style>
  <w:style w:type="character" w:styleId="HTMLAcronym">
    <w:name w:val="HTML Acronym"/>
    <w:basedOn w:val="DefaultParagraphFont"/>
    <w:semiHidden/>
    <w:rsid w:val="007B1F8A"/>
  </w:style>
  <w:style w:type="paragraph" w:styleId="HTMLAddress">
    <w:name w:val="HTML Address"/>
    <w:basedOn w:val="Normal"/>
    <w:semiHidden/>
    <w:rsid w:val="007B1F8A"/>
    <w:rPr>
      <w:i/>
      <w:iCs/>
    </w:rPr>
  </w:style>
  <w:style w:type="character" w:styleId="HTMLCite">
    <w:name w:val="HTML Cite"/>
    <w:basedOn w:val="DefaultParagraphFont"/>
    <w:semiHidden/>
    <w:rsid w:val="007B1F8A"/>
    <w:rPr>
      <w:i/>
      <w:iCs/>
    </w:rPr>
  </w:style>
  <w:style w:type="character" w:styleId="HTMLCode">
    <w:name w:val="HTML Code"/>
    <w:basedOn w:val="DefaultParagraphFont"/>
    <w:semiHidden/>
    <w:rsid w:val="007B1F8A"/>
    <w:rPr>
      <w:rFonts w:ascii="Courier New" w:hAnsi="Courier New" w:cs="Courier New"/>
      <w:sz w:val="20"/>
      <w:szCs w:val="20"/>
    </w:rPr>
  </w:style>
  <w:style w:type="character" w:styleId="HTMLDefinition">
    <w:name w:val="HTML Definition"/>
    <w:basedOn w:val="DefaultParagraphFont"/>
    <w:semiHidden/>
    <w:rsid w:val="007B1F8A"/>
    <w:rPr>
      <w:i/>
      <w:iCs/>
    </w:rPr>
  </w:style>
  <w:style w:type="character" w:styleId="HTMLKeyboard">
    <w:name w:val="HTML Keyboard"/>
    <w:basedOn w:val="DefaultParagraphFont"/>
    <w:semiHidden/>
    <w:rsid w:val="007B1F8A"/>
    <w:rPr>
      <w:rFonts w:ascii="Courier New" w:hAnsi="Courier New" w:cs="Courier New"/>
      <w:sz w:val="20"/>
      <w:szCs w:val="20"/>
    </w:rPr>
  </w:style>
  <w:style w:type="paragraph" w:styleId="HTMLPreformatted">
    <w:name w:val="HTML Preformatted"/>
    <w:basedOn w:val="Normal"/>
    <w:semiHidden/>
    <w:rsid w:val="007B1F8A"/>
    <w:rPr>
      <w:rFonts w:ascii="Courier New" w:hAnsi="Courier New" w:cs="Courier New"/>
      <w:szCs w:val="20"/>
    </w:rPr>
  </w:style>
  <w:style w:type="character" w:styleId="HTMLSample">
    <w:name w:val="HTML Sample"/>
    <w:basedOn w:val="DefaultParagraphFont"/>
    <w:semiHidden/>
    <w:rsid w:val="007B1F8A"/>
    <w:rPr>
      <w:rFonts w:ascii="Courier New" w:hAnsi="Courier New" w:cs="Courier New"/>
    </w:rPr>
  </w:style>
  <w:style w:type="character" w:styleId="HTMLTypewriter">
    <w:name w:val="HTML Typewriter"/>
    <w:basedOn w:val="DefaultParagraphFont"/>
    <w:semiHidden/>
    <w:rsid w:val="007B1F8A"/>
    <w:rPr>
      <w:rFonts w:ascii="Courier New" w:hAnsi="Courier New" w:cs="Courier New"/>
      <w:sz w:val="20"/>
      <w:szCs w:val="20"/>
    </w:rPr>
  </w:style>
  <w:style w:type="character" w:styleId="HTMLVariable">
    <w:name w:val="HTML Variable"/>
    <w:basedOn w:val="DefaultParagraphFont"/>
    <w:semiHidden/>
    <w:rsid w:val="007B1F8A"/>
    <w:rPr>
      <w:i/>
      <w:iCs/>
    </w:rPr>
  </w:style>
  <w:style w:type="character" w:styleId="LineNumber">
    <w:name w:val="line number"/>
    <w:basedOn w:val="DefaultParagraphFont"/>
    <w:semiHidden/>
    <w:rsid w:val="007B1F8A"/>
  </w:style>
  <w:style w:type="paragraph" w:styleId="List">
    <w:name w:val="List"/>
    <w:basedOn w:val="Normal"/>
    <w:semiHidden/>
    <w:rsid w:val="007B1F8A"/>
    <w:pPr>
      <w:ind w:left="283" w:hanging="283"/>
    </w:pPr>
  </w:style>
  <w:style w:type="paragraph" w:styleId="List2">
    <w:name w:val="List 2"/>
    <w:basedOn w:val="Normal"/>
    <w:semiHidden/>
    <w:rsid w:val="007B1F8A"/>
    <w:pPr>
      <w:ind w:left="566" w:hanging="283"/>
    </w:pPr>
  </w:style>
  <w:style w:type="paragraph" w:styleId="List3">
    <w:name w:val="List 3"/>
    <w:basedOn w:val="Normal"/>
    <w:semiHidden/>
    <w:rsid w:val="007B1F8A"/>
    <w:pPr>
      <w:ind w:left="849" w:hanging="283"/>
    </w:pPr>
  </w:style>
  <w:style w:type="paragraph" w:styleId="List4">
    <w:name w:val="List 4"/>
    <w:basedOn w:val="Normal"/>
    <w:semiHidden/>
    <w:rsid w:val="007B1F8A"/>
    <w:pPr>
      <w:ind w:left="1132" w:hanging="283"/>
    </w:pPr>
  </w:style>
  <w:style w:type="paragraph" w:styleId="List5">
    <w:name w:val="List 5"/>
    <w:basedOn w:val="Normal"/>
    <w:semiHidden/>
    <w:rsid w:val="007B1F8A"/>
    <w:pPr>
      <w:ind w:left="1415" w:hanging="283"/>
    </w:pPr>
  </w:style>
  <w:style w:type="paragraph" w:styleId="ListBullet2">
    <w:name w:val="List Bullet 2"/>
    <w:basedOn w:val="Normal"/>
    <w:autoRedefine/>
    <w:semiHidden/>
    <w:rsid w:val="007B1F8A"/>
    <w:pPr>
      <w:numPr>
        <w:numId w:val="5"/>
      </w:numPr>
    </w:pPr>
  </w:style>
  <w:style w:type="paragraph" w:styleId="ListBullet3">
    <w:name w:val="List Bullet 3"/>
    <w:basedOn w:val="Normal"/>
    <w:autoRedefine/>
    <w:semiHidden/>
    <w:rsid w:val="007B1F8A"/>
    <w:pPr>
      <w:numPr>
        <w:numId w:val="6"/>
      </w:numPr>
    </w:pPr>
  </w:style>
  <w:style w:type="paragraph" w:styleId="ListBullet4">
    <w:name w:val="List Bullet 4"/>
    <w:basedOn w:val="Normal"/>
    <w:autoRedefine/>
    <w:semiHidden/>
    <w:rsid w:val="007B1F8A"/>
    <w:pPr>
      <w:numPr>
        <w:numId w:val="7"/>
      </w:numPr>
    </w:pPr>
  </w:style>
  <w:style w:type="paragraph" w:styleId="ListBullet5">
    <w:name w:val="List Bullet 5"/>
    <w:basedOn w:val="Normal"/>
    <w:autoRedefine/>
    <w:semiHidden/>
    <w:rsid w:val="007B1F8A"/>
    <w:pPr>
      <w:numPr>
        <w:numId w:val="8"/>
      </w:numPr>
    </w:pPr>
  </w:style>
  <w:style w:type="paragraph" w:styleId="ListContinue">
    <w:name w:val="List Continue"/>
    <w:basedOn w:val="Normal"/>
    <w:semiHidden/>
    <w:rsid w:val="007B1F8A"/>
    <w:pPr>
      <w:ind w:left="283"/>
    </w:pPr>
  </w:style>
  <w:style w:type="paragraph" w:styleId="ListContinue2">
    <w:name w:val="List Continue 2"/>
    <w:basedOn w:val="Normal"/>
    <w:semiHidden/>
    <w:rsid w:val="007B1F8A"/>
    <w:pPr>
      <w:ind w:left="566"/>
    </w:pPr>
  </w:style>
  <w:style w:type="paragraph" w:styleId="ListContinue3">
    <w:name w:val="List Continue 3"/>
    <w:basedOn w:val="Normal"/>
    <w:semiHidden/>
    <w:rsid w:val="007B1F8A"/>
    <w:pPr>
      <w:ind w:left="849"/>
    </w:pPr>
  </w:style>
  <w:style w:type="paragraph" w:styleId="ListContinue4">
    <w:name w:val="List Continue 4"/>
    <w:basedOn w:val="Normal"/>
    <w:semiHidden/>
    <w:rsid w:val="007B1F8A"/>
    <w:pPr>
      <w:ind w:left="1132"/>
    </w:pPr>
  </w:style>
  <w:style w:type="paragraph" w:styleId="ListContinue5">
    <w:name w:val="List Continue 5"/>
    <w:basedOn w:val="Normal"/>
    <w:semiHidden/>
    <w:rsid w:val="007B1F8A"/>
    <w:pPr>
      <w:ind w:left="1415"/>
    </w:pPr>
  </w:style>
  <w:style w:type="paragraph" w:styleId="ListNumber">
    <w:name w:val="List Number"/>
    <w:basedOn w:val="Normal"/>
    <w:semiHidden/>
    <w:rsid w:val="007B1F8A"/>
    <w:pPr>
      <w:numPr>
        <w:numId w:val="9"/>
      </w:numPr>
    </w:pPr>
  </w:style>
  <w:style w:type="paragraph" w:styleId="ListNumber2">
    <w:name w:val="List Number 2"/>
    <w:basedOn w:val="Normal"/>
    <w:semiHidden/>
    <w:rsid w:val="007B1F8A"/>
    <w:pPr>
      <w:numPr>
        <w:numId w:val="10"/>
      </w:numPr>
    </w:pPr>
  </w:style>
  <w:style w:type="paragraph" w:styleId="ListNumber3">
    <w:name w:val="List Number 3"/>
    <w:basedOn w:val="Normal"/>
    <w:semiHidden/>
    <w:rsid w:val="007B1F8A"/>
    <w:pPr>
      <w:numPr>
        <w:numId w:val="11"/>
      </w:numPr>
    </w:pPr>
  </w:style>
  <w:style w:type="paragraph" w:styleId="ListNumber4">
    <w:name w:val="List Number 4"/>
    <w:basedOn w:val="Normal"/>
    <w:semiHidden/>
    <w:rsid w:val="007B1F8A"/>
    <w:pPr>
      <w:numPr>
        <w:numId w:val="12"/>
      </w:numPr>
    </w:pPr>
  </w:style>
  <w:style w:type="paragraph" w:styleId="ListNumber5">
    <w:name w:val="List Number 5"/>
    <w:basedOn w:val="Normal"/>
    <w:semiHidden/>
    <w:rsid w:val="007B1F8A"/>
    <w:pPr>
      <w:numPr>
        <w:numId w:val="13"/>
      </w:numPr>
    </w:pPr>
  </w:style>
  <w:style w:type="paragraph" w:styleId="MessageHeader">
    <w:name w:val="Message Header"/>
    <w:basedOn w:val="Normal"/>
    <w:semiHidden/>
    <w:rsid w:val="007B1F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7B1F8A"/>
  </w:style>
  <w:style w:type="paragraph" w:styleId="NormalIndent">
    <w:name w:val="Normal Indent"/>
    <w:basedOn w:val="Normal"/>
    <w:semiHidden/>
    <w:rsid w:val="007B1F8A"/>
    <w:pPr>
      <w:ind w:left="720"/>
    </w:pPr>
  </w:style>
  <w:style w:type="paragraph" w:styleId="NoteHeading">
    <w:name w:val="Note Heading"/>
    <w:basedOn w:val="Normal"/>
    <w:next w:val="Normal"/>
    <w:semiHidden/>
    <w:rsid w:val="007B1F8A"/>
  </w:style>
  <w:style w:type="character" w:styleId="PageNumber">
    <w:name w:val="page number"/>
    <w:basedOn w:val="DefaultParagraphFont"/>
    <w:semiHidden/>
    <w:rsid w:val="007B1F8A"/>
  </w:style>
  <w:style w:type="paragraph" w:styleId="PlainText">
    <w:name w:val="Plain Text"/>
    <w:basedOn w:val="Normal"/>
    <w:semiHidden/>
    <w:rsid w:val="007B1F8A"/>
    <w:rPr>
      <w:rFonts w:ascii="Courier New" w:hAnsi="Courier New" w:cs="Courier New"/>
      <w:szCs w:val="20"/>
    </w:rPr>
  </w:style>
  <w:style w:type="paragraph" w:styleId="Salutation">
    <w:name w:val="Salutation"/>
    <w:basedOn w:val="Normal"/>
    <w:next w:val="Normal"/>
    <w:semiHidden/>
    <w:rsid w:val="007B1F8A"/>
  </w:style>
  <w:style w:type="paragraph" w:styleId="Signature">
    <w:name w:val="Signature"/>
    <w:basedOn w:val="Normal"/>
    <w:semiHidden/>
    <w:rsid w:val="007B1F8A"/>
    <w:pPr>
      <w:ind w:left="4252"/>
    </w:pPr>
  </w:style>
  <w:style w:type="character" w:styleId="Strong">
    <w:name w:val="Strong"/>
    <w:basedOn w:val="DefaultParagraphFont"/>
    <w:qFormat/>
    <w:rsid w:val="007B1F8A"/>
    <w:rPr>
      <w:b/>
      <w:bCs/>
    </w:rPr>
  </w:style>
  <w:style w:type="paragraph" w:styleId="Subtitle">
    <w:name w:val="Subtitle"/>
    <w:basedOn w:val="Normal"/>
    <w:link w:val="SubtitleChar"/>
    <w:uiPriority w:val="11"/>
    <w:qFormat/>
    <w:rsid w:val="00515D49"/>
    <w:pPr>
      <w:spacing w:after="60"/>
      <w:jc w:val="center"/>
      <w:outlineLvl w:val="1"/>
    </w:pPr>
    <w:rPr>
      <w:rFonts w:ascii="Lucida Sans Unicode" w:hAnsi="Lucida Sans Unicode" w:cs="Arial"/>
      <w:b/>
      <w:color w:val="FF0000"/>
    </w:rPr>
  </w:style>
  <w:style w:type="table" w:styleId="Table3Deffects1">
    <w:name w:val="Table 3D effects 1"/>
    <w:basedOn w:val="TableNormal"/>
    <w:semiHidden/>
    <w:rsid w:val="007B1F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1F8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1F8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1F8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1F8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1F8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7B1F8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1F8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7B1F8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1F8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1F8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1F8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1F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1F8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1F8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1F8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1F8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1F8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1F8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1F8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1F8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1F8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1F8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1F8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1F8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1F8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1F8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7B1F8A"/>
    <w:pPr>
      <w:spacing w:before="120"/>
    </w:pPr>
    <w:rPr>
      <w:b/>
      <w:bCs/>
      <w:caps/>
      <w:szCs w:val="20"/>
    </w:rPr>
  </w:style>
  <w:style w:type="paragraph" w:styleId="Title">
    <w:name w:val="Title"/>
    <w:basedOn w:val="Normal"/>
    <w:qFormat/>
    <w:rsid w:val="007B1F8A"/>
    <w:pPr>
      <w:spacing w:before="240" w:after="60"/>
      <w:jc w:val="center"/>
      <w:outlineLvl w:val="0"/>
    </w:pPr>
    <w:rPr>
      <w:rFonts w:ascii="Lucida Sans Unicode" w:hAnsi="Lucida Sans Unicode" w:cs="Arial"/>
      <w:b/>
      <w:bCs/>
      <w:color w:val="FF0000"/>
      <w:kern w:val="28"/>
      <w:sz w:val="36"/>
      <w:szCs w:val="32"/>
    </w:rPr>
  </w:style>
  <w:style w:type="paragraph" w:styleId="TOC2">
    <w:name w:val="toc 2"/>
    <w:basedOn w:val="Normal"/>
    <w:next w:val="Normal"/>
    <w:autoRedefine/>
    <w:uiPriority w:val="39"/>
    <w:rsid w:val="007B1F8A"/>
    <w:pPr>
      <w:ind w:left="220"/>
    </w:pPr>
    <w:rPr>
      <w:smallCaps/>
      <w:szCs w:val="20"/>
    </w:rPr>
  </w:style>
  <w:style w:type="paragraph" w:styleId="TOC3">
    <w:name w:val="toc 3"/>
    <w:basedOn w:val="Normal"/>
    <w:next w:val="Normal"/>
    <w:autoRedefine/>
    <w:uiPriority w:val="39"/>
    <w:rsid w:val="007B1F8A"/>
    <w:pPr>
      <w:ind w:left="440"/>
    </w:pPr>
    <w:rPr>
      <w:i/>
      <w:iCs/>
      <w:szCs w:val="20"/>
    </w:rPr>
  </w:style>
  <w:style w:type="paragraph" w:styleId="TOC4">
    <w:name w:val="toc 4"/>
    <w:basedOn w:val="Normal"/>
    <w:next w:val="Normal"/>
    <w:autoRedefine/>
    <w:semiHidden/>
    <w:rsid w:val="007B1F8A"/>
    <w:pPr>
      <w:ind w:left="660"/>
    </w:pPr>
    <w:rPr>
      <w:sz w:val="18"/>
      <w:szCs w:val="18"/>
    </w:rPr>
  </w:style>
  <w:style w:type="paragraph" w:styleId="TOC5">
    <w:name w:val="toc 5"/>
    <w:basedOn w:val="Normal"/>
    <w:next w:val="Normal"/>
    <w:autoRedefine/>
    <w:semiHidden/>
    <w:rsid w:val="007B1F8A"/>
    <w:pPr>
      <w:ind w:left="880"/>
    </w:pPr>
    <w:rPr>
      <w:sz w:val="18"/>
      <w:szCs w:val="18"/>
    </w:rPr>
  </w:style>
  <w:style w:type="paragraph" w:styleId="TOC6">
    <w:name w:val="toc 6"/>
    <w:basedOn w:val="Normal"/>
    <w:next w:val="Normal"/>
    <w:autoRedefine/>
    <w:semiHidden/>
    <w:rsid w:val="007B1F8A"/>
    <w:pPr>
      <w:ind w:left="1100"/>
    </w:pPr>
    <w:rPr>
      <w:sz w:val="18"/>
      <w:szCs w:val="18"/>
    </w:rPr>
  </w:style>
  <w:style w:type="paragraph" w:styleId="TOC7">
    <w:name w:val="toc 7"/>
    <w:basedOn w:val="Normal"/>
    <w:next w:val="Normal"/>
    <w:autoRedefine/>
    <w:semiHidden/>
    <w:rsid w:val="007B1F8A"/>
    <w:pPr>
      <w:ind w:left="1320"/>
    </w:pPr>
    <w:rPr>
      <w:sz w:val="18"/>
      <w:szCs w:val="18"/>
    </w:rPr>
  </w:style>
  <w:style w:type="paragraph" w:styleId="TOC8">
    <w:name w:val="toc 8"/>
    <w:basedOn w:val="Normal"/>
    <w:next w:val="Normal"/>
    <w:autoRedefine/>
    <w:semiHidden/>
    <w:rsid w:val="007B1F8A"/>
    <w:pPr>
      <w:ind w:left="1540"/>
    </w:pPr>
    <w:rPr>
      <w:sz w:val="18"/>
      <w:szCs w:val="18"/>
    </w:rPr>
  </w:style>
  <w:style w:type="paragraph" w:styleId="TOC9">
    <w:name w:val="toc 9"/>
    <w:basedOn w:val="Normal"/>
    <w:next w:val="Normal"/>
    <w:autoRedefine/>
    <w:semiHidden/>
    <w:rsid w:val="007B1F8A"/>
    <w:pPr>
      <w:ind w:left="1760"/>
    </w:pPr>
    <w:rPr>
      <w:sz w:val="18"/>
      <w:szCs w:val="18"/>
    </w:rPr>
  </w:style>
  <w:style w:type="paragraph" w:styleId="DocumentMap">
    <w:name w:val="Document Map"/>
    <w:basedOn w:val="Normal"/>
    <w:rsid w:val="00515D49"/>
    <w:pPr>
      <w:shd w:val="clear" w:color="auto" w:fill="000080"/>
    </w:pPr>
    <w:rPr>
      <w:rFonts w:ascii="Browallia New" w:hAnsi="Browallia New" w:cs="Tahoma"/>
      <w:sz w:val="16"/>
    </w:rPr>
  </w:style>
  <w:style w:type="paragraph" w:styleId="BalloonText">
    <w:name w:val="Balloon Text"/>
    <w:basedOn w:val="Normal"/>
    <w:link w:val="BalloonTextChar"/>
    <w:uiPriority w:val="99"/>
    <w:semiHidden/>
    <w:unhideWhenUsed/>
    <w:rsid w:val="00ED0688"/>
    <w:rPr>
      <w:rFonts w:ascii="Tahoma" w:hAnsi="Tahoma" w:cs="Tahoma"/>
      <w:sz w:val="16"/>
      <w:szCs w:val="16"/>
    </w:rPr>
  </w:style>
  <w:style w:type="character" w:customStyle="1" w:styleId="BalloonTextChar">
    <w:name w:val="Balloon Text Char"/>
    <w:basedOn w:val="DefaultParagraphFont"/>
    <w:link w:val="BalloonText"/>
    <w:uiPriority w:val="99"/>
    <w:semiHidden/>
    <w:rsid w:val="00ED0688"/>
    <w:rPr>
      <w:rFonts w:ascii="Tahoma" w:hAnsi="Tahoma" w:cs="Tahoma"/>
      <w:sz w:val="16"/>
      <w:szCs w:val="16"/>
    </w:rPr>
  </w:style>
  <w:style w:type="paragraph" w:styleId="ListParagraph">
    <w:name w:val="List Paragraph"/>
    <w:basedOn w:val="Normal"/>
    <w:uiPriority w:val="34"/>
    <w:qFormat/>
    <w:rsid w:val="002F4378"/>
    <w:pPr>
      <w:ind w:left="720"/>
      <w:contextualSpacing/>
    </w:pPr>
  </w:style>
  <w:style w:type="table" w:styleId="TableGrid">
    <w:name w:val="Table Grid"/>
    <w:basedOn w:val="TableNormal"/>
    <w:uiPriority w:val="59"/>
    <w:rsid w:val="00D7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A97EF0"/>
  </w:style>
  <w:style w:type="character" w:customStyle="1" w:styleId="verdana">
    <w:name w:val="verdana"/>
    <w:basedOn w:val="DefaultParagraphFont"/>
    <w:rsid w:val="00A97EF0"/>
  </w:style>
  <w:style w:type="paragraph" w:customStyle="1" w:styleId="Default">
    <w:name w:val="Default"/>
    <w:rsid w:val="00DE46E2"/>
    <w:pPr>
      <w:autoSpaceDE w:val="0"/>
      <w:autoSpaceDN w:val="0"/>
      <w:adjustRightInd w:val="0"/>
    </w:pPr>
    <w:rPr>
      <w:color w:val="000000"/>
      <w:sz w:val="24"/>
      <w:szCs w:val="24"/>
    </w:rPr>
  </w:style>
  <w:style w:type="paragraph" w:customStyle="1" w:styleId="Pa79">
    <w:name w:val="Pa7+9"/>
    <w:basedOn w:val="Default"/>
    <w:next w:val="Default"/>
    <w:uiPriority w:val="99"/>
    <w:rsid w:val="004C3AFE"/>
    <w:pPr>
      <w:spacing w:line="191" w:lineRule="atLeast"/>
    </w:pPr>
    <w:rPr>
      <w:rFonts w:ascii="Source Sans Pro Light" w:hAnsi="Source Sans Pro Light"/>
      <w:color w:val="auto"/>
    </w:rPr>
  </w:style>
  <w:style w:type="character" w:customStyle="1" w:styleId="A73">
    <w:name w:val="A7+3"/>
    <w:uiPriority w:val="99"/>
    <w:rsid w:val="004C3AFE"/>
    <w:rPr>
      <w:rFonts w:cs="Source Sans Pro Light"/>
      <w:color w:val="000000"/>
      <w:sz w:val="11"/>
      <w:szCs w:val="11"/>
    </w:rPr>
  </w:style>
  <w:style w:type="paragraph" w:customStyle="1" w:styleId="Pa99">
    <w:name w:val="Pa9+9"/>
    <w:basedOn w:val="Default"/>
    <w:next w:val="Default"/>
    <w:uiPriority w:val="99"/>
    <w:rsid w:val="004C3AFE"/>
    <w:pPr>
      <w:spacing w:line="161" w:lineRule="atLeast"/>
    </w:pPr>
    <w:rPr>
      <w:rFonts w:ascii="Source Sans Pro" w:hAnsi="Source Sans Pro"/>
      <w:color w:val="auto"/>
    </w:rPr>
  </w:style>
  <w:style w:type="character" w:styleId="EndnoteReference">
    <w:name w:val="endnote reference"/>
    <w:unhideWhenUsed/>
    <w:rsid w:val="00C66DD3"/>
    <w:rPr>
      <w:vertAlign w:val="superscript"/>
    </w:rPr>
  </w:style>
  <w:style w:type="character" w:customStyle="1" w:styleId="EndnoteTextChar">
    <w:name w:val="Endnote Text Char"/>
    <w:aliases w:val="Endnote Text Char1 Char,Endnote Text Char Char Char,Endnote Text Char Char Char Char Char,Endnote Text Char Char Char Char Char Char Char Char,Endnote Text Char1 Char Char Char,Endnote Text Char Char Char1 Char Char"/>
    <w:basedOn w:val="DefaultParagraphFont"/>
    <w:link w:val="EndnoteText"/>
    <w:rsid w:val="00C66DD3"/>
  </w:style>
  <w:style w:type="character" w:customStyle="1" w:styleId="EndnoteTextChar2">
    <w:name w:val="Endnote Text Char2"/>
    <w:aliases w:val="Endnote Text Char Char Char Char Char Char Char Char Char Char,Endnote Text Char1 Char1"/>
    <w:basedOn w:val="DefaultParagraphFont"/>
    <w:rsid w:val="001D43D2"/>
  </w:style>
  <w:style w:type="character" w:customStyle="1" w:styleId="taglabel">
    <w:name w:val="taglabel"/>
    <w:basedOn w:val="DefaultParagraphFont"/>
    <w:rsid w:val="00FA0001"/>
  </w:style>
  <w:style w:type="character" w:customStyle="1" w:styleId="js-wrap">
    <w:name w:val="js-wrap"/>
    <w:basedOn w:val="DefaultParagraphFont"/>
    <w:rsid w:val="008A79D3"/>
  </w:style>
  <w:style w:type="character" w:customStyle="1" w:styleId="Heading8Char">
    <w:name w:val="Heading 8 Char"/>
    <w:basedOn w:val="DefaultParagraphFont"/>
    <w:link w:val="Heading8"/>
    <w:rsid w:val="002435BE"/>
    <w:rPr>
      <w:rFonts w:ascii="Trebuchet MS" w:hAnsi="Trebuchet MS"/>
      <w:b/>
      <w:iCs/>
      <w:szCs w:val="24"/>
      <w:lang w:eastAsia="en-US"/>
    </w:rPr>
  </w:style>
  <w:style w:type="paragraph" w:styleId="FootnoteText">
    <w:name w:val="footnote text"/>
    <w:basedOn w:val="Normal"/>
    <w:link w:val="FootnoteTextChar"/>
    <w:uiPriority w:val="99"/>
    <w:unhideWhenUsed/>
    <w:rsid w:val="008E2913"/>
    <w:rPr>
      <w:szCs w:val="20"/>
    </w:rPr>
  </w:style>
  <w:style w:type="character" w:customStyle="1" w:styleId="FootnoteTextChar">
    <w:name w:val="Footnote Text Char"/>
    <w:basedOn w:val="DefaultParagraphFont"/>
    <w:link w:val="FootnoteText"/>
    <w:uiPriority w:val="99"/>
    <w:rsid w:val="008E2913"/>
  </w:style>
  <w:style w:type="character" w:styleId="FootnoteReference">
    <w:name w:val="footnote reference"/>
    <w:basedOn w:val="DefaultParagraphFont"/>
    <w:uiPriority w:val="99"/>
    <w:semiHidden/>
    <w:unhideWhenUsed/>
    <w:rsid w:val="008E2913"/>
    <w:rPr>
      <w:vertAlign w:val="superscript"/>
    </w:rPr>
  </w:style>
  <w:style w:type="character" w:customStyle="1" w:styleId="time">
    <w:name w:val="time"/>
    <w:basedOn w:val="DefaultParagraphFont"/>
    <w:rsid w:val="00043059"/>
  </w:style>
  <w:style w:type="character" w:customStyle="1" w:styleId="SubtitleChar">
    <w:name w:val="Subtitle Char"/>
    <w:basedOn w:val="DefaultParagraphFont"/>
    <w:link w:val="Subtitle"/>
    <w:uiPriority w:val="11"/>
    <w:rsid w:val="00E441B8"/>
    <w:rPr>
      <w:rFonts w:ascii="Lucida Sans Unicode" w:hAnsi="Lucida Sans Unicode" w:cs="Arial"/>
      <w:b/>
      <w:color w:val="FF0000"/>
      <w:sz w:val="24"/>
      <w:szCs w:val="24"/>
    </w:rPr>
  </w:style>
  <w:style w:type="character" w:customStyle="1" w:styleId="author">
    <w:name w:val="author"/>
    <w:basedOn w:val="DefaultParagraphFont"/>
    <w:rsid w:val="002F0E0E"/>
  </w:style>
  <w:style w:type="character" w:customStyle="1" w:styleId="Date1">
    <w:name w:val="Date1"/>
    <w:basedOn w:val="DefaultParagraphFont"/>
    <w:rsid w:val="002F0E0E"/>
  </w:style>
  <w:style w:type="paragraph" w:customStyle="1" w:styleId="Pa14">
    <w:name w:val="Pa14"/>
    <w:basedOn w:val="Default"/>
    <w:next w:val="Default"/>
    <w:uiPriority w:val="99"/>
    <w:rsid w:val="00C8723D"/>
    <w:pPr>
      <w:spacing w:line="180" w:lineRule="atLeast"/>
    </w:pPr>
    <w:rPr>
      <w:rFonts w:ascii="Zurich Cn BT" w:hAnsi="Zurich Cn BT"/>
      <w:color w:val="auto"/>
    </w:rPr>
  </w:style>
  <w:style w:type="paragraph" w:customStyle="1" w:styleId="Pa15">
    <w:name w:val="Pa15"/>
    <w:basedOn w:val="Default"/>
    <w:next w:val="Default"/>
    <w:uiPriority w:val="99"/>
    <w:rsid w:val="00C8723D"/>
    <w:pPr>
      <w:spacing w:line="180" w:lineRule="atLeast"/>
    </w:pPr>
    <w:rPr>
      <w:rFonts w:ascii="Zurich Cn BT" w:hAnsi="Zurich Cn BT"/>
      <w:color w:val="auto"/>
    </w:rPr>
  </w:style>
  <w:style w:type="character" w:customStyle="1" w:styleId="Heading2Char">
    <w:name w:val="Heading 2 Char"/>
    <w:basedOn w:val="DefaultParagraphFont"/>
    <w:link w:val="Heading2"/>
    <w:rsid w:val="00EA47F5"/>
    <w:rPr>
      <w:rFonts w:ascii="Trebuchet MS" w:hAnsi="Trebuchet MS" w:cs="Arial"/>
      <w:b/>
      <w:bCs/>
      <w:iCs/>
      <w:sz w:val="22"/>
      <w:szCs w:val="28"/>
      <w:lang w:eastAsia="en-US"/>
    </w:rPr>
  </w:style>
  <w:style w:type="character" w:customStyle="1" w:styleId="updated">
    <w:name w:val="updated"/>
    <w:basedOn w:val="DefaultParagraphFont"/>
    <w:rsid w:val="005E2720"/>
  </w:style>
  <w:style w:type="character" w:customStyle="1" w:styleId="EndnoteTextChar1CharChar1">
    <w:name w:val="Endnote Text Char1 Char Char1"/>
    <w:aliases w:val="Endnote Text Char1 Char Char Char Char Char,Endnote Text Char Char Char1 Char Char Char Char1"/>
    <w:basedOn w:val="DefaultParagraphFont"/>
    <w:rsid w:val="008374DA"/>
  </w:style>
  <w:style w:type="character" w:customStyle="1" w:styleId="pubdate">
    <w:name w:val="pubdate"/>
    <w:basedOn w:val="DefaultParagraphFont"/>
    <w:rsid w:val="00D86819"/>
  </w:style>
  <w:style w:type="character" w:customStyle="1" w:styleId="separator">
    <w:name w:val="separator"/>
    <w:basedOn w:val="DefaultParagraphFont"/>
    <w:rsid w:val="00D868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530"/>
    <w:rPr>
      <w:rFonts w:asciiTheme="minorHAnsi" w:eastAsiaTheme="minorHAnsi" w:hAnsiTheme="minorHAnsi" w:cstheme="minorBidi"/>
      <w:sz w:val="22"/>
      <w:szCs w:val="22"/>
      <w:lang w:eastAsia="en-US"/>
    </w:rPr>
  </w:style>
  <w:style w:type="paragraph" w:styleId="Heading1">
    <w:name w:val="heading 1"/>
    <w:basedOn w:val="Normal"/>
    <w:next w:val="Normal"/>
    <w:autoRedefine/>
    <w:qFormat/>
    <w:rsid w:val="00CE1FBB"/>
    <w:pPr>
      <w:keepNext/>
      <w:numPr>
        <w:numId w:val="50"/>
      </w:numPr>
      <w:spacing w:before="240"/>
      <w:outlineLvl w:val="0"/>
    </w:pPr>
    <w:rPr>
      <w:rFonts w:cstheme="minorHAnsi"/>
      <w:b/>
      <w:bCs/>
      <w:kern w:val="32"/>
      <w:szCs w:val="24"/>
    </w:rPr>
  </w:style>
  <w:style w:type="paragraph" w:styleId="Heading2">
    <w:name w:val="heading 2"/>
    <w:basedOn w:val="Normal"/>
    <w:next w:val="Normal"/>
    <w:link w:val="Heading2Char"/>
    <w:qFormat/>
    <w:rsid w:val="00515D49"/>
    <w:pPr>
      <w:keepNext/>
      <w:numPr>
        <w:ilvl w:val="1"/>
        <w:numId w:val="16"/>
      </w:numPr>
      <w:spacing w:before="240" w:after="60"/>
      <w:outlineLvl w:val="1"/>
    </w:pPr>
    <w:rPr>
      <w:rFonts w:ascii="Trebuchet MS" w:hAnsi="Trebuchet MS" w:cs="Arial"/>
      <w:b/>
      <w:bCs/>
      <w:iCs/>
      <w:szCs w:val="28"/>
    </w:rPr>
  </w:style>
  <w:style w:type="paragraph" w:styleId="Heading3">
    <w:name w:val="heading 3"/>
    <w:aliases w:val="H3"/>
    <w:basedOn w:val="Normal"/>
    <w:next w:val="Normal"/>
    <w:qFormat/>
    <w:rsid w:val="00515D49"/>
    <w:pPr>
      <w:keepNext/>
      <w:numPr>
        <w:ilvl w:val="2"/>
        <w:numId w:val="16"/>
      </w:numPr>
      <w:spacing w:before="120" w:after="60"/>
      <w:outlineLvl w:val="2"/>
    </w:pPr>
    <w:rPr>
      <w:rFonts w:ascii="Trebuchet MS" w:hAnsi="Trebuchet MS" w:cs="Arial"/>
      <w:b/>
      <w:bCs/>
      <w:szCs w:val="26"/>
    </w:rPr>
  </w:style>
  <w:style w:type="paragraph" w:styleId="Heading4">
    <w:name w:val="heading 4"/>
    <w:basedOn w:val="Normal"/>
    <w:next w:val="Normal"/>
    <w:qFormat/>
    <w:rsid w:val="00043954"/>
    <w:pPr>
      <w:keepNext/>
      <w:numPr>
        <w:ilvl w:val="3"/>
        <w:numId w:val="1"/>
      </w:numPr>
      <w:spacing w:before="60" w:after="60"/>
      <w:ind w:left="0" w:firstLine="0"/>
      <w:outlineLvl w:val="3"/>
    </w:pPr>
    <w:rPr>
      <w:rFonts w:ascii="Trebuchet MS" w:hAnsi="Trebuchet MS"/>
      <w:b/>
      <w:bCs/>
      <w:szCs w:val="28"/>
    </w:rPr>
  </w:style>
  <w:style w:type="paragraph" w:styleId="Heading5">
    <w:name w:val="heading 5"/>
    <w:basedOn w:val="Normal"/>
    <w:next w:val="Normal"/>
    <w:qFormat/>
    <w:rsid w:val="00043954"/>
    <w:pPr>
      <w:numPr>
        <w:ilvl w:val="4"/>
        <w:numId w:val="1"/>
      </w:numPr>
      <w:spacing w:before="240" w:after="60"/>
      <w:outlineLvl w:val="4"/>
    </w:pPr>
    <w:rPr>
      <w:rFonts w:ascii="Trebuchet MS" w:hAnsi="Trebuchet MS"/>
      <w:b/>
      <w:bCs/>
      <w:iCs/>
      <w:szCs w:val="26"/>
    </w:rPr>
  </w:style>
  <w:style w:type="paragraph" w:styleId="Heading6">
    <w:name w:val="heading 6"/>
    <w:basedOn w:val="Normal"/>
    <w:next w:val="Normal"/>
    <w:autoRedefine/>
    <w:qFormat/>
    <w:rsid w:val="006C087C"/>
    <w:pPr>
      <w:numPr>
        <w:numId w:val="25"/>
      </w:numPr>
      <w:spacing w:before="240" w:after="60"/>
      <w:outlineLvl w:val="5"/>
    </w:pPr>
    <w:rPr>
      <w:b/>
      <w:bCs/>
    </w:rPr>
  </w:style>
  <w:style w:type="paragraph" w:styleId="Heading7">
    <w:name w:val="heading 7"/>
    <w:basedOn w:val="Normal"/>
    <w:next w:val="Normal"/>
    <w:qFormat/>
    <w:rsid w:val="00D0297F"/>
    <w:pPr>
      <w:numPr>
        <w:numId w:val="15"/>
      </w:numPr>
      <w:spacing w:before="240" w:after="60"/>
      <w:outlineLvl w:val="6"/>
    </w:pPr>
    <w:rPr>
      <w:rFonts w:ascii="Trebuchet MS" w:hAnsi="Trebuchet MS"/>
      <w:b/>
    </w:rPr>
  </w:style>
  <w:style w:type="paragraph" w:styleId="Heading8">
    <w:name w:val="heading 8"/>
    <w:basedOn w:val="Normal"/>
    <w:next w:val="Normal"/>
    <w:link w:val="Heading8Char"/>
    <w:qFormat/>
    <w:rsid w:val="00D0297F"/>
    <w:pPr>
      <w:numPr>
        <w:numId w:val="14"/>
      </w:numPr>
      <w:tabs>
        <w:tab w:val="clear" w:pos="1211"/>
        <w:tab w:val="num" w:pos="360"/>
      </w:tabs>
      <w:spacing w:before="240" w:after="60"/>
      <w:ind w:left="360"/>
      <w:outlineLvl w:val="7"/>
    </w:pPr>
    <w:rPr>
      <w:rFonts w:ascii="Trebuchet MS" w:hAnsi="Trebuchet MS"/>
      <w:b/>
      <w:iCs/>
    </w:rPr>
  </w:style>
  <w:style w:type="paragraph" w:styleId="Heading9">
    <w:name w:val="heading 9"/>
    <w:basedOn w:val="Normal"/>
    <w:next w:val="Normal"/>
    <w:qFormat/>
    <w:rsid w:val="00D0297F"/>
    <w:pPr>
      <w:numPr>
        <w:numId w:val="1"/>
      </w:numPr>
      <w:spacing w:before="240" w:after="60"/>
      <w:outlineLvl w:val="8"/>
    </w:pPr>
    <w:rPr>
      <w:rFonts w:ascii="Trebuchet MS" w:hAnsi="Trebuchet MS" w:cs="Arial"/>
      <w:b/>
    </w:rPr>
  </w:style>
  <w:style w:type="character" w:default="1" w:styleId="DefaultParagraphFont">
    <w:name w:val="Default Paragraph Font"/>
    <w:uiPriority w:val="1"/>
    <w:semiHidden/>
    <w:unhideWhenUsed/>
    <w:rsid w:val="00FD553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D5530"/>
  </w:style>
  <w:style w:type="paragraph" w:styleId="Header">
    <w:name w:val="header"/>
    <w:basedOn w:val="Normal"/>
    <w:rsid w:val="006E3235"/>
    <w:pPr>
      <w:tabs>
        <w:tab w:val="center" w:pos="4153"/>
        <w:tab w:val="right" w:pos="8306"/>
      </w:tabs>
    </w:pPr>
    <w:rPr>
      <w:rFonts w:ascii="Lucida Sans Unicode" w:hAnsi="Lucida Sans Unicode"/>
      <w:sz w:val="18"/>
    </w:rPr>
  </w:style>
  <w:style w:type="paragraph" w:styleId="Footer">
    <w:name w:val="footer"/>
    <w:basedOn w:val="Normal"/>
    <w:rsid w:val="006E3235"/>
    <w:pPr>
      <w:tabs>
        <w:tab w:val="center" w:pos="4153"/>
        <w:tab w:val="right" w:pos="8306"/>
      </w:tabs>
    </w:pPr>
    <w:rPr>
      <w:rFonts w:ascii="Lucida Sans Unicode" w:hAnsi="Lucida Sans Unicode"/>
      <w:sz w:val="18"/>
    </w:rPr>
  </w:style>
  <w:style w:type="character" w:styleId="Hyperlink">
    <w:name w:val="Hyperlink"/>
    <w:basedOn w:val="DefaultParagraphFont"/>
    <w:uiPriority w:val="99"/>
    <w:rsid w:val="00814BF3"/>
    <w:rPr>
      <w:color w:val="0000FF"/>
      <w:u w:val="single"/>
    </w:rPr>
  </w:style>
  <w:style w:type="table" w:styleId="TableList6">
    <w:name w:val="Table List 6"/>
    <w:basedOn w:val="TableNormal"/>
    <w:semiHidden/>
    <w:rsid w:val="00D900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900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900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900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900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900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900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900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900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90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900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900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900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7B1F8A"/>
    <w:pPr>
      <w:numPr>
        <w:numId w:val="2"/>
      </w:numPr>
    </w:pPr>
  </w:style>
  <w:style w:type="numbering" w:styleId="1ai">
    <w:name w:val="Outline List 1"/>
    <w:basedOn w:val="NoList"/>
    <w:semiHidden/>
    <w:rsid w:val="007B1F8A"/>
    <w:pPr>
      <w:numPr>
        <w:numId w:val="3"/>
      </w:numPr>
    </w:pPr>
  </w:style>
  <w:style w:type="numbering" w:styleId="ArticleSection">
    <w:name w:val="Outline List 3"/>
    <w:basedOn w:val="NoList"/>
    <w:semiHidden/>
    <w:rsid w:val="007B1F8A"/>
    <w:pPr>
      <w:numPr>
        <w:numId w:val="4"/>
      </w:numPr>
    </w:pPr>
  </w:style>
  <w:style w:type="paragraph" w:styleId="BlockText">
    <w:name w:val="Block Text"/>
    <w:basedOn w:val="Normal"/>
    <w:semiHidden/>
    <w:rsid w:val="007B1F8A"/>
    <w:pPr>
      <w:ind w:left="1440" w:right="1440"/>
    </w:pPr>
  </w:style>
  <w:style w:type="paragraph" w:styleId="BodyText2">
    <w:name w:val="Body Text 2"/>
    <w:basedOn w:val="Normal"/>
    <w:semiHidden/>
    <w:rsid w:val="007B1F8A"/>
    <w:pPr>
      <w:spacing w:line="480" w:lineRule="auto"/>
    </w:pPr>
  </w:style>
  <w:style w:type="paragraph" w:styleId="BodyText3">
    <w:name w:val="Body Text 3"/>
    <w:basedOn w:val="Normal"/>
    <w:semiHidden/>
    <w:rsid w:val="007B1F8A"/>
    <w:rPr>
      <w:sz w:val="16"/>
      <w:szCs w:val="16"/>
    </w:rPr>
  </w:style>
  <w:style w:type="paragraph" w:styleId="BodyText">
    <w:name w:val="Body Text"/>
    <w:basedOn w:val="Normal"/>
    <w:rsid w:val="008964E7"/>
  </w:style>
  <w:style w:type="paragraph" w:styleId="BodyTextFirstIndent">
    <w:name w:val="Body Text First Indent"/>
    <w:basedOn w:val="BodyText"/>
    <w:semiHidden/>
    <w:rsid w:val="007B1F8A"/>
    <w:pPr>
      <w:ind w:firstLine="210"/>
    </w:pPr>
  </w:style>
  <w:style w:type="paragraph" w:styleId="BodyTextIndent">
    <w:name w:val="Body Text Indent"/>
    <w:basedOn w:val="Normal"/>
    <w:semiHidden/>
    <w:rsid w:val="007B1F8A"/>
    <w:pPr>
      <w:ind w:left="283"/>
    </w:pPr>
  </w:style>
  <w:style w:type="paragraph" w:styleId="BodyTextFirstIndent2">
    <w:name w:val="Body Text First Indent 2"/>
    <w:basedOn w:val="BodyTextIndent"/>
    <w:semiHidden/>
    <w:rsid w:val="007B1F8A"/>
    <w:pPr>
      <w:ind w:firstLine="210"/>
    </w:pPr>
  </w:style>
  <w:style w:type="paragraph" w:styleId="BodyTextIndent2">
    <w:name w:val="Body Text Indent 2"/>
    <w:basedOn w:val="Normal"/>
    <w:semiHidden/>
    <w:rsid w:val="007B1F8A"/>
    <w:pPr>
      <w:spacing w:line="480" w:lineRule="auto"/>
      <w:ind w:left="283"/>
    </w:pPr>
  </w:style>
  <w:style w:type="paragraph" w:styleId="BodyTextIndent3">
    <w:name w:val="Body Text Indent 3"/>
    <w:basedOn w:val="Normal"/>
    <w:semiHidden/>
    <w:rsid w:val="007B1F8A"/>
    <w:pPr>
      <w:ind w:left="283"/>
    </w:pPr>
    <w:rPr>
      <w:sz w:val="16"/>
      <w:szCs w:val="16"/>
    </w:rPr>
  </w:style>
  <w:style w:type="paragraph" w:styleId="Closing">
    <w:name w:val="Closing"/>
    <w:basedOn w:val="Normal"/>
    <w:semiHidden/>
    <w:rsid w:val="007B1F8A"/>
    <w:pPr>
      <w:ind w:left="4252"/>
    </w:pPr>
  </w:style>
  <w:style w:type="paragraph" w:styleId="Date">
    <w:name w:val="Date"/>
    <w:basedOn w:val="Normal"/>
    <w:next w:val="Normal"/>
    <w:semiHidden/>
    <w:rsid w:val="007B1F8A"/>
  </w:style>
  <w:style w:type="paragraph" w:styleId="E-mailSignature">
    <w:name w:val="E-mail Signature"/>
    <w:basedOn w:val="Normal"/>
    <w:semiHidden/>
    <w:rsid w:val="007B1F8A"/>
  </w:style>
  <w:style w:type="character" w:styleId="Emphasis">
    <w:name w:val="Emphasis"/>
    <w:basedOn w:val="DefaultParagraphFont"/>
    <w:qFormat/>
    <w:rsid w:val="007B1F8A"/>
    <w:rPr>
      <w:i/>
      <w:iCs/>
    </w:rPr>
  </w:style>
  <w:style w:type="paragraph" w:styleId="EndnoteText">
    <w:name w:val="endnote text"/>
    <w:aliases w:val="Endnote Text Char1,Endnote Text Char Char,Endnote Text Char Char Char Char,Endnote Text Char Char Char Char Char Char Char,Endnote Text Char1 Char Char,Endnote Text Char Char Char1 Char,Endnote Text Char Char Char Char1 Char Char"/>
    <w:basedOn w:val="Normal"/>
    <w:link w:val="EndnoteTextChar"/>
    <w:rsid w:val="007B1F8A"/>
    <w:rPr>
      <w:szCs w:val="20"/>
    </w:rPr>
  </w:style>
  <w:style w:type="paragraph" w:styleId="EnvelopeAddress">
    <w:name w:val="envelope address"/>
    <w:basedOn w:val="Normal"/>
    <w:semiHidden/>
    <w:rsid w:val="007B1F8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B1F8A"/>
    <w:rPr>
      <w:rFonts w:ascii="Arial" w:hAnsi="Arial" w:cs="Arial"/>
      <w:szCs w:val="20"/>
    </w:rPr>
  </w:style>
  <w:style w:type="character" w:styleId="FollowedHyperlink">
    <w:name w:val="FollowedHyperlink"/>
    <w:basedOn w:val="DefaultParagraphFont"/>
    <w:semiHidden/>
    <w:rsid w:val="007B1F8A"/>
    <w:rPr>
      <w:color w:val="800080"/>
      <w:u w:val="single"/>
    </w:rPr>
  </w:style>
  <w:style w:type="character" w:styleId="HTMLAcronym">
    <w:name w:val="HTML Acronym"/>
    <w:basedOn w:val="DefaultParagraphFont"/>
    <w:semiHidden/>
    <w:rsid w:val="007B1F8A"/>
  </w:style>
  <w:style w:type="paragraph" w:styleId="HTMLAddress">
    <w:name w:val="HTML Address"/>
    <w:basedOn w:val="Normal"/>
    <w:semiHidden/>
    <w:rsid w:val="007B1F8A"/>
    <w:rPr>
      <w:i/>
      <w:iCs/>
    </w:rPr>
  </w:style>
  <w:style w:type="character" w:styleId="HTMLCite">
    <w:name w:val="HTML Cite"/>
    <w:basedOn w:val="DefaultParagraphFont"/>
    <w:semiHidden/>
    <w:rsid w:val="007B1F8A"/>
    <w:rPr>
      <w:i/>
      <w:iCs/>
    </w:rPr>
  </w:style>
  <w:style w:type="character" w:styleId="HTMLCode">
    <w:name w:val="HTML Code"/>
    <w:basedOn w:val="DefaultParagraphFont"/>
    <w:semiHidden/>
    <w:rsid w:val="007B1F8A"/>
    <w:rPr>
      <w:rFonts w:ascii="Courier New" w:hAnsi="Courier New" w:cs="Courier New"/>
      <w:sz w:val="20"/>
      <w:szCs w:val="20"/>
    </w:rPr>
  </w:style>
  <w:style w:type="character" w:styleId="HTMLDefinition">
    <w:name w:val="HTML Definition"/>
    <w:basedOn w:val="DefaultParagraphFont"/>
    <w:semiHidden/>
    <w:rsid w:val="007B1F8A"/>
    <w:rPr>
      <w:i/>
      <w:iCs/>
    </w:rPr>
  </w:style>
  <w:style w:type="character" w:styleId="HTMLKeyboard">
    <w:name w:val="HTML Keyboard"/>
    <w:basedOn w:val="DefaultParagraphFont"/>
    <w:semiHidden/>
    <w:rsid w:val="007B1F8A"/>
    <w:rPr>
      <w:rFonts w:ascii="Courier New" w:hAnsi="Courier New" w:cs="Courier New"/>
      <w:sz w:val="20"/>
      <w:szCs w:val="20"/>
    </w:rPr>
  </w:style>
  <w:style w:type="paragraph" w:styleId="HTMLPreformatted">
    <w:name w:val="HTML Preformatted"/>
    <w:basedOn w:val="Normal"/>
    <w:semiHidden/>
    <w:rsid w:val="007B1F8A"/>
    <w:rPr>
      <w:rFonts w:ascii="Courier New" w:hAnsi="Courier New" w:cs="Courier New"/>
      <w:szCs w:val="20"/>
    </w:rPr>
  </w:style>
  <w:style w:type="character" w:styleId="HTMLSample">
    <w:name w:val="HTML Sample"/>
    <w:basedOn w:val="DefaultParagraphFont"/>
    <w:semiHidden/>
    <w:rsid w:val="007B1F8A"/>
    <w:rPr>
      <w:rFonts w:ascii="Courier New" w:hAnsi="Courier New" w:cs="Courier New"/>
    </w:rPr>
  </w:style>
  <w:style w:type="character" w:styleId="HTMLTypewriter">
    <w:name w:val="HTML Typewriter"/>
    <w:basedOn w:val="DefaultParagraphFont"/>
    <w:semiHidden/>
    <w:rsid w:val="007B1F8A"/>
    <w:rPr>
      <w:rFonts w:ascii="Courier New" w:hAnsi="Courier New" w:cs="Courier New"/>
      <w:sz w:val="20"/>
      <w:szCs w:val="20"/>
    </w:rPr>
  </w:style>
  <w:style w:type="character" w:styleId="HTMLVariable">
    <w:name w:val="HTML Variable"/>
    <w:basedOn w:val="DefaultParagraphFont"/>
    <w:semiHidden/>
    <w:rsid w:val="007B1F8A"/>
    <w:rPr>
      <w:i/>
      <w:iCs/>
    </w:rPr>
  </w:style>
  <w:style w:type="character" w:styleId="LineNumber">
    <w:name w:val="line number"/>
    <w:basedOn w:val="DefaultParagraphFont"/>
    <w:semiHidden/>
    <w:rsid w:val="007B1F8A"/>
  </w:style>
  <w:style w:type="paragraph" w:styleId="List">
    <w:name w:val="List"/>
    <w:basedOn w:val="Normal"/>
    <w:semiHidden/>
    <w:rsid w:val="007B1F8A"/>
    <w:pPr>
      <w:ind w:left="283" w:hanging="283"/>
    </w:pPr>
  </w:style>
  <w:style w:type="paragraph" w:styleId="List2">
    <w:name w:val="List 2"/>
    <w:basedOn w:val="Normal"/>
    <w:semiHidden/>
    <w:rsid w:val="007B1F8A"/>
    <w:pPr>
      <w:ind w:left="566" w:hanging="283"/>
    </w:pPr>
  </w:style>
  <w:style w:type="paragraph" w:styleId="List3">
    <w:name w:val="List 3"/>
    <w:basedOn w:val="Normal"/>
    <w:semiHidden/>
    <w:rsid w:val="007B1F8A"/>
    <w:pPr>
      <w:ind w:left="849" w:hanging="283"/>
    </w:pPr>
  </w:style>
  <w:style w:type="paragraph" w:styleId="List4">
    <w:name w:val="List 4"/>
    <w:basedOn w:val="Normal"/>
    <w:semiHidden/>
    <w:rsid w:val="007B1F8A"/>
    <w:pPr>
      <w:ind w:left="1132" w:hanging="283"/>
    </w:pPr>
  </w:style>
  <w:style w:type="paragraph" w:styleId="List5">
    <w:name w:val="List 5"/>
    <w:basedOn w:val="Normal"/>
    <w:semiHidden/>
    <w:rsid w:val="007B1F8A"/>
    <w:pPr>
      <w:ind w:left="1415" w:hanging="283"/>
    </w:pPr>
  </w:style>
  <w:style w:type="paragraph" w:styleId="ListBullet2">
    <w:name w:val="List Bullet 2"/>
    <w:basedOn w:val="Normal"/>
    <w:autoRedefine/>
    <w:semiHidden/>
    <w:rsid w:val="007B1F8A"/>
    <w:pPr>
      <w:numPr>
        <w:numId w:val="5"/>
      </w:numPr>
    </w:pPr>
  </w:style>
  <w:style w:type="paragraph" w:styleId="ListBullet3">
    <w:name w:val="List Bullet 3"/>
    <w:basedOn w:val="Normal"/>
    <w:autoRedefine/>
    <w:semiHidden/>
    <w:rsid w:val="007B1F8A"/>
    <w:pPr>
      <w:numPr>
        <w:numId w:val="6"/>
      </w:numPr>
    </w:pPr>
  </w:style>
  <w:style w:type="paragraph" w:styleId="ListBullet4">
    <w:name w:val="List Bullet 4"/>
    <w:basedOn w:val="Normal"/>
    <w:autoRedefine/>
    <w:semiHidden/>
    <w:rsid w:val="007B1F8A"/>
    <w:pPr>
      <w:numPr>
        <w:numId w:val="7"/>
      </w:numPr>
    </w:pPr>
  </w:style>
  <w:style w:type="paragraph" w:styleId="ListBullet5">
    <w:name w:val="List Bullet 5"/>
    <w:basedOn w:val="Normal"/>
    <w:autoRedefine/>
    <w:semiHidden/>
    <w:rsid w:val="007B1F8A"/>
    <w:pPr>
      <w:numPr>
        <w:numId w:val="8"/>
      </w:numPr>
    </w:pPr>
  </w:style>
  <w:style w:type="paragraph" w:styleId="ListContinue">
    <w:name w:val="List Continue"/>
    <w:basedOn w:val="Normal"/>
    <w:semiHidden/>
    <w:rsid w:val="007B1F8A"/>
    <w:pPr>
      <w:ind w:left="283"/>
    </w:pPr>
  </w:style>
  <w:style w:type="paragraph" w:styleId="ListContinue2">
    <w:name w:val="List Continue 2"/>
    <w:basedOn w:val="Normal"/>
    <w:semiHidden/>
    <w:rsid w:val="007B1F8A"/>
    <w:pPr>
      <w:ind w:left="566"/>
    </w:pPr>
  </w:style>
  <w:style w:type="paragraph" w:styleId="ListContinue3">
    <w:name w:val="List Continue 3"/>
    <w:basedOn w:val="Normal"/>
    <w:semiHidden/>
    <w:rsid w:val="007B1F8A"/>
    <w:pPr>
      <w:ind w:left="849"/>
    </w:pPr>
  </w:style>
  <w:style w:type="paragraph" w:styleId="ListContinue4">
    <w:name w:val="List Continue 4"/>
    <w:basedOn w:val="Normal"/>
    <w:semiHidden/>
    <w:rsid w:val="007B1F8A"/>
    <w:pPr>
      <w:ind w:left="1132"/>
    </w:pPr>
  </w:style>
  <w:style w:type="paragraph" w:styleId="ListContinue5">
    <w:name w:val="List Continue 5"/>
    <w:basedOn w:val="Normal"/>
    <w:semiHidden/>
    <w:rsid w:val="007B1F8A"/>
    <w:pPr>
      <w:ind w:left="1415"/>
    </w:pPr>
  </w:style>
  <w:style w:type="paragraph" w:styleId="ListNumber">
    <w:name w:val="List Number"/>
    <w:basedOn w:val="Normal"/>
    <w:semiHidden/>
    <w:rsid w:val="007B1F8A"/>
    <w:pPr>
      <w:numPr>
        <w:numId w:val="9"/>
      </w:numPr>
    </w:pPr>
  </w:style>
  <w:style w:type="paragraph" w:styleId="ListNumber2">
    <w:name w:val="List Number 2"/>
    <w:basedOn w:val="Normal"/>
    <w:semiHidden/>
    <w:rsid w:val="007B1F8A"/>
    <w:pPr>
      <w:numPr>
        <w:numId w:val="10"/>
      </w:numPr>
    </w:pPr>
  </w:style>
  <w:style w:type="paragraph" w:styleId="ListNumber3">
    <w:name w:val="List Number 3"/>
    <w:basedOn w:val="Normal"/>
    <w:semiHidden/>
    <w:rsid w:val="007B1F8A"/>
    <w:pPr>
      <w:numPr>
        <w:numId w:val="11"/>
      </w:numPr>
    </w:pPr>
  </w:style>
  <w:style w:type="paragraph" w:styleId="ListNumber4">
    <w:name w:val="List Number 4"/>
    <w:basedOn w:val="Normal"/>
    <w:semiHidden/>
    <w:rsid w:val="007B1F8A"/>
    <w:pPr>
      <w:numPr>
        <w:numId w:val="12"/>
      </w:numPr>
    </w:pPr>
  </w:style>
  <w:style w:type="paragraph" w:styleId="ListNumber5">
    <w:name w:val="List Number 5"/>
    <w:basedOn w:val="Normal"/>
    <w:semiHidden/>
    <w:rsid w:val="007B1F8A"/>
    <w:pPr>
      <w:numPr>
        <w:numId w:val="13"/>
      </w:numPr>
    </w:pPr>
  </w:style>
  <w:style w:type="paragraph" w:styleId="MessageHeader">
    <w:name w:val="Message Header"/>
    <w:basedOn w:val="Normal"/>
    <w:semiHidden/>
    <w:rsid w:val="007B1F8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7B1F8A"/>
  </w:style>
  <w:style w:type="paragraph" w:styleId="NormalIndent">
    <w:name w:val="Normal Indent"/>
    <w:basedOn w:val="Normal"/>
    <w:semiHidden/>
    <w:rsid w:val="007B1F8A"/>
    <w:pPr>
      <w:ind w:left="720"/>
    </w:pPr>
  </w:style>
  <w:style w:type="paragraph" w:styleId="NoteHeading">
    <w:name w:val="Note Heading"/>
    <w:basedOn w:val="Normal"/>
    <w:next w:val="Normal"/>
    <w:semiHidden/>
    <w:rsid w:val="007B1F8A"/>
  </w:style>
  <w:style w:type="character" w:styleId="PageNumber">
    <w:name w:val="page number"/>
    <w:basedOn w:val="DefaultParagraphFont"/>
    <w:semiHidden/>
    <w:rsid w:val="007B1F8A"/>
  </w:style>
  <w:style w:type="paragraph" w:styleId="PlainText">
    <w:name w:val="Plain Text"/>
    <w:basedOn w:val="Normal"/>
    <w:semiHidden/>
    <w:rsid w:val="007B1F8A"/>
    <w:rPr>
      <w:rFonts w:ascii="Courier New" w:hAnsi="Courier New" w:cs="Courier New"/>
      <w:szCs w:val="20"/>
    </w:rPr>
  </w:style>
  <w:style w:type="paragraph" w:styleId="Salutation">
    <w:name w:val="Salutation"/>
    <w:basedOn w:val="Normal"/>
    <w:next w:val="Normal"/>
    <w:semiHidden/>
    <w:rsid w:val="007B1F8A"/>
  </w:style>
  <w:style w:type="paragraph" w:styleId="Signature">
    <w:name w:val="Signature"/>
    <w:basedOn w:val="Normal"/>
    <w:semiHidden/>
    <w:rsid w:val="007B1F8A"/>
    <w:pPr>
      <w:ind w:left="4252"/>
    </w:pPr>
  </w:style>
  <w:style w:type="character" w:styleId="Strong">
    <w:name w:val="Strong"/>
    <w:basedOn w:val="DefaultParagraphFont"/>
    <w:qFormat/>
    <w:rsid w:val="007B1F8A"/>
    <w:rPr>
      <w:b/>
      <w:bCs/>
    </w:rPr>
  </w:style>
  <w:style w:type="paragraph" w:styleId="Subtitle">
    <w:name w:val="Subtitle"/>
    <w:basedOn w:val="Normal"/>
    <w:link w:val="SubtitleChar"/>
    <w:uiPriority w:val="11"/>
    <w:qFormat/>
    <w:rsid w:val="00515D49"/>
    <w:pPr>
      <w:spacing w:after="60"/>
      <w:jc w:val="center"/>
      <w:outlineLvl w:val="1"/>
    </w:pPr>
    <w:rPr>
      <w:rFonts w:ascii="Lucida Sans Unicode" w:hAnsi="Lucida Sans Unicode" w:cs="Arial"/>
      <w:b/>
      <w:color w:val="FF0000"/>
    </w:rPr>
  </w:style>
  <w:style w:type="table" w:styleId="Table3Deffects1">
    <w:name w:val="Table 3D effects 1"/>
    <w:basedOn w:val="TableNormal"/>
    <w:semiHidden/>
    <w:rsid w:val="007B1F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1F8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1F8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1F8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1F8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1F8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rsid w:val="007B1F8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1F8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7B1F8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1F8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1F8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1F8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1F8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1F8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1F8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1F8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1F8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1F8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1F8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1F8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1F8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1F8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1F8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1F8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1F8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1F8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1F8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TOC1">
    <w:name w:val="toc 1"/>
    <w:basedOn w:val="Normal"/>
    <w:next w:val="Normal"/>
    <w:autoRedefine/>
    <w:uiPriority w:val="39"/>
    <w:rsid w:val="007B1F8A"/>
    <w:pPr>
      <w:spacing w:before="120"/>
    </w:pPr>
    <w:rPr>
      <w:b/>
      <w:bCs/>
      <w:caps/>
      <w:szCs w:val="20"/>
    </w:rPr>
  </w:style>
  <w:style w:type="paragraph" w:styleId="Title">
    <w:name w:val="Title"/>
    <w:basedOn w:val="Normal"/>
    <w:qFormat/>
    <w:rsid w:val="007B1F8A"/>
    <w:pPr>
      <w:spacing w:before="240" w:after="60"/>
      <w:jc w:val="center"/>
      <w:outlineLvl w:val="0"/>
    </w:pPr>
    <w:rPr>
      <w:rFonts w:ascii="Lucida Sans Unicode" w:hAnsi="Lucida Sans Unicode" w:cs="Arial"/>
      <w:b/>
      <w:bCs/>
      <w:color w:val="FF0000"/>
      <w:kern w:val="28"/>
      <w:sz w:val="36"/>
      <w:szCs w:val="32"/>
    </w:rPr>
  </w:style>
  <w:style w:type="paragraph" w:styleId="TOC2">
    <w:name w:val="toc 2"/>
    <w:basedOn w:val="Normal"/>
    <w:next w:val="Normal"/>
    <w:autoRedefine/>
    <w:uiPriority w:val="39"/>
    <w:rsid w:val="007B1F8A"/>
    <w:pPr>
      <w:ind w:left="220"/>
    </w:pPr>
    <w:rPr>
      <w:smallCaps/>
      <w:szCs w:val="20"/>
    </w:rPr>
  </w:style>
  <w:style w:type="paragraph" w:styleId="TOC3">
    <w:name w:val="toc 3"/>
    <w:basedOn w:val="Normal"/>
    <w:next w:val="Normal"/>
    <w:autoRedefine/>
    <w:uiPriority w:val="39"/>
    <w:rsid w:val="007B1F8A"/>
    <w:pPr>
      <w:ind w:left="440"/>
    </w:pPr>
    <w:rPr>
      <w:i/>
      <w:iCs/>
      <w:szCs w:val="20"/>
    </w:rPr>
  </w:style>
  <w:style w:type="paragraph" w:styleId="TOC4">
    <w:name w:val="toc 4"/>
    <w:basedOn w:val="Normal"/>
    <w:next w:val="Normal"/>
    <w:autoRedefine/>
    <w:semiHidden/>
    <w:rsid w:val="007B1F8A"/>
    <w:pPr>
      <w:ind w:left="660"/>
    </w:pPr>
    <w:rPr>
      <w:sz w:val="18"/>
      <w:szCs w:val="18"/>
    </w:rPr>
  </w:style>
  <w:style w:type="paragraph" w:styleId="TOC5">
    <w:name w:val="toc 5"/>
    <w:basedOn w:val="Normal"/>
    <w:next w:val="Normal"/>
    <w:autoRedefine/>
    <w:semiHidden/>
    <w:rsid w:val="007B1F8A"/>
    <w:pPr>
      <w:ind w:left="880"/>
    </w:pPr>
    <w:rPr>
      <w:sz w:val="18"/>
      <w:szCs w:val="18"/>
    </w:rPr>
  </w:style>
  <w:style w:type="paragraph" w:styleId="TOC6">
    <w:name w:val="toc 6"/>
    <w:basedOn w:val="Normal"/>
    <w:next w:val="Normal"/>
    <w:autoRedefine/>
    <w:semiHidden/>
    <w:rsid w:val="007B1F8A"/>
    <w:pPr>
      <w:ind w:left="1100"/>
    </w:pPr>
    <w:rPr>
      <w:sz w:val="18"/>
      <w:szCs w:val="18"/>
    </w:rPr>
  </w:style>
  <w:style w:type="paragraph" w:styleId="TOC7">
    <w:name w:val="toc 7"/>
    <w:basedOn w:val="Normal"/>
    <w:next w:val="Normal"/>
    <w:autoRedefine/>
    <w:semiHidden/>
    <w:rsid w:val="007B1F8A"/>
    <w:pPr>
      <w:ind w:left="1320"/>
    </w:pPr>
    <w:rPr>
      <w:sz w:val="18"/>
      <w:szCs w:val="18"/>
    </w:rPr>
  </w:style>
  <w:style w:type="paragraph" w:styleId="TOC8">
    <w:name w:val="toc 8"/>
    <w:basedOn w:val="Normal"/>
    <w:next w:val="Normal"/>
    <w:autoRedefine/>
    <w:semiHidden/>
    <w:rsid w:val="007B1F8A"/>
    <w:pPr>
      <w:ind w:left="1540"/>
    </w:pPr>
    <w:rPr>
      <w:sz w:val="18"/>
      <w:szCs w:val="18"/>
    </w:rPr>
  </w:style>
  <w:style w:type="paragraph" w:styleId="TOC9">
    <w:name w:val="toc 9"/>
    <w:basedOn w:val="Normal"/>
    <w:next w:val="Normal"/>
    <w:autoRedefine/>
    <w:semiHidden/>
    <w:rsid w:val="007B1F8A"/>
    <w:pPr>
      <w:ind w:left="1760"/>
    </w:pPr>
    <w:rPr>
      <w:sz w:val="18"/>
      <w:szCs w:val="18"/>
    </w:rPr>
  </w:style>
  <w:style w:type="paragraph" w:styleId="DocumentMap">
    <w:name w:val="Document Map"/>
    <w:basedOn w:val="Normal"/>
    <w:rsid w:val="00515D49"/>
    <w:pPr>
      <w:shd w:val="clear" w:color="auto" w:fill="000080"/>
    </w:pPr>
    <w:rPr>
      <w:rFonts w:ascii="Browallia New" w:hAnsi="Browallia New" w:cs="Tahoma"/>
      <w:sz w:val="16"/>
    </w:rPr>
  </w:style>
  <w:style w:type="paragraph" w:styleId="BalloonText">
    <w:name w:val="Balloon Text"/>
    <w:basedOn w:val="Normal"/>
    <w:link w:val="BalloonTextChar"/>
    <w:uiPriority w:val="99"/>
    <w:semiHidden/>
    <w:unhideWhenUsed/>
    <w:rsid w:val="00ED0688"/>
    <w:rPr>
      <w:rFonts w:ascii="Tahoma" w:hAnsi="Tahoma" w:cs="Tahoma"/>
      <w:sz w:val="16"/>
      <w:szCs w:val="16"/>
    </w:rPr>
  </w:style>
  <w:style w:type="character" w:customStyle="1" w:styleId="BalloonTextChar">
    <w:name w:val="Balloon Text Char"/>
    <w:basedOn w:val="DefaultParagraphFont"/>
    <w:link w:val="BalloonText"/>
    <w:uiPriority w:val="99"/>
    <w:semiHidden/>
    <w:rsid w:val="00ED0688"/>
    <w:rPr>
      <w:rFonts w:ascii="Tahoma" w:hAnsi="Tahoma" w:cs="Tahoma"/>
      <w:sz w:val="16"/>
      <w:szCs w:val="16"/>
    </w:rPr>
  </w:style>
  <w:style w:type="paragraph" w:styleId="ListParagraph">
    <w:name w:val="List Paragraph"/>
    <w:basedOn w:val="Normal"/>
    <w:uiPriority w:val="34"/>
    <w:qFormat/>
    <w:rsid w:val="002F4378"/>
    <w:pPr>
      <w:ind w:left="720"/>
      <w:contextualSpacing/>
    </w:pPr>
  </w:style>
  <w:style w:type="table" w:styleId="TableGrid">
    <w:name w:val="Table Grid"/>
    <w:basedOn w:val="TableNormal"/>
    <w:uiPriority w:val="59"/>
    <w:rsid w:val="00D7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A97EF0"/>
  </w:style>
  <w:style w:type="character" w:customStyle="1" w:styleId="verdana">
    <w:name w:val="verdana"/>
    <w:basedOn w:val="DefaultParagraphFont"/>
    <w:rsid w:val="00A97EF0"/>
  </w:style>
  <w:style w:type="paragraph" w:customStyle="1" w:styleId="Default">
    <w:name w:val="Default"/>
    <w:rsid w:val="00DE46E2"/>
    <w:pPr>
      <w:autoSpaceDE w:val="0"/>
      <w:autoSpaceDN w:val="0"/>
      <w:adjustRightInd w:val="0"/>
    </w:pPr>
    <w:rPr>
      <w:color w:val="000000"/>
      <w:sz w:val="24"/>
      <w:szCs w:val="24"/>
    </w:rPr>
  </w:style>
  <w:style w:type="paragraph" w:customStyle="1" w:styleId="Pa79">
    <w:name w:val="Pa7+9"/>
    <w:basedOn w:val="Default"/>
    <w:next w:val="Default"/>
    <w:uiPriority w:val="99"/>
    <w:rsid w:val="004C3AFE"/>
    <w:pPr>
      <w:spacing w:line="191" w:lineRule="atLeast"/>
    </w:pPr>
    <w:rPr>
      <w:rFonts w:ascii="Source Sans Pro Light" w:hAnsi="Source Sans Pro Light"/>
      <w:color w:val="auto"/>
    </w:rPr>
  </w:style>
  <w:style w:type="character" w:customStyle="1" w:styleId="A73">
    <w:name w:val="A7+3"/>
    <w:uiPriority w:val="99"/>
    <w:rsid w:val="004C3AFE"/>
    <w:rPr>
      <w:rFonts w:cs="Source Sans Pro Light"/>
      <w:color w:val="000000"/>
      <w:sz w:val="11"/>
      <w:szCs w:val="11"/>
    </w:rPr>
  </w:style>
  <w:style w:type="paragraph" w:customStyle="1" w:styleId="Pa99">
    <w:name w:val="Pa9+9"/>
    <w:basedOn w:val="Default"/>
    <w:next w:val="Default"/>
    <w:uiPriority w:val="99"/>
    <w:rsid w:val="004C3AFE"/>
    <w:pPr>
      <w:spacing w:line="161" w:lineRule="atLeast"/>
    </w:pPr>
    <w:rPr>
      <w:rFonts w:ascii="Source Sans Pro" w:hAnsi="Source Sans Pro"/>
      <w:color w:val="auto"/>
    </w:rPr>
  </w:style>
  <w:style w:type="character" w:styleId="EndnoteReference">
    <w:name w:val="endnote reference"/>
    <w:unhideWhenUsed/>
    <w:rsid w:val="00C66DD3"/>
    <w:rPr>
      <w:vertAlign w:val="superscript"/>
    </w:rPr>
  </w:style>
  <w:style w:type="character" w:customStyle="1" w:styleId="EndnoteTextChar">
    <w:name w:val="Endnote Text Char"/>
    <w:aliases w:val="Endnote Text Char1 Char,Endnote Text Char Char Char,Endnote Text Char Char Char Char Char,Endnote Text Char Char Char Char Char Char Char Char,Endnote Text Char1 Char Char Char,Endnote Text Char Char Char1 Char Char"/>
    <w:basedOn w:val="DefaultParagraphFont"/>
    <w:link w:val="EndnoteText"/>
    <w:rsid w:val="00C66DD3"/>
  </w:style>
  <w:style w:type="character" w:customStyle="1" w:styleId="EndnoteTextChar2">
    <w:name w:val="Endnote Text Char2"/>
    <w:aliases w:val="Endnote Text Char Char Char Char Char Char Char Char Char Char,Endnote Text Char1 Char1"/>
    <w:basedOn w:val="DefaultParagraphFont"/>
    <w:rsid w:val="001D43D2"/>
  </w:style>
  <w:style w:type="character" w:customStyle="1" w:styleId="taglabel">
    <w:name w:val="taglabel"/>
    <w:basedOn w:val="DefaultParagraphFont"/>
    <w:rsid w:val="00FA0001"/>
  </w:style>
  <w:style w:type="character" w:customStyle="1" w:styleId="js-wrap">
    <w:name w:val="js-wrap"/>
    <w:basedOn w:val="DefaultParagraphFont"/>
    <w:rsid w:val="008A79D3"/>
  </w:style>
  <w:style w:type="character" w:customStyle="1" w:styleId="Heading8Char">
    <w:name w:val="Heading 8 Char"/>
    <w:basedOn w:val="DefaultParagraphFont"/>
    <w:link w:val="Heading8"/>
    <w:rsid w:val="002435BE"/>
    <w:rPr>
      <w:rFonts w:ascii="Trebuchet MS" w:hAnsi="Trebuchet MS"/>
      <w:b/>
      <w:iCs/>
      <w:szCs w:val="24"/>
      <w:lang w:eastAsia="en-US"/>
    </w:rPr>
  </w:style>
  <w:style w:type="paragraph" w:styleId="FootnoteText">
    <w:name w:val="footnote text"/>
    <w:basedOn w:val="Normal"/>
    <w:link w:val="FootnoteTextChar"/>
    <w:uiPriority w:val="99"/>
    <w:unhideWhenUsed/>
    <w:rsid w:val="008E2913"/>
    <w:rPr>
      <w:szCs w:val="20"/>
    </w:rPr>
  </w:style>
  <w:style w:type="character" w:customStyle="1" w:styleId="FootnoteTextChar">
    <w:name w:val="Footnote Text Char"/>
    <w:basedOn w:val="DefaultParagraphFont"/>
    <w:link w:val="FootnoteText"/>
    <w:uiPriority w:val="99"/>
    <w:rsid w:val="008E2913"/>
  </w:style>
  <w:style w:type="character" w:styleId="FootnoteReference">
    <w:name w:val="footnote reference"/>
    <w:basedOn w:val="DefaultParagraphFont"/>
    <w:uiPriority w:val="99"/>
    <w:semiHidden/>
    <w:unhideWhenUsed/>
    <w:rsid w:val="008E2913"/>
    <w:rPr>
      <w:vertAlign w:val="superscript"/>
    </w:rPr>
  </w:style>
  <w:style w:type="character" w:customStyle="1" w:styleId="time">
    <w:name w:val="time"/>
    <w:basedOn w:val="DefaultParagraphFont"/>
    <w:rsid w:val="00043059"/>
  </w:style>
  <w:style w:type="character" w:customStyle="1" w:styleId="SubtitleChar">
    <w:name w:val="Subtitle Char"/>
    <w:basedOn w:val="DefaultParagraphFont"/>
    <w:link w:val="Subtitle"/>
    <w:uiPriority w:val="11"/>
    <w:rsid w:val="00E441B8"/>
    <w:rPr>
      <w:rFonts w:ascii="Lucida Sans Unicode" w:hAnsi="Lucida Sans Unicode" w:cs="Arial"/>
      <w:b/>
      <w:color w:val="FF0000"/>
      <w:sz w:val="24"/>
      <w:szCs w:val="24"/>
    </w:rPr>
  </w:style>
  <w:style w:type="character" w:customStyle="1" w:styleId="author">
    <w:name w:val="author"/>
    <w:basedOn w:val="DefaultParagraphFont"/>
    <w:rsid w:val="002F0E0E"/>
  </w:style>
  <w:style w:type="character" w:customStyle="1" w:styleId="Date1">
    <w:name w:val="Date1"/>
    <w:basedOn w:val="DefaultParagraphFont"/>
    <w:rsid w:val="002F0E0E"/>
  </w:style>
  <w:style w:type="paragraph" w:customStyle="1" w:styleId="Pa14">
    <w:name w:val="Pa14"/>
    <w:basedOn w:val="Default"/>
    <w:next w:val="Default"/>
    <w:uiPriority w:val="99"/>
    <w:rsid w:val="00C8723D"/>
    <w:pPr>
      <w:spacing w:line="180" w:lineRule="atLeast"/>
    </w:pPr>
    <w:rPr>
      <w:rFonts w:ascii="Zurich Cn BT" w:hAnsi="Zurich Cn BT"/>
      <w:color w:val="auto"/>
    </w:rPr>
  </w:style>
  <w:style w:type="paragraph" w:customStyle="1" w:styleId="Pa15">
    <w:name w:val="Pa15"/>
    <w:basedOn w:val="Default"/>
    <w:next w:val="Default"/>
    <w:uiPriority w:val="99"/>
    <w:rsid w:val="00C8723D"/>
    <w:pPr>
      <w:spacing w:line="180" w:lineRule="atLeast"/>
    </w:pPr>
    <w:rPr>
      <w:rFonts w:ascii="Zurich Cn BT" w:hAnsi="Zurich Cn BT"/>
      <w:color w:val="auto"/>
    </w:rPr>
  </w:style>
  <w:style w:type="character" w:customStyle="1" w:styleId="Heading2Char">
    <w:name w:val="Heading 2 Char"/>
    <w:basedOn w:val="DefaultParagraphFont"/>
    <w:link w:val="Heading2"/>
    <w:rsid w:val="00EA47F5"/>
    <w:rPr>
      <w:rFonts w:ascii="Trebuchet MS" w:hAnsi="Trebuchet MS" w:cs="Arial"/>
      <w:b/>
      <w:bCs/>
      <w:iCs/>
      <w:sz w:val="22"/>
      <w:szCs w:val="28"/>
      <w:lang w:eastAsia="en-US"/>
    </w:rPr>
  </w:style>
  <w:style w:type="character" w:customStyle="1" w:styleId="updated">
    <w:name w:val="updated"/>
    <w:basedOn w:val="DefaultParagraphFont"/>
    <w:rsid w:val="005E2720"/>
  </w:style>
  <w:style w:type="character" w:customStyle="1" w:styleId="EndnoteTextChar1CharChar1">
    <w:name w:val="Endnote Text Char1 Char Char1"/>
    <w:aliases w:val="Endnote Text Char1 Char Char Char Char Char,Endnote Text Char Char Char1 Char Char Char Char1"/>
    <w:basedOn w:val="DefaultParagraphFont"/>
    <w:rsid w:val="008374DA"/>
  </w:style>
  <w:style w:type="character" w:customStyle="1" w:styleId="pubdate">
    <w:name w:val="pubdate"/>
    <w:basedOn w:val="DefaultParagraphFont"/>
    <w:rsid w:val="00D86819"/>
  </w:style>
  <w:style w:type="character" w:customStyle="1" w:styleId="separator">
    <w:name w:val="separator"/>
    <w:basedOn w:val="DefaultParagraphFont"/>
    <w:rsid w:val="00D86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931">
      <w:bodyDiv w:val="1"/>
      <w:marLeft w:val="0"/>
      <w:marRight w:val="0"/>
      <w:marTop w:val="0"/>
      <w:marBottom w:val="0"/>
      <w:divBdr>
        <w:top w:val="none" w:sz="0" w:space="0" w:color="auto"/>
        <w:left w:val="none" w:sz="0" w:space="0" w:color="auto"/>
        <w:bottom w:val="none" w:sz="0" w:space="0" w:color="auto"/>
        <w:right w:val="none" w:sz="0" w:space="0" w:color="auto"/>
      </w:divBdr>
      <w:divsChild>
        <w:div w:id="60297605">
          <w:marLeft w:val="0"/>
          <w:marRight w:val="0"/>
          <w:marTop w:val="0"/>
          <w:marBottom w:val="0"/>
          <w:divBdr>
            <w:top w:val="none" w:sz="0" w:space="0" w:color="auto"/>
            <w:left w:val="none" w:sz="0" w:space="0" w:color="auto"/>
            <w:bottom w:val="none" w:sz="0" w:space="0" w:color="auto"/>
            <w:right w:val="none" w:sz="0" w:space="0" w:color="auto"/>
          </w:divBdr>
        </w:div>
        <w:div w:id="83113384">
          <w:marLeft w:val="0"/>
          <w:marRight w:val="0"/>
          <w:marTop w:val="0"/>
          <w:marBottom w:val="0"/>
          <w:divBdr>
            <w:top w:val="none" w:sz="0" w:space="0" w:color="auto"/>
            <w:left w:val="none" w:sz="0" w:space="0" w:color="auto"/>
            <w:bottom w:val="none" w:sz="0" w:space="0" w:color="auto"/>
            <w:right w:val="none" w:sz="0" w:space="0" w:color="auto"/>
          </w:divBdr>
        </w:div>
        <w:div w:id="129791861">
          <w:marLeft w:val="0"/>
          <w:marRight w:val="0"/>
          <w:marTop w:val="0"/>
          <w:marBottom w:val="0"/>
          <w:divBdr>
            <w:top w:val="none" w:sz="0" w:space="0" w:color="auto"/>
            <w:left w:val="none" w:sz="0" w:space="0" w:color="auto"/>
            <w:bottom w:val="none" w:sz="0" w:space="0" w:color="auto"/>
            <w:right w:val="none" w:sz="0" w:space="0" w:color="auto"/>
          </w:divBdr>
        </w:div>
        <w:div w:id="716859654">
          <w:marLeft w:val="0"/>
          <w:marRight w:val="0"/>
          <w:marTop w:val="0"/>
          <w:marBottom w:val="0"/>
          <w:divBdr>
            <w:top w:val="none" w:sz="0" w:space="0" w:color="auto"/>
            <w:left w:val="none" w:sz="0" w:space="0" w:color="auto"/>
            <w:bottom w:val="none" w:sz="0" w:space="0" w:color="auto"/>
            <w:right w:val="none" w:sz="0" w:space="0" w:color="auto"/>
          </w:divBdr>
        </w:div>
        <w:div w:id="762647323">
          <w:marLeft w:val="0"/>
          <w:marRight w:val="0"/>
          <w:marTop w:val="0"/>
          <w:marBottom w:val="0"/>
          <w:divBdr>
            <w:top w:val="none" w:sz="0" w:space="0" w:color="auto"/>
            <w:left w:val="none" w:sz="0" w:space="0" w:color="auto"/>
            <w:bottom w:val="none" w:sz="0" w:space="0" w:color="auto"/>
            <w:right w:val="none" w:sz="0" w:space="0" w:color="auto"/>
          </w:divBdr>
        </w:div>
        <w:div w:id="825702077">
          <w:marLeft w:val="0"/>
          <w:marRight w:val="0"/>
          <w:marTop w:val="0"/>
          <w:marBottom w:val="0"/>
          <w:divBdr>
            <w:top w:val="none" w:sz="0" w:space="0" w:color="auto"/>
            <w:left w:val="none" w:sz="0" w:space="0" w:color="auto"/>
            <w:bottom w:val="none" w:sz="0" w:space="0" w:color="auto"/>
            <w:right w:val="none" w:sz="0" w:space="0" w:color="auto"/>
          </w:divBdr>
        </w:div>
        <w:div w:id="1095858292">
          <w:marLeft w:val="0"/>
          <w:marRight w:val="0"/>
          <w:marTop w:val="0"/>
          <w:marBottom w:val="0"/>
          <w:divBdr>
            <w:top w:val="none" w:sz="0" w:space="0" w:color="auto"/>
            <w:left w:val="none" w:sz="0" w:space="0" w:color="auto"/>
            <w:bottom w:val="none" w:sz="0" w:space="0" w:color="auto"/>
            <w:right w:val="none" w:sz="0" w:space="0" w:color="auto"/>
          </w:divBdr>
        </w:div>
        <w:div w:id="1384257528">
          <w:marLeft w:val="0"/>
          <w:marRight w:val="0"/>
          <w:marTop w:val="0"/>
          <w:marBottom w:val="0"/>
          <w:divBdr>
            <w:top w:val="none" w:sz="0" w:space="0" w:color="auto"/>
            <w:left w:val="none" w:sz="0" w:space="0" w:color="auto"/>
            <w:bottom w:val="none" w:sz="0" w:space="0" w:color="auto"/>
            <w:right w:val="none" w:sz="0" w:space="0" w:color="auto"/>
          </w:divBdr>
        </w:div>
        <w:div w:id="1451507196">
          <w:marLeft w:val="0"/>
          <w:marRight w:val="0"/>
          <w:marTop w:val="0"/>
          <w:marBottom w:val="0"/>
          <w:divBdr>
            <w:top w:val="none" w:sz="0" w:space="0" w:color="auto"/>
            <w:left w:val="none" w:sz="0" w:space="0" w:color="auto"/>
            <w:bottom w:val="none" w:sz="0" w:space="0" w:color="auto"/>
            <w:right w:val="none" w:sz="0" w:space="0" w:color="auto"/>
          </w:divBdr>
        </w:div>
        <w:div w:id="1591231275">
          <w:marLeft w:val="0"/>
          <w:marRight w:val="0"/>
          <w:marTop w:val="0"/>
          <w:marBottom w:val="0"/>
          <w:divBdr>
            <w:top w:val="none" w:sz="0" w:space="0" w:color="auto"/>
            <w:left w:val="none" w:sz="0" w:space="0" w:color="auto"/>
            <w:bottom w:val="none" w:sz="0" w:space="0" w:color="auto"/>
            <w:right w:val="none" w:sz="0" w:space="0" w:color="auto"/>
          </w:divBdr>
        </w:div>
        <w:div w:id="1701470795">
          <w:marLeft w:val="0"/>
          <w:marRight w:val="0"/>
          <w:marTop w:val="0"/>
          <w:marBottom w:val="0"/>
          <w:divBdr>
            <w:top w:val="none" w:sz="0" w:space="0" w:color="auto"/>
            <w:left w:val="none" w:sz="0" w:space="0" w:color="auto"/>
            <w:bottom w:val="none" w:sz="0" w:space="0" w:color="auto"/>
            <w:right w:val="none" w:sz="0" w:space="0" w:color="auto"/>
          </w:divBdr>
        </w:div>
        <w:div w:id="1957786202">
          <w:marLeft w:val="0"/>
          <w:marRight w:val="0"/>
          <w:marTop w:val="0"/>
          <w:marBottom w:val="0"/>
          <w:divBdr>
            <w:top w:val="none" w:sz="0" w:space="0" w:color="auto"/>
            <w:left w:val="none" w:sz="0" w:space="0" w:color="auto"/>
            <w:bottom w:val="none" w:sz="0" w:space="0" w:color="auto"/>
            <w:right w:val="none" w:sz="0" w:space="0" w:color="auto"/>
          </w:divBdr>
        </w:div>
        <w:div w:id="2130471051">
          <w:marLeft w:val="0"/>
          <w:marRight w:val="0"/>
          <w:marTop w:val="0"/>
          <w:marBottom w:val="0"/>
          <w:divBdr>
            <w:top w:val="none" w:sz="0" w:space="0" w:color="auto"/>
            <w:left w:val="none" w:sz="0" w:space="0" w:color="auto"/>
            <w:bottom w:val="none" w:sz="0" w:space="0" w:color="auto"/>
            <w:right w:val="none" w:sz="0" w:space="0" w:color="auto"/>
          </w:divBdr>
        </w:div>
        <w:div w:id="2137945222">
          <w:marLeft w:val="0"/>
          <w:marRight w:val="0"/>
          <w:marTop w:val="0"/>
          <w:marBottom w:val="0"/>
          <w:divBdr>
            <w:top w:val="none" w:sz="0" w:space="0" w:color="auto"/>
            <w:left w:val="none" w:sz="0" w:space="0" w:color="auto"/>
            <w:bottom w:val="none" w:sz="0" w:space="0" w:color="auto"/>
            <w:right w:val="none" w:sz="0" w:space="0" w:color="auto"/>
          </w:divBdr>
        </w:div>
      </w:divsChild>
    </w:div>
    <w:div w:id="10686608">
      <w:bodyDiv w:val="1"/>
      <w:marLeft w:val="0"/>
      <w:marRight w:val="0"/>
      <w:marTop w:val="0"/>
      <w:marBottom w:val="0"/>
      <w:divBdr>
        <w:top w:val="none" w:sz="0" w:space="0" w:color="auto"/>
        <w:left w:val="none" w:sz="0" w:space="0" w:color="auto"/>
        <w:bottom w:val="none" w:sz="0" w:space="0" w:color="auto"/>
        <w:right w:val="none" w:sz="0" w:space="0" w:color="auto"/>
      </w:divBdr>
      <w:divsChild>
        <w:div w:id="453838148">
          <w:marLeft w:val="0"/>
          <w:marRight w:val="0"/>
          <w:marTop w:val="0"/>
          <w:marBottom w:val="0"/>
          <w:divBdr>
            <w:top w:val="none" w:sz="0" w:space="0" w:color="auto"/>
            <w:left w:val="none" w:sz="0" w:space="0" w:color="auto"/>
            <w:bottom w:val="none" w:sz="0" w:space="0" w:color="auto"/>
            <w:right w:val="none" w:sz="0" w:space="0" w:color="auto"/>
          </w:divBdr>
        </w:div>
        <w:div w:id="466822396">
          <w:marLeft w:val="0"/>
          <w:marRight w:val="0"/>
          <w:marTop w:val="0"/>
          <w:marBottom w:val="0"/>
          <w:divBdr>
            <w:top w:val="none" w:sz="0" w:space="0" w:color="auto"/>
            <w:left w:val="none" w:sz="0" w:space="0" w:color="auto"/>
            <w:bottom w:val="none" w:sz="0" w:space="0" w:color="auto"/>
            <w:right w:val="none" w:sz="0" w:space="0" w:color="auto"/>
          </w:divBdr>
        </w:div>
        <w:div w:id="631593190">
          <w:marLeft w:val="0"/>
          <w:marRight w:val="0"/>
          <w:marTop w:val="0"/>
          <w:marBottom w:val="0"/>
          <w:divBdr>
            <w:top w:val="none" w:sz="0" w:space="0" w:color="auto"/>
            <w:left w:val="none" w:sz="0" w:space="0" w:color="auto"/>
            <w:bottom w:val="none" w:sz="0" w:space="0" w:color="auto"/>
            <w:right w:val="none" w:sz="0" w:space="0" w:color="auto"/>
          </w:divBdr>
        </w:div>
        <w:div w:id="1244677753">
          <w:marLeft w:val="0"/>
          <w:marRight w:val="0"/>
          <w:marTop w:val="0"/>
          <w:marBottom w:val="0"/>
          <w:divBdr>
            <w:top w:val="none" w:sz="0" w:space="0" w:color="auto"/>
            <w:left w:val="none" w:sz="0" w:space="0" w:color="auto"/>
            <w:bottom w:val="none" w:sz="0" w:space="0" w:color="auto"/>
            <w:right w:val="none" w:sz="0" w:space="0" w:color="auto"/>
          </w:divBdr>
        </w:div>
        <w:div w:id="1602369189">
          <w:marLeft w:val="0"/>
          <w:marRight w:val="0"/>
          <w:marTop w:val="0"/>
          <w:marBottom w:val="0"/>
          <w:divBdr>
            <w:top w:val="none" w:sz="0" w:space="0" w:color="auto"/>
            <w:left w:val="none" w:sz="0" w:space="0" w:color="auto"/>
            <w:bottom w:val="none" w:sz="0" w:space="0" w:color="auto"/>
            <w:right w:val="none" w:sz="0" w:space="0" w:color="auto"/>
          </w:divBdr>
        </w:div>
      </w:divsChild>
    </w:div>
    <w:div w:id="12346435">
      <w:bodyDiv w:val="1"/>
      <w:marLeft w:val="0"/>
      <w:marRight w:val="0"/>
      <w:marTop w:val="0"/>
      <w:marBottom w:val="0"/>
      <w:divBdr>
        <w:top w:val="none" w:sz="0" w:space="0" w:color="auto"/>
        <w:left w:val="none" w:sz="0" w:space="0" w:color="auto"/>
        <w:bottom w:val="none" w:sz="0" w:space="0" w:color="auto"/>
        <w:right w:val="none" w:sz="0" w:space="0" w:color="auto"/>
      </w:divBdr>
      <w:divsChild>
        <w:div w:id="975916731">
          <w:marLeft w:val="0"/>
          <w:marRight w:val="0"/>
          <w:marTop w:val="0"/>
          <w:marBottom w:val="0"/>
          <w:divBdr>
            <w:top w:val="none" w:sz="0" w:space="0" w:color="auto"/>
            <w:left w:val="none" w:sz="0" w:space="0" w:color="auto"/>
            <w:bottom w:val="none" w:sz="0" w:space="0" w:color="auto"/>
            <w:right w:val="none" w:sz="0" w:space="0" w:color="auto"/>
          </w:divBdr>
        </w:div>
      </w:divsChild>
    </w:div>
    <w:div w:id="14230445">
      <w:bodyDiv w:val="1"/>
      <w:marLeft w:val="0"/>
      <w:marRight w:val="0"/>
      <w:marTop w:val="0"/>
      <w:marBottom w:val="0"/>
      <w:divBdr>
        <w:top w:val="none" w:sz="0" w:space="0" w:color="auto"/>
        <w:left w:val="none" w:sz="0" w:space="0" w:color="auto"/>
        <w:bottom w:val="none" w:sz="0" w:space="0" w:color="auto"/>
        <w:right w:val="none" w:sz="0" w:space="0" w:color="auto"/>
      </w:divBdr>
      <w:divsChild>
        <w:div w:id="292640960">
          <w:marLeft w:val="0"/>
          <w:marRight w:val="0"/>
          <w:marTop w:val="0"/>
          <w:marBottom w:val="0"/>
          <w:divBdr>
            <w:top w:val="none" w:sz="0" w:space="0" w:color="auto"/>
            <w:left w:val="none" w:sz="0" w:space="0" w:color="auto"/>
            <w:bottom w:val="none" w:sz="0" w:space="0" w:color="auto"/>
            <w:right w:val="none" w:sz="0" w:space="0" w:color="auto"/>
          </w:divBdr>
        </w:div>
        <w:div w:id="329064520">
          <w:marLeft w:val="0"/>
          <w:marRight w:val="0"/>
          <w:marTop w:val="0"/>
          <w:marBottom w:val="0"/>
          <w:divBdr>
            <w:top w:val="none" w:sz="0" w:space="0" w:color="auto"/>
            <w:left w:val="none" w:sz="0" w:space="0" w:color="auto"/>
            <w:bottom w:val="none" w:sz="0" w:space="0" w:color="auto"/>
            <w:right w:val="none" w:sz="0" w:space="0" w:color="auto"/>
          </w:divBdr>
        </w:div>
        <w:div w:id="474840226">
          <w:marLeft w:val="0"/>
          <w:marRight w:val="0"/>
          <w:marTop w:val="0"/>
          <w:marBottom w:val="0"/>
          <w:divBdr>
            <w:top w:val="none" w:sz="0" w:space="0" w:color="auto"/>
            <w:left w:val="none" w:sz="0" w:space="0" w:color="auto"/>
            <w:bottom w:val="none" w:sz="0" w:space="0" w:color="auto"/>
            <w:right w:val="none" w:sz="0" w:space="0" w:color="auto"/>
          </w:divBdr>
        </w:div>
        <w:div w:id="773981157">
          <w:marLeft w:val="0"/>
          <w:marRight w:val="0"/>
          <w:marTop w:val="0"/>
          <w:marBottom w:val="0"/>
          <w:divBdr>
            <w:top w:val="none" w:sz="0" w:space="0" w:color="auto"/>
            <w:left w:val="none" w:sz="0" w:space="0" w:color="auto"/>
            <w:bottom w:val="none" w:sz="0" w:space="0" w:color="auto"/>
            <w:right w:val="none" w:sz="0" w:space="0" w:color="auto"/>
          </w:divBdr>
        </w:div>
        <w:div w:id="826750256">
          <w:marLeft w:val="0"/>
          <w:marRight w:val="0"/>
          <w:marTop w:val="0"/>
          <w:marBottom w:val="0"/>
          <w:divBdr>
            <w:top w:val="none" w:sz="0" w:space="0" w:color="auto"/>
            <w:left w:val="none" w:sz="0" w:space="0" w:color="auto"/>
            <w:bottom w:val="none" w:sz="0" w:space="0" w:color="auto"/>
            <w:right w:val="none" w:sz="0" w:space="0" w:color="auto"/>
          </w:divBdr>
        </w:div>
        <w:div w:id="829714361">
          <w:marLeft w:val="0"/>
          <w:marRight w:val="0"/>
          <w:marTop w:val="0"/>
          <w:marBottom w:val="0"/>
          <w:divBdr>
            <w:top w:val="none" w:sz="0" w:space="0" w:color="auto"/>
            <w:left w:val="none" w:sz="0" w:space="0" w:color="auto"/>
            <w:bottom w:val="none" w:sz="0" w:space="0" w:color="auto"/>
            <w:right w:val="none" w:sz="0" w:space="0" w:color="auto"/>
          </w:divBdr>
        </w:div>
        <w:div w:id="939794706">
          <w:marLeft w:val="0"/>
          <w:marRight w:val="0"/>
          <w:marTop w:val="0"/>
          <w:marBottom w:val="0"/>
          <w:divBdr>
            <w:top w:val="none" w:sz="0" w:space="0" w:color="auto"/>
            <w:left w:val="none" w:sz="0" w:space="0" w:color="auto"/>
            <w:bottom w:val="none" w:sz="0" w:space="0" w:color="auto"/>
            <w:right w:val="none" w:sz="0" w:space="0" w:color="auto"/>
          </w:divBdr>
        </w:div>
        <w:div w:id="986669938">
          <w:marLeft w:val="0"/>
          <w:marRight w:val="0"/>
          <w:marTop w:val="0"/>
          <w:marBottom w:val="0"/>
          <w:divBdr>
            <w:top w:val="none" w:sz="0" w:space="0" w:color="auto"/>
            <w:left w:val="none" w:sz="0" w:space="0" w:color="auto"/>
            <w:bottom w:val="none" w:sz="0" w:space="0" w:color="auto"/>
            <w:right w:val="none" w:sz="0" w:space="0" w:color="auto"/>
          </w:divBdr>
        </w:div>
        <w:div w:id="1083264329">
          <w:marLeft w:val="0"/>
          <w:marRight w:val="0"/>
          <w:marTop w:val="0"/>
          <w:marBottom w:val="0"/>
          <w:divBdr>
            <w:top w:val="none" w:sz="0" w:space="0" w:color="auto"/>
            <w:left w:val="none" w:sz="0" w:space="0" w:color="auto"/>
            <w:bottom w:val="none" w:sz="0" w:space="0" w:color="auto"/>
            <w:right w:val="none" w:sz="0" w:space="0" w:color="auto"/>
          </w:divBdr>
        </w:div>
        <w:div w:id="1485856015">
          <w:marLeft w:val="0"/>
          <w:marRight w:val="0"/>
          <w:marTop w:val="0"/>
          <w:marBottom w:val="0"/>
          <w:divBdr>
            <w:top w:val="none" w:sz="0" w:space="0" w:color="auto"/>
            <w:left w:val="none" w:sz="0" w:space="0" w:color="auto"/>
            <w:bottom w:val="none" w:sz="0" w:space="0" w:color="auto"/>
            <w:right w:val="none" w:sz="0" w:space="0" w:color="auto"/>
          </w:divBdr>
        </w:div>
        <w:div w:id="1586763663">
          <w:marLeft w:val="0"/>
          <w:marRight w:val="0"/>
          <w:marTop w:val="0"/>
          <w:marBottom w:val="0"/>
          <w:divBdr>
            <w:top w:val="none" w:sz="0" w:space="0" w:color="auto"/>
            <w:left w:val="none" w:sz="0" w:space="0" w:color="auto"/>
            <w:bottom w:val="none" w:sz="0" w:space="0" w:color="auto"/>
            <w:right w:val="none" w:sz="0" w:space="0" w:color="auto"/>
          </w:divBdr>
        </w:div>
        <w:div w:id="1668556477">
          <w:marLeft w:val="0"/>
          <w:marRight w:val="0"/>
          <w:marTop w:val="0"/>
          <w:marBottom w:val="0"/>
          <w:divBdr>
            <w:top w:val="none" w:sz="0" w:space="0" w:color="auto"/>
            <w:left w:val="none" w:sz="0" w:space="0" w:color="auto"/>
            <w:bottom w:val="none" w:sz="0" w:space="0" w:color="auto"/>
            <w:right w:val="none" w:sz="0" w:space="0" w:color="auto"/>
          </w:divBdr>
        </w:div>
        <w:div w:id="1739982897">
          <w:marLeft w:val="0"/>
          <w:marRight w:val="0"/>
          <w:marTop w:val="0"/>
          <w:marBottom w:val="0"/>
          <w:divBdr>
            <w:top w:val="none" w:sz="0" w:space="0" w:color="auto"/>
            <w:left w:val="none" w:sz="0" w:space="0" w:color="auto"/>
            <w:bottom w:val="none" w:sz="0" w:space="0" w:color="auto"/>
            <w:right w:val="none" w:sz="0" w:space="0" w:color="auto"/>
          </w:divBdr>
        </w:div>
      </w:divsChild>
    </w:div>
    <w:div w:id="24259767">
      <w:bodyDiv w:val="1"/>
      <w:marLeft w:val="0"/>
      <w:marRight w:val="0"/>
      <w:marTop w:val="0"/>
      <w:marBottom w:val="0"/>
      <w:divBdr>
        <w:top w:val="none" w:sz="0" w:space="0" w:color="auto"/>
        <w:left w:val="none" w:sz="0" w:space="0" w:color="auto"/>
        <w:bottom w:val="none" w:sz="0" w:space="0" w:color="auto"/>
        <w:right w:val="none" w:sz="0" w:space="0" w:color="auto"/>
      </w:divBdr>
      <w:divsChild>
        <w:div w:id="2085445515">
          <w:marLeft w:val="0"/>
          <w:marRight w:val="0"/>
          <w:marTop w:val="0"/>
          <w:marBottom w:val="0"/>
          <w:divBdr>
            <w:top w:val="none" w:sz="0" w:space="0" w:color="auto"/>
            <w:left w:val="none" w:sz="0" w:space="0" w:color="auto"/>
            <w:bottom w:val="none" w:sz="0" w:space="0" w:color="auto"/>
            <w:right w:val="none" w:sz="0" w:space="0" w:color="auto"/>
          </w:divBdr>
          <w:divsChild>
            <w:div w:id="49312008">
              <w:marLeft w:val="0"/>
              <w:marRight w:val="0"/>
              <w:marTop w:val="0"/>
              <w:marBottom w:val="0"/>
              <w:divBdr>
                <w:top w:val="none" w:sz="0" w:space="0" w:color="auto"/>
                <w:left w:val="none" w:sz="0" w:space="0" w:color="auto"/>
                <w:bottom w:val="none" w:sz="0" w:space="0" w:color="auto"/>
                <w:right w:val="none" w:sz="0" w:space="0" w:color="auto"/>
              </w:divBdr>
            </w:div>
            <w:div w:id="1038772800">
              <w:marLeft w:val="0"/>
              <w:marRight w:val="0"/>
              <w:marTop w:val="0"/>
              <w:marBottom w:val="0"/>
              <w:divBdr>
                <w:top w:val="none" w:sz="0" w:space="0" w:color="auto"/>
                <w:left w:val="none" w:sz="0" w:space="0" w:color="auto"/>
                <w:bottom w:val="none" w:sz="0" w:space="0" w:color="auto"/>
                <w:right w:val="none" w:sz="0" w:space="0" w:color="auto"/>
              </w:divBdr>
            </w:div>
            <w:div w:id="1110011221">
              <w:marLeft w:val="0"/>
              <w:marRight w:val="0"/>
              <w:marTop w:val="0"/>
              <w:marBottom w:val="0"/>
              <w:divBdr>
                <w:top w:val="none" w:sz="0" w:space="0" w:color="auto"/>
                <w:left w:val="none" w:sz="0" w:space="0" w:color="auto"/>
                <w:bottom w:val="none" w:sz="0" w:space="0" w:color="auto"/>
                <w:right w:val="none" w:sz="0" w:space="0" w:color="auto"/>
              </w:divBdr>
            </w:div>
            <w:div w:id="11185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3848">
      <w:bodyDiv w:val="1"/>
      <w:marLeft w:val="0"/>
      <w:marRight w:val="0"/>
      <w:marTop w:val="0"/>
      <w:marBottom w:val="0"/>
      <w:divBdr>
        <w:top w:val="none" w:sz="0" w:space="0" w:color="auto"/>
        <w:left w:val="none" w:sz="0" w:space="0" w:color="auto"/>
        <w:bottom w:val="none" w:sz="0" w:space="0" w:color="auto"/>
        <w:right w:val="none" w:sz="0" w:space="0" w:color="auto"/>
      </w:divBdr>
      <w:divsChild>
        <w:div w:id="162284531">
          <w:marLeft w:val="0"/>
          <w:marRight w:val="0"/>
          <w:marTop w:val="0"/>
          <w:marBottom w:val="0"/>
          <w:divBdr>
            <w:top w:val="none" w:sz="0" w:space="0" w:color="auto"/>
            <w:left w:val="none" w:sz="0" w:space="0" w:color="auto"/>
            <w:bottom w:val="none" w:sz="0" w:space="0" w:color="auto"/>
            <w:right w:val="none" w:sz="0" w:space="0" w:color="auto"/>
          </w:divBdr>
        </w:div>
        <w:div w:id="622927050">
          <w:marLeft w:val="0"/>
          <w:marRight w:val="0"/>
          <w:marTop w:val="0"/>
          <w:marBottom w:val="0"/>
          <w:divBdr>
            <w:top w:val="none" w:sz="0" w:space="0" w:color="auto"/>
            <w:left w:val="none" w:sz="0" w:space="0" w:color="auto"/>
            <w:bottom w:val="none" w:sz="0" w:space="0" w:color="auto"/>
            <w:right w:val="none" w:sz="0" w:space="0" w:color="auto"/>
          </w:divBdr>
        </w:div>
        <w:div w:id="1653486785">
          <w:marLeft w:val="0"/>
          <w:marRight w:val="0"/>
          <w:marTop w:val="0"/>
          <w:marBottom w:val="0"/>
          <w:divBdr>
            <w:top w:val="none" w:sz="0" w:space="0" w:color="auto"/>
            <w:left w:val="none" w:sz="0" w:space="0" w:color="auto"/>
            <w:bottom w:val="none" w:sz="0" w:space="0" w:color="auto"/>
            <w:right w:val="none" w:sz="0" w:space="0" w:color="auto"/>
          </w:divBdr>
        </w:div>
        <w:div w:id="1702389778">
          <w:marLeft w:val="0"/>
          <w:marRight w:val="0"/>
          <w:marTop w:val="0"/>
          <w:marBottom w:val="0"/>
          <w:divBdr>
            <w:top w:val="none" w:sz="0" w:space="0" w:color="auto"/>
            <w:left w:val="none" w:sz="0" w:space="0" w:color="auto"/>
            <w:bottom w:val="none" w:sz="0" w:space="0" w:color="auto"/>
            <w:right w:val="none" w:sz="0" w:space="0" w:color="auto"/>
          </w:divBdr>
        </w:div>
      </w:divsChild>
    </w:div>
    <w:div w:id="28532681">
      <w:bodyDiv w:val="1"/>
      <w:marLeft w:val="0"/>
      <w:marRight w:val="0"/>
      <w:marTop w:val="0"/>
      <w:marBottom w:val="0"/>
      <w:divBdr>
        <w:top w:val="none" w:sz="0" w:space="0" w:color="auto"/>
        <w:left w:val="none" w:sz="0" w:space="0" w:color="auto"/>
        <w:bottom w:val="none" w:sz="0" w:space="0" w:color="auto"/>
        <w:right w:val="none" w:sz="0" w:space="0" w:color="auto"/>
      </w:divBdr>
      <w:divsChild>
        <w:div w:id="978656211">
          <w:marLeft w:val="0"/>
          <w:marRight w:val="0"/>
          <w:marTop w:val="0"/>
          <w:marBottom w:val="0"/>
          <w:divBdr>
            <w:top w:val="none" w:sz="0" w:space="0" w:color="auto"/>
            <w:left w:val="none" w:sz="0" w:space="0" w:color="auto"/>
            <w:bottom w:val="none" w:sz="0" w:space="0" w:color="auto"/>
            <w:right w:val="none" w:sz="0" w:space="0" w:color="auto"/>
          </w:divBdr>
        </w:div>
        <w:div w:id="1000962892">
          <w:marLeft w:val="0"/>
          <w:marRight w:val="0"/>
          <w:marTop w:val="0"/>
          <w:marBottom w:val="0"/>
          <w:divBdr>
            <w:top w:val="none" w:sz="0" w:space="0" w:color="auto"/>
            <w:left w:val="none" w:sz="0" w:space="0" w:color="auto"/>
            <w:bottom w:val="none" w:sz="0" w:space="0" w:color="auto"/>
            <w:right w:val="none" w:sz="0" w:space="0" w:color="auto"/>
          </w:divBdr>
        </w:div>
        <w:div w:id="1285119921">
          <w:marLeft w:val="0"/>
          <w:marRight w:val="0"/>
          <w:marTop w:val="0"/>
          <w:marBottom w:val="0"/>
          <w:divBdr>
            <w:top w:val="none" w:sz="0" w:space="0" w:color="auto"/>
            <w:left w:val="none" w:sz="0" w:space="0" w:color="auto"/>
            <w:bottom w:val="none" w:sz="0" w:space="0" w:color="auto"/>
            <w:right w:val="none" w:sz="0" w:space="0" w:color="auto"/>
          </w:divBdr>
        </w:div>
        <w:div w:id="1820150724">
          <w:marLeft w:val="0"/>
          <w:marRight w:val="0"/>
          <w:marTop w:val="0"/>
          <w:marBottom w:val="0"/>
          <w:divBdr>
            <w:top w:val="none" w:sz="0" w:space="0" w:color="auto"/>
            <w:left w:val="none" w:sz="0" w:space="0" w:color="auto"/>
            <w:bottom w:val="none" w:sz="0" w:space="0" w:color="auto"/>
            <w:right w:val="none" w:sz="0" w:space="0" w:color="auto"/>
          </w:divBdr>
        </w:div>
      </w:divsChild>
    </w:div>
    <w:div w:id="29502523">
      <w:bodyDiv w:val="1"/>
      <w:marLeft w:val="0"/>
      <w:marRight w:val="0"/>
      <w:marTop w:val="0"/>
      <w:marBottom w:val="0"/>
      <w:divBdr>
        <w:top w:val="none" w:sz="0" w:space="0" w:color="auto"/>
        <w:left w:val="none" w:sz="0" w:space="0" w:color="auto"/>
        <w:bottom w:val="none" w:sz="0" w:space="0" w:color="auto"/>
        <w:right w:val="none" w:sz="0" w:space="0" w:color="auto"/>
      </w:divBdr>
    </w:div>
    <w:div w:id="41713037">
      <w:bodyDiv w:val="1"/>
      <w:marLeft w:val="0"/>
      <w:marRight w:val="0"/>
      <w:marTop w:val="0"/>
      <w:marBottom w:val="0"/>
      <w:divBdr>
        <w:top w:val="none" w:sz="0" w:space="0" w:color="auto"/>
        <w:left w:val="none" w:sz="0" w:space="0" w:color="auto"/>
        <w:bottom w:val="none" w:sz="0" w:space="0" w:color="auto"/>
        <w:right w:val="none" w:sz="0" w:space="0" w:color="auto"/>
      </w:divBdr>
    </w:div>
    <w:div w:id="53744284">
      <w:bodyDiv w:val="1"/>
      <w:marLeft w:val="0"/>
      <w:marRight w:val="0"/>
      <w:marTop w:val="0"/>
      <w:marBottom w:val="0"/>
      <w:divBdr>
        <w:top w:val="none" w:sz="0" w:space="0" w:color="auto"/>
        <w:left w:val="none" w:sz="0" w:space="0" w:color="auto"/>
        <w:bottom w:val="none" w:sz="0" w:space="0" w:color="auto"/>
        <w:right w:val="none" w:sz="0" w:space="0" w:color="auto"/>
      </w:divBdr>
    </w:div>
    <w:div w:id="55007036">
      <w:bodyDiv w:val="1"/>
      <w:marLeft w:val="0"/>
      <w:marRight w:val="0"/>
      <w:marTop w:val="0"/>
      <w:marBottom w:val="0"/>
      <w:divBdr>
        <w:top w:val="none" w:sz="0" w:space="0" w:color="auto"/>
        <w:left w:val="none" w:sz="0" w:space="0" w:color="auto"/>
        <w:bottom w:val="none" w:sz="0" w:space="0" w:color="auto"/>
        <w:right w:val="none" w:sz="0" w:space="0" w:color="auto"/>
      </w:divBdr>
    </w:div>
    <w:div w:id="58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50448">
          <w:marLeft w:val="0"/>
          <w:marRight w:val="0"/>
          <w:marTop w:val="0"/>
          <w:marBottom w:val="0"/>
          <w:divBdr>
            <w:top w:val="none" w:sz="0" w:space="0" w:color="auto"/>
            <w:left w:val="none" w:sz="0" w:space="0" w:color="auto"/>
            <w:bottom w:val="none" w:sz="0" w:space="0" w:color="auto"/>
            <w:right w:val="none" w:sz="0" w:space="0" w:color="auto"/>
          </w:divBdr>
        </w:div>
        <w:div w:id="50470073">
          <w:marLeft w:val="0"/>
          <w:marRight w:val="0"/>
          <w:marTop w:val="0"/>
          <w:marBottom w:val="0"/>
          <w:divBdr>
            <w:top w:val="none" w:sz="0" w:space="0" w:color="auto"/>
            <w:left w:val="none" w:sz="0" w:space="0" w:color="auto"/>
            <w:bottom w:val="none" w:sz="0" w:space="0" w:color="auto"/>
            <w:right w:val="none" w:sz="0" w:space="0" w:color="auto"/>
          </w:divBdr>
        </w:div>
        <w:div w:id="2060395873">
          <w:marLeft w:val="0"/>
          <w:marRight w:val="0"/>
          <w:marTop w:val="0"/>
          <w:marBottom w:val="0"/>
          <w:divBdr>
            <w:top w:val="none" w:sz="0" w:space="0" w:color="auto"/>
            <w:left w:val="none" w:sz="0" w:space="0" w:color="auto"/>
            <w:bottom w:val="none" w:sz="0" w:space="0" w:color="auto"/>
            <w:right w:val="none" w:sz="0" w:space="0" w:color="auto"/>
          </w:divBdr>
        </w:div>
      </w:divsChild>
    </w:div>
    <w:div w:id="81218849">
      <w:bodyDiv w:val="1"/>
      <w:marLeft w:val="0"/>
      <w:marRight w:val="0"/>
      <w:marTop w:val="0"/>
      <w:marBottom w:val="0"/>
      <w:divBdr>
        <w:top w:val="none" w:sz="0" w:space="0" w:color="auto"/>
        <w:left w:val="none" w:sz="0" w:space="0" w:color="auto"/>
        <w:bottom w:val="none" w:sz="0" w:space="0" w:color="auto"/>
        <w:right w:val="none" w:sz="0" w:space="0" w:color="auto"/>
      </w:divBdr>
      <w:divsChild>
        <w:div w:id="1897233650">
          <w:marLeft w:val="0"/>
          <w:marRight w:val="0"/>
          <w:marTop w:val="0"/>
          <w:marBottom w:val="0"/>
          <w:divBdr>
            <w:top w:val="none" w:sz="0" w:space="0" w:color="auto"/>
            <w:left w:val="none" w:sz="0" w:space="0" w:color="auto"/>
            <w:bottom w:val="none" w:sz="0" w:space="0" w:color="auto"/>
            <w:right w:val="none" w:sz="0" w:space="0" w:color="auto"/>
          </w:divBdr>
        </w:div>
      </w:divsChild>
    </w:div>
    <w:div w:id="85927243">
      <w:bodyDiv w:val="1"/>
      <w:marLeft w:val="0"/>
      <w:marRight w:val="0"/>
      <w:marTop w:val="0"/>
      <w:marBottom w:val="0"/>
      <w:divBdr>
        <w:top w:val="none" w:sz="0" w:space="0" w:color="auto"/>
        <w:left w:val="none" w:sz="0" w:space="0" w:color="auto"/>
        <w:bottom w:val="none" w:sz="0" w:space="0" w:color="auto"/>
        <w:right w:val="none" w:sz="0" w:space="0" w:color="auto"/>
      </w:divBdr>
      <w:divsChild>
        <w:div w:id="1023751822">
          <w:marLeft w:val="0"/>
          <w:marRight w:val="0"/>
          <w:marTop w:val="0"/>
          <w:marBottom w:val="0"/>
          <w:divBdr>
            <w:top w:val="none" w:sz="0" w:space="0" w:color="auto"/>
            <w:left w:val="none" w:sz="0" w:space="0" w:color="auto"/>
            <w:bottom w:val="none" w:sz="0" w:space="0" w:color="auto"/>
            <w:right w:val="none" w:sz="0" w:space="0" w:color="auto"/>
          </w:divBdr>
          <w:divsChild>
            <w:div w:id="15080374">
              <w:marLeft w:val="0"/>
              <w:marRight w:val="0"/>
              <w:marTop w:val="0"/>
              <w:marBottom w:val="0"/>
              <w:divBdr>
                <w:top w:val="none" w:sz="0" w:space="0" w:color="auto"/>
                <w:left w:val="none" w:sz="0" w:space="0" w:color="auto"/>
                <w:bottom w:val="none" w:sz="0" w:space="0" w:color="auto"/>
                <w:right w:val="none" w:sz="0" w:space="0" w:color="auto"/>
              </w:divBdr>
            </w:div>
            <w:div w:id="51778301">
              <w:marLeft w:val="0"/>
              <w:marRight w:val="0"/>
              <w:marTop w:val="0"/>
              <w:marBottom w:val="0"/>
              <w:divBdr>
                <w:top w:val="none" w:sz="0" w:space="0" w:color="auto"/>
                <w:left w:val="none" w:sz="0" w:space="0" w:color="auto"/>
                <w:bottom w:val="none" w:sz="0" w:space="0" w:color="auto"/>
                <w:right w:val="none" w:sz="0" w:space="0" w:color="auto"/>
              </w:divBdr>
            </w:div>
            <w:div w:id="56902986">
              <w:marLeft w:val="0"/>
              <w:marRight w:val="0"/>
              <w:marTop w:val="0"/>
              <w:marBottom w:val="0"/>
              <w:divBdr>
                <w:top w:val="none" w:sz="0" w:space="0" w:color="auto"/>
                <w:left w:val="none" w:sz="0" w:space="0" w:color="auto"/>
                <w:bottom w:val="none" w:sz="0" w:space="0" w:color="auto"/>
                <w:right w:val="none" w:sz="0" w:space="0" w:color="auto"/>
              </w:divBdr>
            </w:div>
            <w:div w:id="154880540">
              <w:marLeft w:val="0"/>
              <w:marRight w:val="0"/>
              <w:marTop w:val="0"/>
              <w:marBottom w:val="0"/>
              <w:divBdr>
                <w:top w:val="none" w:sz="0" w:space="0" w:color="auto"/>
                <w:left w:val="none" w:sz="0" w:space="0" w:color="auto"/>
                <w:bottom w:val="none" w:sz="0" w:space="0" w:color="auto"/>
                <w:right w:val="none" w:sz="0" w:space="0" w:color="auto"/>
              </w:divBdr>
            </w:div>
            <w:div w:id="291986436">
              <w:marLeft w:val="0"/>
              <w:marRight w:val="0"/>
              <w:marTop w:val="0"/>
              <w:marBottom w:val="0"/>
              <w:divBdr>
                <w:top w:val="none" w:sz="0" w:space="0" w:color="auto"/>
                <w:left w:val="none" w:sz="0" w:space="0" w:color="auto"/>
                <w:bottom w:val="none" w:sz="0" w:space="0" w:color="auto"/>
                <w:right w:val="none" w:sz="0" w:space="0" w:color="auto"/>
              </w:divBdr>
            </w:div>
            <w:div w:id="315184067">
              <w:marLeft w:val="0"/>
              <w:marRight w:val="0"/>
              <w:marTop w:val="0"/>
              <w:marBottom w:val="0"/>
              <w:divBdr>
                <w:top w:val="none" w:sz="0" w:space="0" w:color="auto"/>
                <w:left w:val="none" w:sz="0" w:space="0" w:color="auto"/>
                <w:bottom w:val="none" w:sz="0" w:space="0" w:color="auto"/>
                <w:right w:val="none" w:sz="0" w:space="0" w:color="auto"/>
              </w:divBdr>
            </w:div>
            <w:div w:id="356583680">
              <w:marLeft w:val="0"/>
              <w:marRight w:val="0"/>
              <w:marTop w:val="0"/>
              <w:marBottom w:val="0"/>
              <w:divBdr>
                <w:top w:val="none" w:sz="0" w:space="0" w:color="auto"/>
                <w:left w:val="none" w:sz="0" w:space="0" w:color="auto"/>
                <w:bottom w:val="none" w:sz="0" w:space="0" w:color="auto"/>
                <w:right w:val="none" w:sz="0" w:space="0" w:color="auto"/>
              </w:divBdr>
            </w:div>
            <w:div w:id="389040922">
              <w:marLeft w:val="0"/>
              <w:marRight w:val="0"/>
              <w:marTop w:val="0"/>
              <w:marBottom w:val="0"/>
              <w:divBdr>
                <w:top w:val="none" w:sz="0" w:space="0" w:color="auto"/>
                <w:left w:val="none" w:sz="0" w:space="0" w:color="auto"/>
                <w:bottom w:val="none" w:sz="0" w:space="0" w:color="auto"/>
                <w:right w:val="none" w:sz="0" w:space="0" w:color="auto"/>
              </w:divBdr>
            </w:div>
            <w:div w:id="488444886">
              <w:marLeft w:val="0"/>
              <w:marRight w:val="0"/>
              <w:marTop w:val="0"/>
              <w:marBottom w:val="0"/>
              <w:divBdr>
                <w:top w:val="none" w:sz="0" w:space="0" w:color="auto"/>
                <w:left w:val="none" w:sz="0" w:space="0" w:color="auto"/>
                <w:bottom w:val="none" w:sz="0" w:space="0" w:color="auto"/>
                <w:right w:val="none" w:sz="0" w:space="0" w:color="auto"/>
              </w:divBdr>
            </w:div>
            <w:div w:id="573004308">
              <w:marLeft w:val="0"/>
              <w:marRight w:val="0"/>
              <w:marTop w:val="0"/>
              <w:marBottom w:val="0"/>
              <w:divBdr>
                <w:top w:val="none" w:sz="0" w:space="0" w:color="auto"/>
                <w:left w:val="none" w:sz="0" w:space="0" w:color="auto"/>
                <w:bottom w:val="none" w:sz="0" w:space="0" w:color="auto"/>
                <w:right w:val="none" w:sz="0" w:space="0" w:color="auto"/>
              </w:divBdr>
            </w:div>
            <w:div w:id="670105921">
              <w:marLeft w:val="0"/>
              <w:marRight w:val="0"/>
              <w:marTop w:val="0"/>
              <w:marBottom w:val="0"/>
              <w:divBdr>
                <w:top w:val="none" w:sz="0" w:space="0" w:color="auto"/>
                <w:left w:val="none" w:sz="0" w:space="0" w:color="auto"/>
                <w:bottom w:val="none" w:sz="0" w:space="0" w:color="auto"/>
                <w:right w:val="none" w:sz="0" w:space="0" w:color="auto"/>
              </w:divBdr>
            </w:div>
            <w:div w:id="695619666">
              <w:marLeft w:val="0"/>
              <w:marRight w:val="0"/>
              <w:marTop w:val="0"/>
              <w:marBottom w:val="0"/>
              <w:divBdr>
                <w:top w:val="none" w:sz="0" w:space="0" w:color="auto"/>
                <w:left w:val="none" w:sz="0" w:space="0" w:color="auto"/>
                <w:bottom w:val="none" w:sz="0" w:space="0" w:color="auto"/>
                <w:right w:val="none" w:sz="0" w:space="0" w:color="auto"/>
              </w:divBdr>
            </w:div>
            <w:div w:id="703403601">
              <w:marLeft w:val="0"/>
              <w:marRight w:val="0"/>
              <w:marTop w:val="0"/>
              <w:marBottom w:val="0"/>
              <w:divBdr>
                <w:top w:val="none" w:sz="0" w:space="0" w:color="auto"/>
                <w:left w:val="none" w:sz="0" w:space="0" w:color="auto"/>
                <w:bottom w:val="none" w:sz="0" w:space="0" w:color="auto"/>
                <w:right w:val="none" w:sz="0" w:space="0" w:color="auto"/>
              </w:divBdr>
            </w:div>
            <w:div w:id="749425289">
              <w:marLeft w:val="0"/>
              <w:marRight w:val="0"/>
              <w:marTop w:val="0"/>
              <w:marBottom w:val="0"/>
              <w:divBdr>
                <w:top w:val="none" w:sz="0" w:space="0" w:color="auto"/>
                <w:left w:val="none" w:sz="0" w:space="0" w:color="auto"/>
                <w:bottom w:val="none" w:sz="0" w:space="0" w:color="auto"/>
                <w:right w:val="none" w:sz="0" w:space="0" w:color="auto"/>
              </w:divBdr>
            </w:div>
            <w:div w:id="810515998">
              <w:marLeft w:val="0"/>
              <w:marRight w:val="0"/>
              <w:marTop w:val="0"/>
              <w:marBottom w:val="0"/>
              <w:divBdr>
                <w:top w:val="none" w:sz="0" w:space="0" w:color="auto"/>
                <w:left w:val="none" w:sz="0" w:space="0" w:color="auto"/>
                <w:bottom w:val="none" w:sz="0" w:space="0" w:color="auto"/>
                <w:right w:val="none" w:sz="0" w:space="0" w:color="auto"/>
              </w:divBdr>
            </w:div>
            <w:div w:id="1002317986">
              <w:marLeft w:val="0"/>
              <w:marRight w:val="0"/>
              <w:marTop w:val="0"/>
              <w:marBottom w:val="0"/>
              <w:divBdr>
                <w:top w:val="none" w:sz="0" w:space="0" w:color="auto"/>
                <w:left w:val="none" w:sz="0" w:space="0" w:color="auto"/>
                <w:bottom w:val="none" w:sz="0" w:space="0" w:color="auto"/>
                <w:right w:val="none" w:sz="0" w:space="0" w:color="auto"/>
              </w:divBdr>
            </w:div>
            <w:div w:id="1089039618">
              <w:marLeft w:val="0"/>
              <w:marRight w:val="0"/>
              <w:marTop w:val="0"/>
              <w:marBottom w:val="0"/>
              <w:divBdr>
                <w:top w:val="none" w:sz="0" w:space="0" w:color="auto"/>
                <w:left w:val="none" w:sz="0" w:space="0" w:color="auto"/>
                <w:bottom w:val="none" w:sz="0" w:space="0" w:color="auto"/>
                <w:right w:val="none" w:sz="0" w:space="0" w:color="auto"/>
              </w:divBdr>
            </w:div>
            <w:div w:id="1110705071">
              <w:marLeft w:val="0"/>
              <w:marRight w:val="0"/>
              <w:marTop w:val="0"/>
              <w:marBottom w:val="0"/>
              <w:divBdr>
                <w:top w:val="none" w:sz="0" w:space="0" w:color="auto"/>
                <w:left w:val="none" w:sz="0" w:space="0" w:color="auto"/>
                <w:bottom w:val="none" w:sz="0" w:space="0" w:color="auto"/>
                <w:right w:val="none" w:sz="0" w:space="0" w:color="auto"/>
              </w:divBdr>
            </w:div>
            <w:div w:id="1122651500">
              <w:marLeft w:val="0"/>
              <w:marRight w:val="0"/>
              <w:marTop w:val="0"/>
              <w:marBottom w:val="0"/>
              <w:divBdr>
                <w:top w:val="none" w:sz="0" w:space="0" w:color="auto"/>
                <w:left w:val="none" w:sz="0" w:space="0" w:color="auto"/>
                <w:bottom w:val="none" w:sz="0" w:space="0" w:color="auto"/>
                <w:right w:val="none" w:sz="0" w:space="0" w:color="auto"/>
              </w:divBdr>
            </w:div>
            <w:div w:id="1293364010">
              <w:marLeft w:val="0"/>
              <w:marRight w:val="0"/>
              <w:marTop w:val="0"/>
              <w:marBottom w:val="0"/>
              <w:divBdr>
                <w:top w:val="none" w:sz="0" w:space="0" w:color="auto"/>
                <w:left w:val="none" w:sz="0" w:space="0" w:color="auto"/>
                <w:bottom w:val="none" w:sz="0" w:space="0" w:color="auto"/>
                <w:right w:val="none" w:sz="0" w:space="0" w:color="auto"/>
              </w:divBdr>
            </w:div>
            <w:div w:id="1390878584">
              <w:marLeft w:val="0"/>
              <w:marRight w:val="0"/>
              <w:marTop w:val="0"/>
              <w:marBottom w:val="0"/>
              <w:divBdr>
                <w:top w:val="none" w:sz="0" w:space="0" w:color="auto"/>
                <w:left w:val="none" w:sz="0" w:space="0" w:color="auto"/>
                <w:bottom w:val="none" w:sz="0" w:space="0" w:color="auto"/>
                <w:right w:val="none" w:sz="0" w:space="0" w:color="auto"/>
              </w:divBdr>
            </w:div>
            <w:div w:id="1525443082">
              <w:marLeft w:val="0"/>
              <w:marRight w:val="0"/>
              <w:marTop w:val="0"/>
              <w:marBottom w:val="0"/>
              <w:divBdr>
                <w:top w:val="none" w:sz="0" w:space="0" w:color="auto"/>
                <w:left w:val="none" w:sz="0" w:space="0" w:color="auto"/>
                <w:bottom w:val="none" w:sz="0" w:space="0" w:color="auto"/>
                <w:right w:val="none" w:sz="0" w:space="0" w:color="auto"/>
              </w:divBdr>
            </w:div>
            <w:div w:id="1603683090">
              <w:marLeft w:val="0"/>
              <w:marRight w:val="0"/>
              <w:marTop w:val="0"/>
              <w:marBottom w:val="0"/>
              <w:divBdr>
                <w:top w:val="none" w:sz="0" w:space="0" w:color="auto"/>
                <w:left w:val="none" w:sz="0" w:space="0" w:color="auto"/>
                <w:bottom w:val="none" w:sz="0" w:space="0" w:color="auto"/>
                <w:right w:val="none" w:sz="0" w:space="0" w:color="auto"/>
              </w:divBdr>
            </w:div>
            <w:div w:id="1920014685">
              <w:marLeft w:val="0"/>
              <w:marRight w:val="0"/>
              <w:marTop w:val="0"/>
              <w:marBottom w:val="0"/>
              <w:divBdr>
                <w:top w:val="none" w:sz="0" w:space="0" w:color="auto"/>
                <w:left w:val="none" w:sz="0" w:space="0" w:color="auto"/>
                <w:bottom w:val="none" w:sz="0" w:space="0" w:color="auto"/>
                <w:right w:val="none" w:sz="0" w:space="0" w:color="auto"/>
              </w:divBdr>
            </w:div>
            <w:div w:id="1936594236">
              <w:marLeft w:val="0"/>
              <w:marRight w:val="0"/>
              <w:marTop w:val="0"/>
              <w:marBottom w:val="0"/>
              <w:divBdr>
                <w:top w:val="none" w:sz="0" w:space="0" w:color="auto"/>
                <w:left w:val="none" w:sz="0" w:space="0" w:color="auto"/>
                <w:bottom w:val="none" w:sz="0" w:space="0" w:color="auto"/>
                <w:right w:val="none" w:sz="0" w:space="0" w:color="auto"/>
              </w:divBdr>
            </w:div>
            <w:div w:id="21467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3443">
      <w:bodyDiv w:val="1"/>
      <w:marLeft w:val="0"/>
      <w:marRight w:val="0"/>
      <w:marTop w:val="0"/>
      <w:marBottom w:val="0"/>
      <w:divBdr>
        <w:top w:val="none" w:sz="0" w:space="0" w:color="auto"/>
        <w:left w:val="none" w:sz="0" w:space="0" w:color="auto"/>
        <w:bottom w:val="none" w:sz="0" w:space="0" w:color="auto"/>
        <w:right w:val="none" w:sz="0" w:space="0" w:color="auto"/>
      </w:divBdr>
    </w:div>
    <w:div w:id="107438194">
      <w:bodyDiv w:val="1"/>
      <w:marLeft w:val="0"/>
      <w:marRight w:val="0"/>
      <w:marTop w:val="0"/>
      <w:marBottom w:val="0"/>
      <w:divBdr>
        <w:top w:val="none" w:sz="0" w:space="0" w:color="auto"/>
        <w:left w:val="none" w:sz="0" w:space="0" w:color="auto"/>
        <w:bottom w:val="none" w:sz="0" w:space="0" w:color="auto"/>
        <w:right w:val="none" w:sz="0" w:space="0" w:color="auto"/>
      </w:divBdr>
      <w:divsChild>
        <w:div w:id="1419666903">
          <w:marLeft w:val="0"/>
          <w:marRight w:val="0"/>
          <w:marTop w:val="0"/>
          <w:marBottom w:val="0"/>
          <w:divBdr>
            <w:top w:val="none" w:sz="0" w:space="0" w:color="auto"/>
            <w:left w:val="none" w:sz="0" w:space="0" w:color="auto"/>
            <w:bottom w:val="none" w:sz="0" w:space="0" w:color="auto"/>
            <w:right w:val="none" w:sz="0" w:space="0" w:color="auto"/>
          </w:divBdr>
        </w:div>
        <w:div w:id="1638219385">
          <w:marLeft w:val="0"/>
          <w:marRight w:val="0"/>
          <w:marTop w:val="0"/>
          <w:marBottom w:val="0"/>
          <w:divBdr>
            <w:top w:val="none" w:sz="0" w:space="0" w:color="auto"/>
            <w:left w:val="none" w:sz="0" w:space="0" w:color="auto"/>
            <w:bottom w:val="none" w:sz="0" w:space="0" w:color="auto"/>
            <w:right w:val="none" w:sz="0" w:space="0" w:color="auto"/>
          </w:divBdr>
        </w:div>
      </w:divsChild>
    </w:div>
    <w:div w:id="114907683">
      <w:bodyDiv w:val="1"/>
      <w:marLeft w:val="0"/>
      <w:marRight w:val="0"/>
      <w:marTop w:val="0"/>
      <w:marBottom w:val="0"/>
      <w:divBdr>
        <w:top w:val="none" w:sz="0" w:space="0" w:color="auto"/>
        <w:left w:val="none" w:sz="0" w:space="0" w:color="auto"/>
        <w:bottom w:val="none" w:sz="0" w:space="0" w:color="auto"/>
        <w:right w:val="none" w:sz="0" w:space="0" w:color="auto"/>
      </w:divBdr>
      <w:divsChild>
        <w:div w:id="236021611">
          <w:marLeft w:val="0"/>
          <w:marRight w:val="0"/>
          <w:marTop w:val="0"/>
          <w:marBottom w:val="0"/>
          <w:divBdr>
            <w:top w:val="none" w:sz="0" w:space="0" w:color="auto"/>
            <w:left w:val="none" w:sz="0" w:space="0" w:color="auto"/>
            <w:bottom w:val="none" w:sz="0" w:space="0" w:color="auto"/>
            <w:right w:val="none" w:sz="0" w:space="0" w:color="auto"/>
          </w:divBdr>
        </w:div>
        <w:div w:id="444808366">
          <w:marLeft w:val="0"/>
          <w:marRight w:val="0"/>
          <w:marTop w:val="0"/>
          <w:marBottom w:val="0"/>
          <w:divBdr>
            <w:top w:val="none" w:sz="0" w:space="0" w:color="auto"/>
            <w:left w:val="none" w:sz="0" w:space="0" w:color="auto"/>
            <w:bottom w:val="none" w:sz="0" w:space="0" w:color="auto"/>
            <w:right w:val="none" w:sz="0" w:space="0" w:color="auto"/>
          </w:divBdr>
        </w:div>
      </w:divsChild>
    </w:div>
    <w:div w:id="126512073">
      <w:bodyDiv w:val="1"/>
      <w:marLeft w:val="0"/>
      <w:marRight w:val="0"/>
      <w:marTop w:val="0"/>
      <w:marBottom w:val="0"/>
      <w:divBdr>
        <w:top w:val="none" w:sz="0" w:space="0" w:color="auto"/>
        <w:left w:val="none" w:sz="0" w:space="0" w:color="auto"/>
        <w:bottom w:val="none" w:sz="0" w:space="0" w:color="auto"/>
        <w:right w:val="none" w:sz="0" w:space="0" w:color="auto"/>
      </w:divBdr>
    </w:div>
    <w:div w:id="137848215">
      <w:bodyDiv w:val="1"/>
      <w:marLeft w:val="0"/>
      <w:marRight w:val="0"/>
      <w:marTop w:val="0"/>
      <w:marBottom w:val="0"/>
      <w:divBdr>
        <w:top w:val="none" w:sz="0" w:space="0" w:color="auto"/>
        <w:left w:val="none" w:sz="0" w:space="0" w:color="auto"/>
        <w:bottom w:val="none" w:sz="0" w:space="0" w:color="auto"/>
        <w:right w:val="none" w:sz="0" w:space="0" w:color="auto"/>
      </w:divBdr>
    </w:div>
    <w:div w:id="152182603">
      <w:bodyDiv w:val="1"/>
      <w:marLeft w:val="0"/>
      <w:marRight w:val="0"/>
      <w:marTop w:val="0"/>
      <w:marBottom w:val="0"/>
      <w:divBdr>
        <w:top w:val="none" w:sz="0" w:space="0" w:color="auto"/>
        <w:left w:val="none" w:sz="0" w:space="0" w:color="auto"/>
        <w:bottom w:val="none" w:sz="0" w:space="0" w:color="auto"/>
        <w:right w:val="none" w:sz="0" w:space="0" w:color="auto"/>
      </w:divBdr>
      <w:divsChild>
        <w:div w:id="68312322">
          <w:marLeft w:val="0"/>
          <w:marRight w:val="0"/>
          <w:marTop w:val="0"/>
          <w:marBottom w:val="0"/>
          <w:divBdr>
            <w:top w:val="none" w:sz="0" w:space="0" w:color="auto"/>
            <w:left w:val="none" w:sz="0" w:space="0" w:color="auto"/>
            <w:bottom w:val="none" w:sz="0" w:space="0" w:color="auto"/>
            <w:right w:val="none" w:sz="0" w:space="0" w:color="auto"/>
          </w:divBdr>
        </w:div>
        <w:div w:id="77749674">
          <w:marLeft w:val="0"/>
          <w:marRight w:val="0"/>
          <w:marTop w:val="0"/>
          <w:marBottom w:val="0"/>
          <w:divBdr>
            <w:top w:val="none" w:sz="0" w:space="0" w:color="auto"/>
            <w:left w:val="none" w:sz="0" w:space="0" w:color="auto"/>
            <w:bottom w:val="none" w:sz="0" w:space="0" w:color="auto"/>
            <w:right w:val="none" w:sz="0" w:space="0" w:color="auto"/>
          </w:divBdr>
        </w:div>
        <w:div w:id="145708411">
          <w:marLeft w:val="0"/>
          <w:marRight w:val="0"/>
          <w:marTop w:val="0"/>
          <w:marBottom w:val="0"/>
          <w:divBdr>
            <w:top w:val="none" w:sz="0" w:space="0" w:color="auto"/>
            <w:left w:val="none" w:sz="0" w:space="0" w:color="auto"/>
            <w:bottom w:val="none" w:sz="0" w:space="0" w:color="auto"/>
            <w:right w:val="none" w:sz="0" w:space="0" w:color="auto"/>
          </w:divBdr>
        </w:div>
        <w:div w:id="769008350">
          <w:marLeft w:val="0"/>
          <w:marRight w:val="0"/>
          <w:marTop w:val="0"/>
          <w:marBottom w:val="0"/>
          <w:divBdr>
            <w:top w:val="none" w:sz="0" w:space="0" w:color="auto"/>
            <w:left w:val="none" w:sz="0" w:space="0" w:color="auto"/>
            <w:bottom w:val="none" w:sz="0" w:space="0" w:color="auto"/>
            <w:right w:val="none" w:sz="0" w:space="0" w:color="auto"/>
          </w:divBdr>
        </w:div>
        <w:div w:id="785344292">
          <w:marLeft w:val="0"/>
          <w:marRight w:val="0"/>
          <w:marTop w:val="0"/>
          <w:marBottom w:val="0"/>
          <w:divBdr>
            <w:top w:val="none" w:sz="0" w:space="0" w:color="auto"/>
            <w:left w:val="none" w:sz="0" w:space="0" w:color="auto"/>
            <w:bottom w:val="none" w:sz="0" w:space="0" w:color="auto"/>
            <w:right w:val="none" w:sz="0" w:space="0" w:color="auto"/>
          </w:divBdr>
        </w:div>
        <w:div w:id="859585443">
          <w:marLeft w:val="0"/>
          <w:marRight w:val="0"/>
          <w:marTop w:val="0"/>
          <w:marBottom w:val="0"/>
          <w:divBdr>
            <w:top w:val="none" w:sz="0" w:space="0" w:color="auto"/>
            <w:left w:val="none" w:sz="0" w:space="0" w:color="auto"/>
            <w:bottom w:val="none" w:sz="0" w:space="0" w:color="auto"/>
            <w:right w:val="none" w:sz="0" w:space="0" w:color="auto"/>
          </w:divBdr>
        </w:div>
        <w:div w:id="889850269">
          <w:marLeft w:val="0"/>
          <w:marRight w:val="0"/>
          <w:marTop w:val="0"/>
          <w:marBottom w:val="0"/>
          <w:divBdr>
            <w:top w:val="none" w:sz="0" w:space="0" w:color="auto"/>
            <w:left w:val="none" w:sz="0" w:space="0" w:color="auto"/>
            <w:bottom w:val="none" w:sz="0" w:space="0" w:color="auto"/>
            <w:right w:val="none" w:sz="0" w:space="0" w:color="auto"/>
          </w:divBdr>
        </w:div>
        <w:div w:id="1058826002">
          <w:marLeft w:val="0"/>
          <w:marRight w:val="0"/>
          <w:marTop w:val="0"/>
          <w:marBottom w:val="0"/>
          <w:divBdr>
            <w:top w:val="none" w:sz="0" w:space="0" w:color="auto"/>
            <w:left w:val="none" w:sz="0" w:space="0" w:color="auto"/>
            <w:bottom w:val="none" w:sz="0" w:space="0" w:color="auto"/>
            <w:right w:val="none" w:sz="0" w:space="0" w:color="auto"/>
          </w:divBdr>
        </w:div>
        <w:div w:id="1067528759">
          <w:marLeft w:val="0"/>
          <w:marRight w:val="0"/>
          <w:marTop w:val="0"/>
          <w:marBottom w:val="0"/>
          <w:divBdr>
            <w:top w:val="none" w:sz="0" w:space="0" w:color="auto"/>
            <w:left w:val="none" w:sz="0" w:space="0" w:color="auto"/>
            <w:bottom w:val="none" w:sz="0" w:space="0" w:color="auto"/>
            <w:right w:val="none" w:sz="0" w:space="0" w:color="auto"/>
          </w:divBdr>
        </w:div>
        <w:div w:id="1553233489">
          <w:marLeft w:val="0"/>
          <w:marRight w:val="0"/>
          <w:marTop w:val="0"/>
          <w:marBottom w:val="0"/>
          <w:divBdr>
            <w:top w:val="none" w:sz="0" w:space="0" w:color="auto"/>
            <w:left w:val="none" w:sz="0" w:space="0" w:color="auto"/>
            <w:bottom w:val="none" w:sz="0" w:space="0" w:color="auto"/>
            <w:right w:val="none" w:sz="0" w:space="0" w:color="auto"/>
          </w:divBdr>
        </w:div>
        <w:div w:id="1719813513">
          <w:marLeft w:val="0"/>
          <w:marRight w:val="0"/>
          <w:marTop w:val="0"/>
          <w:marBottom w:val="0"/>
          <w:divBdr>
            <w:top w:val="none" w:sz="0" w:space="0" w:color="auto"/>
            <w:left w:val="none" w:sz="0" w:space="0" w:color="auto"/>
            <w:bottom w:val="none" w:sz="0" w:space="0" w:color="auto"/>
            <w:right w:val="none" w:sz="0" w:space="0" w:color="auto"/>
          </w:divBdr>
        </w:div>
        <w:div w:id="2021734973">
          <w:marLeft w:val="0"/>
          <w:marRight w:val="0"/>
          <w:marTop w:val="0"/>
          <w:marBottom w:val="0"/>
          <w:divBdr>
            <w:top w:val="none" w:sz="0" w:space="0" w:color="auto"/>
            <w:left w:val="none" w:sz="0" w:space="0" w:color="auto"/>
            <w:bottom w:val="none" w:sz="0" w:space="0" w:color="auto"/>
            <w:right w:val="none" w:sz="0" w:space="0" w:color="auto"/>
          </w:divBdr>
        </w:div>
        <w:div w:id="2043968851">
          <w:marLeft w:val="0"/>
          <w:marRight w:val="0"/>
          <w:marTop w:val="0"/>
          <w:marBottom w:val="0"/>
          <w:divBdr>
            <w:top w:val="none" w:sz="0" w:space="0" w:color="auto"/>
            <w:left w:val="none" w:sz="0" w:space="0" w:color="auto"/>
            <w:bottom w:val="none" w:sz="0" w:space="0" w:color="auto"/>
            <w:right w:val="none" w:sz="0" w:space="0" w:color="auto"/>
          </w:divBdr>
        </w:div>
      </w:divsChild>
    </w:div>
    <w:div w:id="153422508">
      <w:bodyDiv w:val="1"/>
      <w:marLeft w:val="0"/>
      <w:marRight w:val="0"/>
      <w:marTop w:val="0"/>
      <w:marBottom w:val="0"/>
      <w:divBdr>
        <w:top w:val="none" w:sz="0" w:space="0" w:color="auto"/>
        <w:left w:val="none" w:sz="0" w:space="0" w:color="auto"/>
        <w:bottom w:val="none" w:sz="0" w:space="0" w:color="auto"/>
        <w:right w:val="none" w:sz="0" w:space="0" w:color="auto"/>
      </w:divBdr>
      <w:divsChild>
        <w:div w:id="296842998">
          <w:marLeft w:val="0"/>
          <w:marRight w:val="0"/>
          <w:marTop w:val="0"/>
          <w:marBottom w:val="0"/>
          <w:divBdr>
            <w:top w:val="none" w:sz="0" w:space="0" w:color="auto"/>
            <w:left w:val="none" w:sz="0" w:space="0" w:color="auto"/>
            <w:bottom w:val="none" w:sz="0" w:space="0" w:color="auto"/>
            <w:right w:val="none" w:sz="0" w:space="0" w:color="auto"/>
          </w:divBdr>
        </w:div>
        <w:div w:id="959339409">
          <w:marLeft w:val="0"/>
          <w:marRight w:val="0"/>
          <w:marTop w:val="0"/>
          <w:marBottom w:val="0"/>
          <w:divBdr>
            <w:top w:val="none" w:sz="0" w:space="0" w:color="auto"/>
            <w:left w:val="none" w:sz="0" w:space="0" w:color="auto"/>
            <w:bottom w:val="none" w:sz="0" w:space="0" w:color="auto"/>
            <w:right w:val="none" w:sz="0" w:space="0" w:color="auto"/>
          </w:divBdr>
        </w:div>
        <w:div w:id="983772454">
          <w:marLeft w:val="0"/>
          <w:marRight w:val="0"/>
          <w:marTop w:val="0"/>
          <w:marBottom w:val="0"/>
          <w:divBdr>
            <w:top w:val="none" w:sz="0" w:space="0" w:color="auto"/>
            <w:left w:val="none" w:sz="0" w:space="0" w:color="auto"/>
            <w:bottom w:val="none" w:sz="0" w:space="0" w:color="auto"/>
            <w:right w:val="none" w:sz="0" w:space="0" w:color="auto"/>
          </w:divBdr>
        </w:div>
        <w:div w:id="1183088357">
          <w:marLeft w:val="0"/>
          <w:marRight w:val="0"/>
          <w:marTop w:val="0"/>
          <w:marBottom w:val="0"/>
          <w:divBdr>
            <w:top w:val="none" w:sz="0" w:space="0" w:color="auto"/>
            <w:left w:val="none" w:sz="0" w:space="0" w:color="auto"/>
            <w:bottom w:val="none" w:sz="0" w:space="0" w:color="auto"/>
            <w:right w:val="none" w:sz="0" w:space="0" w:color="auto"/>
          </w:divBdr>
        </w:div>
        <w:div w:id="1448963084">
          <w:marLeft w:val="0"/>
          <w:marRight w:val="0"/>
          <w:marTop w:val="0"/>
          <w:marBottom w:val="0"/>
          <w:divBdr>
            <w:top w:val="none" w:sz="0" w:space="0" w:color="auto"/>
            <w:left w:val="none" w:sz="0" w:space="0" w:color="auto"/>
            <w:bottom w:val="none" w:sz="0" w:space="0" w:color="auto"/>
            <w:right w:val="none" w:sz="0" w:space="0" w:color="auto"/>
          </w:divBdr>
        </w:div>
        <w:div w:id="1702785669">
          <w:marLeft w:val="0"/>
          <w:marRight w:val="0"/>
          <w:marTop w:val="0"/>
          <w:marBottom w:val="0"/>
          <w:divBdr>
            <w:top w:val="none" w:sz="0" w:space="0" w:color="auto"/>
            <w:left w:val="none" w:sz="0" w:space="0" w:color="auto"/>
            <w:bottom w:val="none" w:sz="0" w:space="0" w:color="auto"/>
            <w:right w:val="none" w:sz="0" w:space="0" w:color="auto"/>
          </w:divBdr>
        </w:div>
        <w:div w:id="2001226177">
          <w:marLeft w:val="0"/>
          <w:marRight w:val="0"/>
          <w:marTop w:val="0"/>
          <w:marBottom w:val="0"/>
          <w:divBdr>
            <w:top w:val="none" w:sz="0" w:space="0" w:color="auto"/>
            <w:left w:val="none" w:sz="0" w:space="0" w:color="auto"/>
            <w:bottom w:val="none" w:sz="0" w:space="0" w:color="auto"/>
            <w:right w:val="none" w:sz="0" w:space="0" w:color="auto"/>
          </w:divBdr>
        </w:div>
      </w:divsChild>
    </w:div>
    <w:div w:id="154228227">
      <w:bodyDiv w:val="1"/>
      <w:marLeft w:val="0"/>
      <w:marRight w:val="0"/>
      <w:marTop w:val="0"/>
      <w:marBottom w:val="0"/>
      <w:divBdr>
        <w:top w:val="none" w:sz="0" w:space="0" w:color="auto"/>
        <w:left w:val="none" w:sz="0" w:space="0" w:color="auto"/>
        <w:bottom w:val="none" w:sz="0" w:space="0" w:color="auto"/>
        <w:right w:val="none" w:sz="0" w:space="0" w:color="auto"/>
      </w:divBdr>
      <w:divsChild>
        <w:div w:id="256333944">
          <w:marLeft w:val="0"/>
          <w:marRight w:val="0"/>
          <w:marTop w:val="0"/>
          <w:marBottom w:val="0"/>
          <w:divBdr>
            <w:top w:val="none" w:sz="0" w:space="0" w:color="auto"/>
            <w:left w:val="none" w:sz="0" w:space="0" w:color="auto"/>
            <w:bottom w:val="none" w:sz="0" w:space="0" w:color="auto"/>
            <w:right w:val="none" w:sz="0" w:space="0" w:color="auto"/>
          </w:divBdr>
        </w:div>
        <w:div w:id="797188339">
          <w:marLeft w:val="0"/>
          <w:marRight w:val="0"/>
          <w:marTop w:val="0"/>
          <w:marBottom w:val="0"/>
          <w:divBdr>
            <w:top w:val="none" w:sz="0" w:space="0" w:color="auto"/>
            <w:left w:val="none" w:sz="0" w:space="0" w:color="auto"/>
            <w:bottom w:val="none" w:sz="0" w:space="0" w:color="auto"/>
            <w:right w:val="none" w:sz="0" w:space="0" w:color="auto"/>
          </w:divBdr>
        </w:div>
      </w:divsChild>
    </w:div>
    <w:div w:id="167792877">
      <w:bodyDiv w:val="1"/>
      <w:marLeft w:val="0"/>
      <w:marRight w:val="0"/>
      <w:marTop w:val="0"/>
      <w:marBottom w:val="0"/>
      <w:divBdr>
        <w:top w:val="none" w:sz="0" w:space="0" w:color="auto"/>
        <w:left w:val="none" w:sz="0" w:space="0" w:color="auto"/>
        <w:bottom w:val="none" w:sz="0" w:space="0" w:color="auto"/>
        <w:right w:val="none" w:sz="0" w:space="0" w:color="auto"/>
      </w:divBdr>
    </w:div>
    <w:div w:id="168757496">
      <w:bodyDiv w:val="1"/>
      <w:marLeft w:val="0"/>
      <w:marRight w:val="0"/>
      <w:marTop w:val="0"/>
      <w:marBottom w:val="0"/>
      <w:divBdr>
        <w:top w:val="none" w:sz="0" w:space="0" w:color="auto"/>
        <w:left w:val="none" w:sz="0" w:space="0" w:color="auto"/>
        <w:bottom w:val="none" w:sz="0" w:space="0" w:color="auto"/>
        <w:right w:val="none" w:sz="0" w:space="0" w:color="auto"/>
      </w:divBdr>
      <w:divsChild>
        <w:div w:id="639387937">
          <w:marLeft w:val="0"/>
          <w:marRight w:val="0"/>
          <w:marTop w:val="0"/>
          <w:marBottom w:val="0"/>
          <w:divBdr>
            <w:top w:val="none" w:sz="0" w:space="0" w:color="auto"/>
            <w:left w:val="none" w:sz="0" w:space="0" w:color="auto"/>
            <w:bottom w:val="none" w:sz="0" w:space="0" w:color="auto"/>
            <w:right w:val="none" w:sz="0" w:space="0" w:color="auto"/>
          </w:divBdr>
        </w:div>
        <w:div w:id="746683152">
          <w:marLeft w:val="0"/>
          <w:marRight w:val="0"/>
          <w:marTop w:val="0"/>
          <w:marBottom w:val="0"/>
          <w:divBdr>
            <w:top w:val="none" w:sz="0" w:space="0" w:color="auto"/>
            <w:left w:val="none" w:sz="0" w:space="0" w:color="auto"/>
            <w:bottom w:val="none" w:sz="0" w:space="0" w:color="auto"/>
            <w:right w:val="none" w:sz="0" w:space="0" w:color="auto"/>
          </w:divBdr>
        </w:div>
        <w:div w:id="874656919">
          <w:marLeft w:val="0"/>
          <w:marRight w:val="0"/>
          <w:marTop w:val="0"/>
          <w:marBottom w:val="0"/>
          <w:divBdr>
            <w:top w:val="none" w:sz="0" w:space="0" w:color="auto"/>
            <w:left w:val="none" w:sz="0" w:space="0" w:color="auto"/>
            <w:bottom w:val="none" w:sz="0" w:space="0" w:color="auto"/>
            <w:right w:val="none" w:sz="0" w:space="0" w:color="auto"/>
          </w:divBdr>
        </w:div>
      </w:divsChild>
    </w:div>
    <w:div w:id="170684029">
      <w:bodyDiv w:val="1"/>
      <w:marLeft w:val="0"/>
      <w:marRight w:val="0"/>
      <w:marTop w:val="0"/>
      <w:marBottom w:val="0"/>
      <w:divBdr>
        <w:top w:val="none" w:sz="0" w:space="0" w:color="auto"/>
        <w:left w:val="none" w:sz="0" w:space="0" w:color="auto"/>
        <w:bottom w:val="none" w:sz="0" w:space="0" w:color="auto"/>
        <w:right w:val="none" w:sz="0" w:space="0" w:color="auto"/>
      </w:divBdr>
      <w:divsChild>
        <w:div w:id="364716764">
          <w:marLeft w:val="0"/>
          <w:marRight w:val="0"/>
          <w:marTop w:val="0"/>
          <w:marBottom w:val="0"/>
          <w:divBdr>
            <w:top w:val="none" w:sz="0" w:space="0" w:color="auto"/>
            <w:left w:val="none" w:sz="0" w:space="0" w:color="auto"/>
            <w:bottom w:val="none" w:sz="0" w:space="0" w:color="auto"/>
            <w:right w:val="none" w:sz="0" w:space="0" w:color="auto"/>
          </w:divBdr>
        </w:div>
        <w:div w:id="788813623">
          <w:marLeft w:val="0"/>
          <w:marRight w:val="0"/>
          <w:marTop w:val="0"/>
          <w:marBottom w:val="0"/>
          <w:divBdr>
            <w:top w:val="none" w:sz="0" w:space="0" w:color="auto"/>
            <w:left w:val="none" w:sz="0" w:space="0" w:color="auto"/>
            <w:bottom w:val="none" w:sz="0" w:space="0" w:color="auto"/>
            <w:right w:val="none" w:sz="0" w:space="0" w:color="auto"/>
          </w:divBdr>
        </w:div>
        <w:div w:id="942304371">
          <w:marLeft w:val="0"/>
          <w:marRight w:val="0"/>
          <w:marTop w:val="0"/>
          <w:marBottom w:val="0"/>
          <w:divBdr>
            <w:top w:val="none" w:sz="0" w:space="0" w:color="auto"/>
            <w:left w:val="none" w:sz="0" w:space="0" w:color="auto"/>
            <w:bottom w:val="none" w:sz="0" w:space="0" w:color="auto"/>
            <w:right w:val="none" w:sz="0" w:space="0" w:color="auto"/>
          </w:divBdr>
        </w:div>
        <w:div w:id="1805614430">
          <w:marLeft w:val="0"/>
          <w:marRight w:val="0"/>
          <w:marTop w:val="0"/>
          <w:marBottom w:val="0"/>
          <w:divBdr>
            <w:top w:val="none" w:sz="0" w:space="0" w:color="auto"/>
            <w:left w:val="none" w:sz="0" w:space="0" w:color="auto"/>
            <w:bottom w:val="none" w:sz="0" w:space="0" w:color="auto"/>
            <w:right w:val="none" w:sz="0" w:space="0" w:color="auto"/>
          </w:divBdr>
        </w:div>
      </w:divsChild>
    </w:div>
    <w:div w:id="175005902">
      <w:bodyDiv w:val="1"/>
      <w:marLeft w:val="0"/>
      <w:marRight w:val="0"/>
      <w:marTop w:val="0"/>
      <w:marBottom w:val="0"/>
      <w:divBdr>
        <w:top w:val="none" w:sz="0" w:space="0" w:color="auto"/>
        <w:left w:val="none" w:sz="0" w:space="0" w:color="auto"/>
        <w:bottom w:val="none" w:sz="0" w:space="0" w:color="auto"/>
        <w:right w:val="none" w:sz="0" w:space="0" w:color="auto"/>
      </w:divBdr>
      <w:divsChild>
        <w:div w:id="786895567">
          <w:marLeft w:val="0"/>
          <w:marRight w:val="0"/>
          <w:marTop w:val="0"/>
          <w:marBottom w:val="0"/>
          <w:divBdr>
            <w:top w:val="none" w:sz="0" w:space="0" w:color="auto"/>
            <w:left w:val="none" w:sz="0" w:space="0" w:color="auto"/>
            <w:bottom w:val="none" w:sz="0" w:space="0" w:color="auto"/>
            <w:right w:val="none" w:sz="0" w:space="0" w:color="auto"/>
          </w:divBdr>
          <w:divsChild>
            <w:div w:id="1504971508">
              <w:marLeft w:val="0"/>
              <w:marRight w:val="0"/>
              <w:marTop w:val="0"/>
              <w:marBottom w:val="0"/>
              <w:divBdr>
                <w:top w:val="none" w:sz="0" w:space="0" w:color="auto"/>
                <w:left w:val="none" w:sz="0" w:space="0" w:color="auto"/>
                <w:bottom w:val="none" w:sz="0" w:space="0" w:color="auto"/>
                <w:right w:val="none" w:sz="0" w:space="0" w:color="auto"/>
              </w:divBdr>
              <w:divsChild>
                <w:div w:id="1324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5830">
      <w:bodyDiv w:val="1"/>
      <w:marLeft w:val="0"/>
      <w:marRight w:val="0"/>
      <w:marTop w:val="0"/>
      <w:marBottom w:val="0"/>
      <w:divBdr>
        <w:top w:val="none" w:sz="0" w:space="0" w:color="auto"/>
        <w:left w:val="none" w:sz="0" w:space="0" w:color="auto"/>
        <w:bottom w:val="none" w:sz="0" w:space="0" w:color="auto"/>
        <w:right w:val="none" w:sz="0" w:space="0" w:color="auto"/>
      </w:divBdr>
      <w:divsChild>
        <w:div w:id="302008216">
          <w:marLeft w:val="0"/>
          <w:marRight w:val="0"/>
          <w:marTop w:val="0"/>
          <w:marBottom w:val="0"/>
          <w:divBdr>
            <w:top w:val="none" w:sz="0" w:space="0" w:color="auto"/>
            <w:left w:val="none" w:sz="0" w:space="0" w:color="auto"/>
            <w:bottom w:val="none" w:sz="0" w:space="0" w:color="auto"/>
            <w:right w:val="none" w:sz="0" w:space="0" w:color="auto"/>
          </w:divBdr>
        </w:div>
        <w:div w:id="573587274">
          <w:marLeft w:val="0"/>
          <w:marRight w:val="0"/>
          <w:marTop w:val="0"/>
          <w:marBottom w:val="0"/>
          <w:divBdr>
            <w:top w:val="none" w:sz="0" w:space="0" w:color="auto"/>
            <w:left w:val="none" w:sz="0" w:space="0" w:color="auto"/>
            <w:bottom w:val="none" w:sz="0" w:space="0" w:color="auto"/>
            <w:right w:val="none" w:sz="0" w:space="0" w:color="auto"/>
          </w:divBdr>
        </w:div>
        <w:div w:id="861937893">
          <w:marLeft w:val="0"/>
          <w:marRight w:val="0"/>
          <w:marTop w:val="0"/>
          <w:marBottom w:val="0"/>
          <w:divBdr>
            <w:top w:val="none" w:sz="0" w:space="0" w:color="auto"/>
            <w:left w:val="none" w:sz="0" w:space="0" w:color="auto"/>
            <w:bottom w:val="none" w:sz="0" w:space="0" w:color="auto"/>
            <w:right w:val="none" w:sz="0" w:space="0" w:color="auto"/>
          </w:divBdr>
        </w:div>
        <w:div w:id="1020860762">
          <w:marLeft w:val="0"/>
          <w:marRight w:val="0"/>
          <w:marTop w:val="0"/>
          <w:marBottom w:val="0"/>
          <w:divBdr>
            <w:top w:val="none" w:sz="0" w:space="0" w:color="auto"/>
            <w:left w:val="none" w:sz="0" w:space="0" w:color="auto"/>
            <w:bottom w:val="none" w:sz="0" w:space="0" w:color="auto"/>
            <w:right w:val="none" w:sz="0" w:space="0" w:color="auto"/>
          </w:divBdr>
        </w:div>
        <w:div w:id="1071537993">
          <w:marLeft w:val="0"/>
          <w:marRight w:val="0"/>
          <w:marTop w:val="0"/>
          <w:marBottom w:val="0"/>
          <w:divBdr>
            <w:top w:val="none" w:sz="0" w:space="0" w:color="auto"/>
            <w:left w:val="none" w:sz="0" w:space="0" w:color="auto"/>
            <w:bottom w:val="none" w:sz="0" w:space="0" w:color="auto"/>
            <w:right w:val="none" w:sz="0" w:space="0" w:color="auto"/>
          </w:divBdr>
        </w:div>
      </w:divsChild>
    </w:div>
    <w:div w:id="203954777">
      <w:bodyDiv w:val="1"/>
      <w:marLeft w:val="0"/>
      <w:marRight w:val="0"/>
      <w:marTop w:val="0"/>
      <w:marBottom w:val="0"/>
      <w:divBdr>
        <w:top w:val="none" w:sz="0" w:space="0" w:color="auto"/>
        <w:left w:val="none" w:sz="0" w:space="0" w:color="auto"/>
        <w:bottom w:val="none" w:sz="0" w:space="0" w:color="auto"/>
        <w:right w:val="none" w:sz="0" w:space="0" w:color="auto"/>
      </w:divBdr>
    </w:div>
    <w:div w:id="220217810">
      <w:bodyDiv w:val="1"/>
      <w:marLeft w:val="0"/>
      <w:marRight w:val="0"/>
      <w:marTop w:val="0"/>
      <w:marBottom w:val="0"/>
      <w:divBdr>
        <w:top w:val="none" w:sz="0" w:space="0" w:color="auto"/>
        <w:left w:val="none" w:sz="0" w:space="0" w:color="auto"/>
        <w:bottom w:val="none" w:sz="0" w:space="0" w:color="auto"/>
        <w:right w:val="none" w:sz="0" w:space="0" w:color="auto"/>
      </w:divBdr>
      <w:divsChild>
        <w:div w:id="215630775">
          <w:marLeft w:val="0"/>
          <w:marRight w:val="0"/>
          <w:marTop w:val="0"/>
          <w:marBottom w:val="0"/>
          <w:divBdr>
            <w:top w:val="none" w:sz="0" w:space="0" w:color="auto"/>
            <w:left w:val="none" w:sz="0" w:space="0" w:color="auto"/>
            <w:bottom w:val="none" w:sz="0" w:space="0" w:color="auto"/>
            <w:right w:val="none" w:sz="0" w:space="0" w:color="auto"/>
          </w:divBdr>
        </w:div>
        <w:div w:id="242567228">
          <w:marLeft w:val="0"/>
          <w:marRight w:val="0"/>
          <w:marTop w:val="0"/>
          <w:marBottom w:val="0"/>
          <w:divBdr>
            <w:top w:val="none" w:sz="0" w:space="0" w:color="auto"/>
            <w:left w:val="none" w:sz="0" w:space="0" w:color="auto"/>
            <w:bottom w:val="none" w:sz="0" w:space="0" w:color="auto"/>
            <w:right w:val="none" w:sz="0" w:space="0" w:color="auto"/>
          </w:divBdr>
        </w:div>
        <w:div w:id="318771782">
          <w:marLeft w:val="0"/>
          <w:marRight w:val="0"/>
          <w:marTop w:val="0"/>
          <w:marBottom w:val="0"/>
          <w:divBdr>
            <w:top w:val="none" w:sz="0" w:space="0" w:color="auto"/>
            <w:left w:val="none" w:sz="0" w:space="0" w:color="auto"/>
            <w:bottom w:val="none" w:sz="0" w:space="0" w:color="auto"/>
            <w:right w:val="none" w:sz="0" w:space="0" w:color="auto"/>
          </w:divBdr>
        </w:div>
        <w:div w:id="321738656">
          <w:marLeft w:val="0"/>
          <w:marRight w:val="0"/>
          <w:marTop w:val="0"/>
          <w:marBottom w:val="0"/>
          <w:divBdr>
            <w:top w:val="none" w:sz="0" w:space="0" w:color="auto"/>
            <w:left w:val="none" w:sz="0" w:space="0" w:color="auto"/>
            <w:bottom w:val="none" w:sz="0" w:space="0" w:color="auto"/>
            <w:right w:val="none" w:sz="0" w:space="0" w:color="auto"/>
          </w:divBdr>
        </w:div>
        <w:div w:id="337314146">
          <w:marLeft w:val="0"/>
          <w:marRight w:val="0"/>
          <w:marTop w:val="0"/>
          <w:marBottom w:val="0"/>
          <w:divBdr>
            <w:top w:val="none" w:sz="0" w:space="0" w:color="auto"/>
            <w:left w:val="none" w:sz="0" w:space="0" w:color="auto"/>
            <w:bottom w:val="none" w:sz="0" w:space="0" w:color="auto"/>
            <w:right w:val="none" w:sz="0" w:space="0" w:color="auto"/>
          </w:divBdr>
        </w:div>
        <w:div w:id="348215684">
          <w:marLeft w:val="0"/>
          <w:marRight w:val="0"/>
          <w:marTop w:val="0"/>
          <w:marBottom w:val="0"/>
          <w:divBdr>
            <w:top w:val="none" w:sz="0" w:space="0" w:color="auto"/>
            <w:left w:val="none" w:sz="0" w:space="0" w:color="auto"/>
            <w:bottom w:val="none" w:sz="0" w:space="0" w:color="auto"/>
            <w:right w:val="none" w:sz="0" w:space="0" w:color="auto"/>
          </w:divBdr>
        </w:div>
        <w:div w:id="359473567">
          <w:marLeft w:val="0"/>
          <w:marRight w:val="0"/>
          <w:marTop w:val="0"/>
          <w:marBottom w:val="0"/>
          <w:divBdr>
            <w:top w:val="none" w:sz="0" w:space="0" w:color="auto"/>
            <w:left w:val="none" w:sz="0" w:space="0" w:color="auto"/>
            <w:bottom w:val="none" w:sz="0" w:space="0" w:color="auto"/>
            <w:right w:val="none" w:sz="0" w:space="0" w:color="auto"/>
          </w:divBdr>
        </w:div>
        <w:div w:id="847712358">
          <w:marLeft w:val="0"/>
          <w:marRight w:val="0"/>
          <w:marTop w:val="0"/>
          <w:marBottom w:val="0"/>
          <w:divBdr>
            <w:top w:val="none" w:sz="0" w:space="0" w:color="auto"/>
            <w:left w:val="none" w:sz="0" w:space="0" w:color="auto"/>
            <w:bottom w:val="none" w:sz="0" w:space="0" w:color="auto"/>
            <w:right w:val="none" w:sz="0" w:space="0" w:color="auto"/>
          </w:divBdr>
        </w:div>
        <w:div w:id="864251391">
          <w:marLeft w:val="0"/>
          <w:marRight w:val="0"/>
          <w:marTop w:val="0"/>
          <w:marBottom w:val="0"/>
          <w:divBdr>
            <w:top w:val="none" w:sz="0" w:space="0" w:color="auto"/>
            <w:left w:val="none" w:sz="0" w:space="0" w:color="auto"/>
            <w:bottom w:val="none" w:sz="0" w:space="0" w:color="auto"/>
            <w:right w:val="none" w:sz="0" w:space="0" w:color="auto"/>
          </w:divBdr>
        </w:div>
        <w:div w:id="873151314">
          <w:marLeft w:val="0"/>
          <w:marRight w:val="0"/>
          <w:marTop w:val="0"/>
          <w:marBottom w:val="0"/>
          <w:divBdr>
            <w:top w:val="none" w:sz="0" w:space="0" w:color="auto"/>
            <w:left w:val="none" w:sz="0" w:space="0" w:color="auto"/>
            <w:bottom w:val="none" w:sz="0" w:space="0" w:color="auto"/>
            <w:right w:val="none" w:sz="0" w:space="0" w:color="auto"/>
          </w:divBdr>
        </w:div>
        <w:div w:id="912204445">
          <w:marLeft w:val="0"/>
          <w:marRight w:val="0"/>
          <w:marTop w:val="0"/>
          <w:marBottom w:val="0"/>
          <w:divBdr>
            <w:top w:val="none" w:sz="0" w:space="0" w:color="auto"/>
            <w:left w:val="none" w:sz="0" w:space="0" w:color="auto"/>
            <w:bottom w:val="none" w:sz="0" w:space="0" w:color="auto"/>
            <w:right w:val="none" w:sz="0" w:space="0" w:color="auto"/>
          </w:divBdr>
        </w:div>
        <w:div w:id="1010110233">
          <w:marLeft w:val="0"/>
          <w:marRight w:val="0"/>
          <w:marTop w:val="0"/>
          <w:marBottom w:val="0"/>
          <w:divBdr>
            <w:top w:val="none" w:sz="0" w:space="0" w:color="auto"/>
            <w:left w:val="none" w:sz="0" w:space="0" w:color="auto"/>
            <w:bottom w:val="none" w:sz="0" w:space="0" w:color="auto"/>
            <w:right w:val="none" w:sz="0" w:space="0" w:color="auto"/>
          </w:divBdr>
        </w:div>
        <w:div w:id="1096171130">
          <w:marLeft w:val="0"/>
          <w:marRight w:val="0"/>
          <w:marTop w:val="0"/>
          <w:marBottom w:val="0"/>
          <w:divBdr>
            <w:top w:val="none" w:sz="0" w:space="0" w:color="auto"/>
            <w:left w:val="none" w:sz="0" w:space="0" w:color="auto"/>
            <w:bottom w:val="none" w:sz="0" w:space="0" w:color="auto"/>
            <w:right w:val="none" w:sz="0" w:space="0" w:color="auto"/>
          </w:divBdr>
        </w:div>
        <w:div w:id="1136414947">
          <w:marLeft w:val="0"/>
          <w:marRight w:val="0"/>
          <w:marTop w:val="0"/>
          <w:marBottom w:val="0"/>
          <w:divBdr>
            <w:top w:val="none" w:sz="0" w:space="0" w:color="auto"/>
            <w:left w:val="none" w:sz="0" w:space="0" w:color="auto"/>
            <w:bottom w:val="none" w:sz="0" w:space="0" w:color="auto"/>
            <w:right w:val="none" w:sz="0" w:space="0" w:color="auto"/>
          </w:divBdr>
        </w:div>
        <w:div w:id="1304238135">
          <w:marLeft w:val="0"/>
          <w:marRight w:val="0"/>
          <w:marTop w:val="0"/>
          <w:marBottom w:val="0"/>
          <w:divBdr>
            <w:top w:val="none" w:sz="0" w:space="0" w:color="auto"/>
            <w:left w:val="none" w:sz="0" w:space="0" w:color="auto"/>
            <w:bottom w:val="none" w:sz="0" w:space="0" w:color="auto"/>
            <w:right w:val="none" w:sz="0" w:space="0" w:color="auto"/>
          </w:divBdr>
        </w:div>
        <w:div w:id="1348219033">
          <w:marLeft w:val="0"/>
          <w:marRight w:val="0"/>
          <w:marTop w:val="0"/>
          <w:marBottom w:val="0"/>
          <w:divBdr>
            <w:top w:val="none" w:sz="0" w:space="0" w:color="auto"/>
            <w:left w:val="none" w:sz="0" w:space="0" w:color="auto"/>
            <w:bottom w:val="none" w:sz="0" w:space="0" w:color="auto"/>
            <w:right w:val="none" w:sz="0" w:space="0" w:color="auto"/>
          </w:divBdr>
        </w:div>
        <w:div w:id="1367559642">
          <w:marLeft w:val="0"/>
          <w:marRight w:val="0"/>
          <w:marTop w:val="0"/>
          <w:marBottom w:val="0"/>
          <w:divBdr>
            <w:top w:val="none" w:sz="0" w:space="0" w:color="auto"/>
            <w:left w:val="none" w:sz="0" w:space="0" w:color="auto"/>
            <w:bottom w:val="none" w:sz="0" w:space="0" w:color="auto"/>
            <w:right w:val="none" w:sz="0" w:space="0" w:color="auto"/>
          </w:divBdr>
        </w:div>
        <w:div w:id="1450540415">
          <w:marLeft w:val="0"/>
          <w:marRight w:val="0"/>
          <w:marTop w:val="0"/>
          <w:marBottom w:val="0"/>
          <w:divBdr>
            <w:top w:val="none" w:sz="0" w:space="0" w:color="auto"/>
            <w:left w:val="none" w:sz="0" w:space="0" w:color="auto"/>
            <w:bottom w:val="none" w:sz="0" w:space="0" w:color="auto"/>
            <w:right w:val="none" w:sz="0" w:space="0" w:color="auto"/>
          </w:divBdr>
        </w:div>
        <w:div w:id="1467360261">
          <w:marLeft w:val="0"/>
          <w:marRight w:val="0"/>
          <w:marTop w:val="0"/>
          <w:marBottom w:val="0"/>
          <w:divBdr>
            <w:top w:val="none" w:sz="0" w:space="0" w:color="auto"/>
            <w:left w:val="none" w:sz="0" w:space="0" w:color="auto"/>
            <w:bottom w:val="none" w:sz="0" w:space="0" w:color="auto"/>
            <w:right w:val="none" w:sz="0" w:space="0" w:color="auto"/>
          </w:divBdr>
        </w:div>
        <w:div w:id="1583372033">
          <w:marLeft w:val="0"/>
          <w:marRight w:val="0"/>
          <w:marTop w:val="0"/>
          <w:marBottom w:val="0"/>
          <w:divBdr>
            <w:top w:val="none" w:sz="0" w:space="0" w:color="auto"/>
            <w:left w:val="none" w:sz="0" w:space="0" w:color="auto"/>
            <w:bottom w:val="none" w:sz="0" w:space="0" w:color="auto"/>
            <w:right w:val="none" w:sz="0" w:space="0" w:color="auto"/>
          </w:divBdr>
        </w:div>
        <w:div w:id="1618486353">
          <w:marLeft w:val="0"/>
          <w:marRight w:val="0"/>
          <w:marTop w:val="0"/>
          <w:marBottom w:val="0"/>
          <w:divBdr>
            <w:top w:val="none" w:sz="0" w:space="0" w:color="auto"/>
            <w:left w:val="none" w:sz="0" w:space="0" w:color="auto"/>
            <w:bottom w:val="none" w:sz="0" w:space="0" w:color="auto"/>
            <w:right w:val="none" w:sz="0" w:space="0" w:color="auto"/>
          </w:divBdr>
        </w:div>
        <w:div w:id="1620257365">
          <w:marLeft w:val="0"/>
          <w:marRight w:val="0"/>
          <w:marTop w:val="0"/>
          <w:marBottom w:val="0"/>
          <w:divBdr>
            <w:top w:val="none" w:sz="0" w:space="0" w:color="auto"/>
            <w:left w:val="none" w:sz="0" w:space="0" w:color="auto"/>
            <w:bottom w:val="none" w:sz="0" w:space="0" w:color="auto"/>
            <w:right w:val="none" w:sz="0" w:space="0" w:color="auto"/>
          </w:divBdr>
        </w:div>
        <w:div w:id="1705669292">
          <w:marLeft w:val="0"/>
          <w:marRight w:val="0"/>
          <w:marTop w:val="0"/>
          <w:marBottom w:val="0"/>
          <w:divBdr>
            <w:top w:val="none" w:sz="0" w:space="0" w:color="auto"/>
            <w:left w:val="none" w:sz="0" w:space="0" w:color="auto"/>
            <w:bottom w:val="none" w:sz="0" w:space="0" w:color="auto"/>
            <w:right w:val="none" w:sz="0" w:space="0" w:color="auto"/>
          </w:divBdr>
        </w:div>
        <w:div w:id="1834683112">
          <w:marLeft w:val="0"/>
          <w:marRight w:val="0"/>
          <w:marTop w:val="0"/>
          <w:marBottom w:val="0"/>
          <w:divBdr>
            <w:top w:val="none" w:sz="0" w:space="0" w:color="auto"/>
            <w:left w:val="none" w:sz="0" w:space="0" w:color="auto"/>
            <w:bottom w:val="none" w:sz="0" w:space="0" w:color="auto"/>
            <w:right w:val="none" w:sz="0" w:space="0" w:color="auto"/>
          </w:divBdr>
        </w:div>
        <w:div w:id="1846554599">
          <w:marLeft w:val="0"/>
          <w:marRight w:val="0"/>
          <w:marTop w:val="0"/>
          <w:marBottom w:val="0"/>
          <w:divBdr>
            <w:top w:val="none" w:sz="0" w:space="0" w:color="auto"/>
            <w:left w:val="none" w:sz="0" w:space="0" w:color="auto"/>
            <w:bottom w:val="none" w:sz="0" w:space="0" w:color="auto"/>
            <w:right w:val="none" w:sz="0" w:space="0" w:color="auto"/>
          </w:divBdr>
        </w:div>
        <w:div w:id="1898928805">
          <w:marLeft w:val="0"/>
          <w:marRight w:val="0"/>
          <w:marTop w:val="0"/>
          <w:marBottom w:val="0"/>
          <w:divBdr>
            <w:top w:val="none" w:sz="0" w:space="0" w:color="auto"/>
            <w:left w:val="none" w:sz="0" w:space="0" w:color="auto"/>
            <w:bottom w:val="none" w:sz="0" w:space="0" w:color="auto"/>
            <w:right w:val="none" w:sz="0" w:space="0" w:color="auto"/>
          </w:divBdr>
        </w:div>
        <w:div w:id="1914269839">
          <w:marLeft w:val="0"/>
          <w:marRight w:val="0"/>
          <w:marTop w:val="0"/>
          <w:marBottom w:val="0"/>
          <w:divBdr>
            <w:top w:val="none" w:sz="0" w:space="0" w:color="auto"/>
            <w:left w:val="none" w:sz="0" w:space="0" w:color="auto"/>
            <w:bottom w:val="none" w:sz="0" w:space="0" w:color="auto"/>
            <w:right w:val="none" w:sz="0" w:space="0" w:color="auto"/>
          </w:divBdr>
        </w:div>
        <w:div w:id="1916235020">
          <w:marLeft w:val="0"/>
          <w:marRight w:val="0"/>
          <w:marTop w:val="0"/>
          <w:marBottom w:val="0"/>
          <w:divBdr>
            <w:top w:val="none" w:sz="0" w:space="0" w:color="auto"/>
            <w:left w:val="none" w:sz="0" w:space="0" w:color="auto"/>
            <w:bottom w:val="none" w:sz="0" w:space="0" w:color="auto"/>
            <w:right w:val="none" w:sz="0" w:space="0" w:color="auto"/>
          </w:divBdr>
        </w:div>
        <w:div w:id="1992054163">
          <w:marLeft w:val="0"/>
          <w:marRight w:val="0"/>
          <w:marTop w:val="0"/>
          <w:marBottom w:val="0"/>
          <w:divBdr>
            <w:top w:val="none" w:sz="0" w:space="0" w:color="auto"/>
            <w:left w:val="none" w:sz="0" w:space="0" w:color="auto"/>
            <w:bottom w:val="none" w:sz="0" w:space="0" w:color="auto"/>
            <w:right w:val="none" w:sz="0" w:space="0" w:color="auto"/>
          </w:divBdr>
        </w:div>
        <w:div w:id="2118403856">
          <w:marLeft w:val="0"/>
          <w:marRight w:val="0"/>
          <w:marTop w:val="0"/>
          <w:marBottom w:val="0"/>
          <w:divBdr>
            <w:top w:val="none" w:sz="0" w:space="0" w:color="auto"/>
            <w:left w:val="none" w:sz="0" w:space="0" w:color="auto"/>
            <w:bottom w:val="none" w:sz="0" w:space="0" w:color="auto"/>
            <w:right w:val="none" w:sz="0" w:space="0" w:color="auto"/>
          </w:divBdr>
        </w:div>
      </w:divsChild>
    </w:div>
    <w:div w:id="220530055">
      <w:bodyDiv w:val="1"/>
      <w:marLeft w:val="0"/>
      <w:marRight w:val="0"/>
      <w:marTop w:val="0"/>
      <w:marBottom w:val="0"/>
      <w:divBdr>
        <w:top w:val="none" w:sz="0" w:space="0" w:color="auto"/>
        <w:left w:val="none" w:sz="0" w:space="0" w:color="auto"/>
        <w:bottom w:val="none" w:sz="0" w:space="0" w:color="auto"/>
        <w:right w:val="none" w:sz="0" w:space="0" w:color="auto"/>
      </w:divBdr>
      <w:divsChild>
        <w:div w:id="1387097736">
          <w:marLeft w:val="0"/>
          <w:marRight w:val="0"/>
          <w:marTop w:val="0"/>
          <w:marBottom w:val="0"/>
          <w:divBdr>
            <w:top w:val="none" w:sz="0" w:space="0" w:color="auto"/>
            <w:left w:val="none" w:sz="0" w:space="0" w:color="auto"/>
            <w:bottom w:val="none" w:sz="0" w:space="0" w:color="auto"/>
            <w:right w:val="none" w:sz="0" w:space="0" w:color="auto"/>
          </w:divBdr>
        </w:div>
        <w:div w:id="2014605264">
          <w:marLeft w:val="0"/>
          <w:marRight w:val="0"/>
          <w:marTop w:val="0"/>
          <w:marBottom w:val="0"/>
          <w:divBdr>
            <w:top w:val="none" w:sz="0" w:space="0" w:color="auto"/>
            <w:left w:val="none" w:sz="0" w:space="0" w:color="auto"/>
            <w:bottom w:val="none" w:sz="0" w:space="0" w:color="auto"/>
            <w:right w:val="none" w:sz="0" w:space="0" w:color="auto"/>
          </w:divBdr>
        </w:div>
      </w:divsChild>
    </w:div>
    <w:div w:id="221451314">
      <w:bodyDiv w:val="1"/>
      <w:marLeft w:val="0"/>
      <w:marRight w:val="0"/>
      <w:marTop w:val="0"/>
      <w:marBottom w:val="0"/>
      <w:divBdr>
        <w:top w:val="none" w:sz="0" w:space="0" w:color="auto"/>
        <w:left w:val="none" w:sz="0" w:space="0" w:color="auto"/>
        <w:bottom w:val="none" w:sz="0" w:space="0" w:color="auto"/>
        <w:right w:val="none" w:sz="0" w:space="0" w:color="auto"/>
      </w:divBdr>
    </w:div>
    <w:div w:id="229511478">
      <w:bodyDiv w:val="1"/>
      <w:marLeft w:val="0"/>
      <w:marRight w:val="0"/>
      <w:marTop w:val="0"/>
      <w:marBottom w:val="0"/>
      <w:divBdr>
        <w:top w:val="none" w:sz="0" w:space="0" w:color="auto"/>
        <w:left w:val="none" w:sz="0" w:space="0" w:color="auto"/>
        <w:bottom w:val="none" w:sz="0" w:space="0" w:color="auto"/>
        <w:right w:val="none" w:sz="0" w:space="0" w:color="auto"/>
      </w:divBdr>
    </w:div>
    <w:div w:id="230312045">
      <w:bodyDiv w:val="1"/>
      <w:marLeft w:val="0"/>
      <w:marRight w:val="0"/>
      <w:marTop w:val="0"/>
      <w:marBottom w:val="0"/>
      <w:divBdr>
        <w:top w:val="none" w:sz="0" w:space="0" w:color="auto"/>
        <w:left w:val="none" w:sz="0" w:space="0" w:color="auto"/>
        <w:bottom w:val="none" w:sz="0" w:space="0" w:color="auto"/>
        <w:right w:val="none" w:sz="0" w:space="0" w:color="auto"/>
      </w:divBdr>
      <w:divsChild>
        <w:div w:id="2065324869">
          <w:marLeft w:val="0"/>
          <w:marRight w:val="0"/>
          <w:marTop w:val="0"/>
          <w:marBottom w:val="0"/>
          <w:divBdr>
            <w:top w:val="none" w:sz="0" w:space="0" w:color="auto"/>
            <w:left w:val="none" w:sz="0" w:space="0" w:color="auto"/>
            <w:bottom w:val="none" w:sz="0" w:space="0" w:color="auto"/>
            <w:right w:val="none" w:sz="0" w:space="0" w:color="auto"/>
          </w:divBdr>
        </w:div>
      </w:divsChild>
    </w:div>
    <w:div w:id="240143401">
      <w:bodyDiv w:val="1"/>
      <w:marLeft w:val="0"/>
      <w:marRight w:val="0"/>
      <w:marTop w:val="0"/>
      <w:marBottom w:val="0"/>
      <w:divBdr>
        <w:top w:val="none" w:sz="0" w:space="0" w:color="auto"/>
        <w:left w:val="none" w:sz="0" w:space="0" w:color="auto"/>
        <w:bottom w:val="none" w:sz="0" w:space="0" w:color="auto"/>
        <w:right w:val="none" w:sz="0" w:space="0" w:color="auto"/>
      </w:divBdr>
    </w:div>
    <w:div w:id="248589190">
      <w:bodyDiv w:val="1"/>
      <w:marLeft w:val="0"/>
      <w:marRight w:val="0"/>
      <w:marTop w:val="0"/>
      <w:marBottom w:val="0"/>
      <w:divBdr>
        <w:top w:val="none" w:sz="0" w:space="0" w:color="auto"/>
        <w:left w:val="none" w:sz="0" w:space="0" w:color="auto"/>
        <w:bottom w:val="none" w:sz="0" w:space="0" w:color="auto"/>
        <w:right w:val="none" w:sz="0" w:space="0" w:color="auto"/>
      </w:divBdr>
      <w:divsChild>
        <w:div w:id="1651903933">
          <w:marLeft w:val="0"/>
          <w:marRight w:val="0"/>
          <w:marTop w:val="0"/>
          <w:marBottom w:val="0"/>
          <w:divBdr>
            <w:top w:val="none" w:sz="0" w:space="0" w:color="auto"/>
            <w:left w:val="none" w:sz="0" w:space="0" w:color="auto"/>
            <w:bottom w:val="none" w:sz="0" w:space="0" w:color="auto"/>
            <w:right w:val="none" w:sz="0" w:space="0" w:color="auto"/>
          </w:divBdr>
          <w:divsChild>
            <w:div w:id="19599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19636">
      <w:bodyDiv w:val="1"/>
      <w:marLeft w:val="0"/>
      <w:marRight w:val="0"/>
      <w:marTop w:val="0"/>
      <w:marBottom w:val="0"/>
      <w:divBdr>
        <w:top w:val="none" w:sz="0" w:space="0" w:color="auto"/>
        <w:left w:val="none" w:sz="0" w:space="0" w:color="auto"/>
        <w:bottom w:val="none" w:sz="0" w:space="0" w:color="auto"/>
        <w:right w:val="none" w:sz="0" w:space="0" w:color="auto"/>
      </w:divBdr>
      <w:divsChild>
        <w:div w:id="684329014">
          <w:marLeft w:val="0"/>
          <w:marRight w:val="0"/>
          <w:marTop w:val="0"/>
          <w:marBottom w:val="0"/>
          <w:divBdr>
            <w:top w:val="none" w:sz="0" w:space="0" w:color="auto"/>
            <w:left w:val="none" w:sz="0" w:space="0" w:color="auto"/>
            <w:bottom w:val="none" w:sz="0" w:space="0" w:color="auto"/>
            <w:right w:val="none" w:sz="0" w:space="0" w:color="auto"/>
          </w:divBdr>
          <w:divsChild>
            <w:div w:id="53630342">
              <w:marLeft w:val="0"/>
              <w:marRight w:val="0"/>
              <w:marTop w:val="0"/>
              <w:marBottom w:val="0"/>
              <w:divBdr>
                <w:top w:val="none" w:sz="0" w:space="0" w:color="auto"/>
                <w:left w:val="none" w:sz="0" w:space="0" w:color="auto"/>
                <w:bottom w:val="none" w:sz="0" w:space="0" w:color="auto"/>
                <w:right w:val="none" w:sz="0" w:space="0" w:color="auto"/>
              </w:divBdr>
            </w:div>
            <w:div w:id="148636656">
              <w:marLeft w:val="0"/>
              <w:marRight w:val="0"/>
              <w:marTop w:val="0"/>
              <w:marBottom w:val="0"/>
              <w:divBdr>
                <w:top w:val="none" w:sz="0" w:space="0" w:color="auto"/>
                <w:left w:val="none" w:sz="0" w:space="0" w:color="auto"/>
                <w:bottom w:val="none" w:sz="0" w:space="0" w:color="auto"/>
                <w:right w:val="none" w:sz="0" w:space="0" w:color="auto"/>
              </w:divBdr>
            </w:div>
            <w:div w:id="149714896">
              <w:marLeft w:val="0"/>
              <w:marRight w:val="0"/>
              <w:marTop w:val="0"/>
              <w:marBottom w:val="0"/>
              <w:divBdr>
                <w:top w:val="none" w:sz="0" w:space="0" w:color="auto"/>
                <w:left w:val="none" w:sz="0" w:space="0" w:color="auto"/>
                <w:bottom w:val="none" w:sz="0" w:space="0" w:color="auto"/>
                <w:right w:val="none" w:sz="0" w:space="0" w:color="auto"/>
              </w:divBdr>
            </w:div>
            <w:div w:id="158158959">
              <w:marLeft w:val="0"/>
              <w:marRight w:val="0"/>
              <w:marTop w:val="0"/>
              <w:marBottom w:val="0"/>
              <w:divBdr>
                <w:top w:val="none" w:sz="0" w:space="0" w:color="auto"/>
                <w:left w:val="none" w:sz="0" w:space="0" w:color="auto"/>
                <w:bottom w:val="none" w:sz="0" w:space="0" w:color="auto"/>
                <w:right w:val="none" w:sz="0" w:space="0" w:color="auto"/>
              </w:divBdr>
            </w:div>
            <w:div w:id="216749251">
              <w:marLeft w:val="0"/>
              <w:marRight w:val="0"/>
              <w:marTop w:val="0"/>
              <w:marBottom w:val="0"/>
              <w:divBdr>
                <w:top w:val="none" w:sz="0" w:space="0" w:color="auto"/>
                <w:left w:val="none" w:sz="0" w:space="0" w:color="auto"/>
                <w:bottom w:val="none" w:sz="0" w:space="0" w:color="auto"/>
                <w:right w:val="none" w:sz="0" w:space="0" w:color="auto"/>
              </w:divBdr>
            </w:div>
            <w:div w:id="223836465">
              <w:marLeft w:val="0"/>
              <w:marRight w:val="0"/>
              <w:marTop w:val="0"/>
              <w:marBottom w:val="0"/>
              <w:divBdr>
                <w:top w:val="none" w:sz="0" w:space="0" w:color="auto"/>
                <w:left w:val="none" w:sz="0" w:space="0" w:color="auto"/>
                <w:bottom w:val="none" w:sz="0" w:space="0" w:color="auto"/>
                <w:right w:val="none" w:sz="0" w:space="0" w:color="auto"/>
              </w:divBdr>
            </w:div>
            <w:div w:id="276765724">
              <w:marLeft w:val="0"/>
              <w:marRight w:val="0"/>
              <w:marTop w:val="0"/>
              <w:marBottom w:val="0"/>
              <w:divBdr>
                <w:top w:val="none" w:sz="0" w:space="0" w:color="auto"/>
                <w:left w:val="none" w:sz="0" w:space="0" w:color="auto"/>
                <w:bottom w:val="none" w:sz="0" w:space="0" w:color="auto"/>
                <w:right w:val="none" w:sz="0" w:space="0" w:color="auto"/>
              </w:divBdr>
            </w:div>
            <w:div w:id="280454706">
              <w:marLeft w:val="0"/>
              <w:marRight w:val="0"/>
              <w:marTop w:val="0"/>
              <w:marBottom w:val="0"/>
              <w:divBdr>
                <w:top w:val="none" w:sz="0" w:space="0" w:color="auto"/>
                <w:left w:val="none" w:sz="0" w:space="0" w:color="auto"/>
                <w:bottom w:val="none" w:sz="0" w:space="0" w:color="auto"/>
                <w:right w:val="none" w:sz="0" w:space="0" w:color="auto"/>
              </w:divBdr>
            </w:div>
            <w:div w:id="305664673">
              <w:marLeft w:val="0"/>
              <w:marRight w:val="0"/>
              <w:marTop w:val="0"/>
              <w:marBottom w:val="0"/>
              <w:divBdr>
                <w:top w:val="none" w:sz="0" w:space="0" w:color="auto"/>
                <w:left w:val="none" w:sz="0" w:space="0" w:color="auto"/>
                <w:bottom w:val="none" w:sz="0" w:space="0" w:color="auto"/>
                <w:right w:val="none" w:sz="0" w:space="0" w:color="auto"/>
              </w:divBdr>
            </w:div>
            <w:div w:id="321783627">
              <w:marLeft w:val="0"/>
              <w:marRight w:val="0"/>
              <w:marTop w:val="0"/>
              <w:marBottom w:val="0"/>
              <w:divBdr>
                <w:top w:val="none" w:sz="0" w:space="0" w:color="auto"/>
                <w:left w:val="none" w:sz="0" w:space="0" w:color="auto"/>
                <w:bottom w:val="none" w:sz="0" w:space="0" w:color="auto"/>
                <w:right w:val="none" w:sz="0" w:space="0" w:color="auto"/>
              </w:divBdr>
            </w:div>
            <w:div w:id="449858423">
              <w:marLeft w:val="0"/>
              <w:marRight w:val="0"/>
              <w:marTop w:val="0"/>
              <w:marBottom w:val="0"/>
              <w:divBdr>
                <w:top w:val="none" w:sz="0" w:space="0" w:color="auto"/>
                <w:left w:val="none" w:sz="0" w:space="0" w:color="auto"/>
                <w:bottom w:val="none" w:sz="0" w:space="0" w:color="auto"/>
                <w:right w:val="none" w:sz="0" w:space="0" w:color="auto"/>
              </w:divBdr>
            </w:div>
            <w:div w:id="647906257">
              <w:marLeft w:val="0"/>
              <w:marRight w:val="0"/>
              <w:marTop w:val="0"/>
              <w:marBottom w:val="0"/>
              <w:divBdr>
                <w:top w:val="none" w:sz="0" w:space="0" w:color="auto"/>
                <w:left w:val="none" w:sz="0" w:space="0" w:color="auto"/>
                <w:bottom w:val="none" w:sz="0" w:space="0" w:color="auto"/>
                <w:right w:val="none" w:sz="0" w:space="0" w:color="auto"/>
              </w:divBdr>
            </w:div>
            <w:div w:id="816263005">
              <w:marLeft w:val="0"/>
              <w:marRight w:val="0"/>
              <w:marTop w:val="0"/>
              <w:marBottom w:val="0"/>
              <w:divBdr>
                <w:top w:val="none" w:sz="0" w:space="0" w:color="auto"/>
                <w:left w:val="none" w:sz="0" w:space="0" w:color="auto"/>
                <w:bottom w:val="none" w:sz="0" w:space="0" w:color="auto"/>
                <w:right w:val="none" w:sz="0" w:space="0" w:color="auto"/>
              </w:divBdr>
            </w:div>
            <w:div w:id="838927165">
              <w:marLeft w:val="0"/>
              <w:marRight w:val="0"/>
              <w:marTop w:val="0"/>
              <w:marBottom w:val="0"/>
              <w:divBdr>
                <w:top w:val="none" w:sz="0" w:space="0" w:color="auto"/>
                <w:left w:val="none" w:sz="0" w:space="0" w:color="auto"/>
                <w:bottom w:val="none" w:sz="0" w:space="0" w:color="auto"/>
                <w:right w:val="none" w:sz="0" w:space="0" w:color="auto"/>
              </w:divBdr>
            </w:div>
            <w:div w:id="865096932">
              <w:marLeft w:val="0"/>
              <w:marRight w:val="0"/>
              <w:marTop w:val="0"/>
              <w:marBottom w:val="0"/>
              <w:divBdr>
                <w:top w:val="none" w:sz="0" w:space="0" w:color="auto"/>
                <w:left w:val="none" w:sz="0" w:space="0" w:color="auto"/>
                <w:bottom w:val="none" w:sz="0" w:space="0" w:color="auto"/>
                <w:right w:val="none" w:sz="0" w:space="0" w:color="auto"/>
              </w:divBdr>
            </w:div>
            <w:div w:id="901059668">
              <w:marLeft w:val="0"/>
              <w:marRight w:val="0"/>
              <w:marTop w:val="0"/>
              <w:marBottom w:val="0"/>
              <w:divBdr>
                <w:top w:val="none" w:sz="0" w:space="0" w:color="auto"/>
                <w:left w:val="none" w:sz="0" w:space="0" w:color="auto"/>
                <w:bottom w:val="none" w:sz="0" w:space="0" w:color="auto"/>
                <w:right w:val="none" w:sz="0" w:space="0" w:color="auto"/>
              </w:divBdr>
            </w:div>
            <w:div w:id="913512418">
              <w:marLeft w:val="0"/>
              <w:marRight w:val="0"/>
              <w:marTop w:val="0"/>
              <w:marBottom w:val="0"/>
              <w:divBdr>
                <w:top w:val="none" w:sz="0" w:space="0" w:color="auto"/>
                <w:left w:val="none" w:sz="0" w:space="0" w:color="auto"/>
                <w:bottom w:val="none" w:sz="0" w:space="0" w:color="auto"/>
                <w:right w:val="none" w:sz="0" w:space="0" w:color="auto"/>
              </w:divBdr>
            </w:div>
            <w:div w:id="1024015117">
              <w:marLeft w:val="0"/>
              <w:marRight w:val="0"/>
              <w:marTop w:val="0"/>
              <w:marBottom w:val="0"/>
              <w:divBdr>
                <w:top w:val="none" w:sz="0" w:space="0" w:color="auto"/>
                <w:left w:val="none" w:sz="0" w:space="0" w:color="auto"/>
                <w:bottom w:val="none" w:sz="0" w:space="0" w:color="auto"/>
                <w:right w:val="none" w:sz="0" w:space="0" w:color="auto"/>
              </w:divBdr>
            </w:div>
            <w:div w:id="1116487154">
              <w:marLeft w:val="0"/>
              <w:marRight w:val="0"/>
              <w:marTop w:val="0"/>
              <w:marBottom w:val="0"/>
              <w:divBdr>
                <w:top w:val="none" w:sz="0" w:space="0" w:color="auto"/>
                <w:left w:val="none" w:sz="0" w:space="0" w:color="auto"/>
                <w:bottom w:val="none" w:sz="0" w:space="0" w:color="auto"/>
                <w:right w:val="none" w:sz="0" w:space="0" w:color="auto"/>
              </w:divBdr>
            </w:div>
            <w:div w:id="1125851458">
              <w:marLeft w:val="0"/>
              <w:marRight w:val="0"/>
              <w:marTop w:val="0"/>
              <w:marBottom w:val="0"/>
              <w:divBdr>
                <w:top w:val="none" w:sz="0" w:space="0" w:color="auto"/>
                <w:left w:val="none" w:sz="0" w:space="0" w:color="auto"/>
                <w:bottom w:val="none" w:sz="0" w:space="0" w:color="auto"/>
                <w:right w:val="none" w:sz="0" w:space="0" w:color="auto"/>
              </w:divBdr>
            </w:div>
            <w:div w:id="1187014622">
              <w:marLeft w:val="0"/>
              <w:marRight w:val="0"/>
              <w:marTop w:val="0"/>
              <w:marBottom w:val="0"/>
              <w:divBdr>
                <w:top w:val="none" w:sz="0" w:space="0" w:color="auto"/>
                <w:left w:val="none" w:sz="0" w:space="0" w:color="auto"/>
                <w:bottom w:val="none" w:sz="0" w:space="0" w:color="auto"/>
                <w:right w:val="none" w:sz="0" w:space="0" w:color="auto"/>
              </w:divBdr>
            </w:div>
            <w:div w:id="1193303734">
              <w:marLeft w:val="0"/>
              <w:marRight w:val="0"/>
              <w:marTop w:val="0"/>
              <w:marBottom w:val="0"/>
              <w:divBdr>
                <w:top w:val="none" w:sz="0" w:space="0" w:color="auto"/>
                <w:left w:val="none" w:sz="0" w:space="0" w:color="auto"/>
                <w:bottom w:val="none" w:sz="0" w:space="0" w:color="auto"/>
                <w:right w:val="none" w:sz="0" w:space="0" w:color="auto"/>
              </w:divBdr>
            </w:div>
            <w:div w:id="1271476666">
              <w:marLeft w:val="0"/>
              <w:marRight w:val="0"/>
              <w:marTop w:val="0"/>
              <w:marBottom w:val="0"/>
              <w:divBdr>
                <w:top w:val="none" w:sz="0" w:space="0" w:color="auto"/>
                <w:left w:val="none" w:sz="0" w:space="0" w:color="auto"/>
                <w:bottom w:val="none" w:sz="0" w:space="0" w:color="auto"/>
                <w:right w:val="none" w:sz="0" w:space="0" w:color="auto"/>
              </w:divBdr>
            </w:div>
            <w:div w:id="1378776729">
              <w:marLeft w:val="0"/>
              <w:marRight w:val="0"/>
              <w:marTop w:val="0"/>
              <w:marBottom w:val="0"/>
              <w:divBdr>
                <w:top w:val="none" w:sz="0" w:space="0" w:color="auto"/>
                <w:left w:val="none" w:sz="0" w:space="0" w:color="auto"/>
                <w:bottom w:val="none" w:sz="0" w:space="0" w:color="auto"/>
                <w:right w:val="none" w:sz="0" w:space="0" w:color="auto"/>
              </w:divBdr>
            </w:div>
            <w:div w:id="1616136554">
              <w:marLeft w:val="0"/>
              <w:marRight w:val="0"/>
              <w:marTop w:val="0"/>
              <w:marBottom w:val="0"/>
              <w:divBdr>
                <w:top w:val="none" w:sz="0" w:space="0" w:color="auto"/>
                <w:left w:val="none" w:sz="0" w:space="0" w:color="auto"/>
                <w:bottom w:val="none" w:sz="0" w:space="0" w:color="auto"/>
                <w:right w:val="none" w:sz="0" w:space="0" w:color="auto"/>
              </w:divBdr>
            </w:div>
            <w:div w:id="1637291611">
              <w:marLeft w:val="0"/>
              <w:marRight w:val="0"/>
              <w:marTop w:val="0"/>
              <w:marBottom w:val="0"/>
              <w:divBdr>
                <w:top w:val="none" w:sz="0" w:space="0" w:color="auto"/>
                <w:left w:val="none" w:sz="0" w:space="0" w:color="auto"/>
                <w:bottom w:val="none" w:sz="0" w:space="0" w:color="auto"/>
                <w:right w:val="none" w:sz="0" w:space="0" w:color="auto"/>
              </w:divBdr>
            </w:div>
            <w:div w:id="1792088924">
              <w:marLeft w:val="0"/>
              <w:marRight w:val="0"/>
              <w:marTop w:val="0"/>
              <w:marBottom w:val="0"/>
              <w:divBdr>
                <w:top w:val="none" w:sz="0" w:space="0" w:color="auto"/>
                <w:left w:val="none" w:sz="0" w:space="0" w:color="auto"/>
                <w:bottom w:val="none" w:sz="0" w:space="0" w:color="auto"/>
                <w:right w:val="none" w:sz="0" w:space="0" w:color="auto"/>
              </w:divBdr>
            </w:div>
            <w:div w:id="1879707160">
              <w:marLeft w:val="0"/>
              <w:marRight w:val="0"/>
              <w:marTop w:val="0"/>
              <w:marBottom w:val="0"/>
              <w:divBdr>
                <w:top w:val="none" w:sz="0" w:space="0" w:color="auto"/>
                <w:left w:val="none" w:sz="0" w:space="0" w:color="auto"/>
                <w:bottom w:val="none" w:sz="0" w:space="0" w:color="auto"/>
                <w:right w:val="none" w:sz="0" w:space="0" w:color="auto"/>
              </w:divBdr>
            </w:div>
            <w:div w:id="1954048552">
              <w:marLeft w:val="0"/>
              <w:marRight w:val="0"/>
              <w:marTop w:val="0"/>
              <w:marBottom w:val="0"/>
              <w:divBdr>
                <w:top w:val="none" w:sz="0" w:space="0" w:color="auto"/>
                <w:left w:val="none" w:sz="0" w:space="0" w:color="auto"/>
                <w:bottom w:val="none" w:sz="0" w:space="0" w:color="auto"/>
                <w:right w:val="none" w:sz="0" w:space="0" w:color="auto"/>
              </w:divBdr>
            </w:div>
            <w:div w:id="2023120931">
              <w:marLeft w:val="0"/>
              <w:marRight w:val="0"/>
              <w:marTop w:val="0"/>
              <w:marBottom w:val="0"/>
              <w:divBdr>
                <w:top w:val="none" w:sz="0" w:space="0" w:color="auto"/>
                <w:left w:val="none" w:sz="0" w:space="0" w:color="auto"/>
                <w:bottom w:val="none" w:sz="0" w:space="0" w:color="auto"/>
                <w:right w:val="none" w:sz="0" w:space="0" w:color="auto"/>
              </w:divBdr>
            </w:div>
            <w:div w:id="2025206461">
              <w:marLeft w:val="0"/>
              <w:marRight w:val="0"/>
              <w:marTop w:val="0"/>
              <w:marBottom w:val="0"/>
              <w:divBdr>
                <w:top w:val="none" w:sz="0" w:space="0" w:color="auto"/>
                <w:left w:val="none" w:sz="0" w:space="0" w:color="auto"/>
                <w:bottom w:val="none" w:sz="0" w:space="0" w:color="auto"/>
                <w:right w:val="none" w:sz="0" w:space="0" w:color="auto"/>
              </w:divBdr>
            </w:div>
            <w:div w:id="20896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19278">
      <w:bodyDiv w:val="1"/>
      <w:marLeft w:val="0"/>
      <w:marRight w:val="0"/>
      <w:marTop w:val="0"/>
      <w:marBottom w:val="0"/>
      <w:divBdr>
        <w:top w:val="none" w:sz="0" w:space="0" w:color="auto"/>
        <w:left w:val="none" w:sz="0" w:space="0" w:color="auto"/>
        <w:bottom w:val="none" w:sz="0" w:space="0" w:color="auto"/>
        <w:right w:val="none" w:sz="0" w:space="0" w:color="auto"/>
      </w:divBdr>
      <w:divsChild>
        <w:div w:id="38165677">
          <w:marLeft w:val="0"/>
          <w:marRight w:val="0"/>
          <w:marTop w:val="0"/>
          <w:marBottom w:val="0"/>
          <w:divBdr>
            <w:top w:val="none" w:sz="0" w:space="0" w:color="auto"/>
            <w:left w:val="none" w:sz="0" w:space="0" w:color="auto"/>
            <w:bottom w:val="none" w:sz="0" w:space="0" w:color="auto"/>
            <w:right w:val="none" w:sz="0" w:space="0" w:color="auto"/>
          </w:divBdr>
        </w:div>
        <w:div w:id="248851178">
          <w:marLeft w:val="0"/>
          <w:marRight w:val="0"/>
          <w:marTop w:val="0"/>
          <w:marBottom w:val="0"/>
          <w:divBdr>
            <w:top w:val="none" w:sz="0" w:space="0" w:color="auto"/>
            <w:left w:val="none" w:sz="0" w:space="0" w:color="auto"/>
            <w:bottom w:val="none" w:sz="0" w:space="0" w:color="auto"/>
            <w:right w:val="none" w:sz="0" w:space="0" w:color="auto"/>
          </w:divBdr>
        </w:div>
        <w:div w:id="296182851">
          <w:marLeft w:val="0"/>
          <w:marRight w:val="0"/>
          <w:marTop w:val="0"/>
          <w:marBottom w:val="0"/>
          <w:divBdr>
            <w:top w:val="none" w:sz="0" w:space="0" w:color="auto"/>
            <w:left w:val="none" w:sz="0" w:space="0" w:color="auto"/>
            <w:bottom w:val="none" w:sz="0" w:space="0" w:color="auto"/>
            <w:right w:val="none" w:sz="0" w:space="0" w:color="auto"/>
          </w:divBdr>
        </w:div>
        <w:div w:id="317736159">
          <w:marLeft w:val="0"/>
          <w:marRight w:val="0"/>
          <w:marTop w:val="0"/>
          <w:marBottom w:val="0"/>
          <w:divBdr>
            <w:top w:val="none" w:sz="0" w:space="0" w:color="auto"/>
            <w:left w:val="none" w:sz="0" w:space="0" w:color="auto"/>
            <w:bottom w:val="none" w:sz="0" w:space="0" w:color="auto"/>
            <w:right w:val="none" w:sz="0" w:space="0" w:color="auto"/>
          </w:divBdr>
        </w:div>
        <w:div w:id="351958353">
          <w:marLeft w:val="0"/>
          <w:marRight w:val="0"/>
          <w:marTop w:val="0"/>
          <w:marBottom w:val="0"/>
          <w:divBdr>
            <w:top w:val="none" w:sz="0" w:space="0" w:color="auto"/>
            <w:left w:val="none" w:sz="0" w:space="0" w:color="auto"/>
            <w:bottom w:val="none" w:sz="0" w:space="0" w:color="auto"/>
            <w:right w:val="none" w:sz="0" w:space="0" w:color="auto"/>
          </w:divBdr>
        </w:div>
        <w:div w:id="415790166">
          <w:marLeft w:val="0"/>
          <w:marRight w:val="0"/>
          <w:marTop w:val="0"/>
          <w:marBottom w:val="0"/>
          <w:divBdr>
            <w:top w:val="none" w:sz="0" w:space="0" w:color="auto"/>
            <w:left w:val="none" w:sz="0" w:space="0" w:color="auto"/>
            <w:bottom w:val="none" w:sz="0" w:space="0" w:color="auto"/>
            <w:right w:val="none" w:sz="0" w:space="0" w:color="auto"/>
          </w:divBdr>
        </w:div>
        <w:div w:id="499271273">
          <w:marLeft w:val="0"/>
          <w:marRight w:val="0"/>
          <w:marTop w:val="0"/>
          <w:marBottom w:val="0"/>
          <w:divBdr>
            <w:top w:val="none" w:sz="0" w:space="0" w:color="auto"/>
            <w:left w:val="none" w:sz="0" w:space="0" w:color="auto"/>
            <w:bottom w:val="none" w:sz="0" w:space="0" w:color="auto"/>
            <w:right w:val="none" w:sz="0" w:space="0" w:color="auto"/>
          </w:divBdr>
        </w:div>
        <w:div w:id="570772785">
          <w:marLeft w:val="0"/>
          <w:marRight w:val="0"/>
          <w:marTop w:val="0"/>
          <w:marBottom w:val="0"/>
          <w:divBdr>
            <w:top w:val="none" w:sz="0" w:space="0" w:color="auto"/>
            <w:left w:val="none" w:sz="0" w:space="0" w:color="auto"/>
            <w:bottom w:val="none" w:sz="0" w:space="0" w:color="auto"/>
            <w:right w:val="none" w:sz="0" w:space="0" w:color="auto"/>
          </w:divBdr>
        </w:div>
        <w:div w:id="612399256">
          <w:marLeft w:val="0"/>
          <w:marRight w:val="0"/>
          <w:marTop w:val="0"/>
          <w:marBottom w:val="0"/>
          <w:divBdr>
            <w:top w:val="none" w:sz="0" w:space="0" w:color="auto"/>
            <w:left w:val="none" w:sz="0" w:space="0" w:color="auto"/>
            <w:bottom w:val="none" w:sz="0" w:space="0" w:color="auto"/>
            <w:right w:val="none" w:sz="0" w:space="0" w:color="auto"/>
          </w:divBdr>
        </w:div>
        <w:div w:id="666636353">
          <w:marLeft w:val="0"/>
          <w:marRight w:val="0"/>
          <w:marTop w:val="0"/>
          <w:marBottom w:val="0"/>
          <w:divBdr>
            <w:top w:val="none" w:sz="0" w:space="0" w:color="auto"/>
            <w:left w:val="none" w:sz="0" w:space="0" w:color="auto"/>
            <w:bottom w:val="none" w:sz="0" w:space="0" w:color="auto"/>
            <w:right w:val="none" w:sz="0" w:space="0" w:color="auto"/>
          </w:divBdr>
        </w:div>
        <w:div w:id="716051912">
          <w:marLeft w:val="0"/>
          <w:marRight w:val="0"/>
          <w:marTop w:val="0"/>
          <w:marBottom w:val="0"/>
          <w:divBdr>
            <w:top w:val="none" w:sz="0" w:space="0" w:color="auto"/>
            <w:left w:val="none" w:sz="0" w:space="0" w:color="auto"/>
            <w:bottom w:val="none" w:sz="0" w:space="0" w:color="auto"/>
            <w:right w:val="none" w:sz="0" w:space="0" w:color="auto"/>
          </w:divBdr>
        </w:div>
        <w:div w:id="722679725">
          <w:marLeft w:val="0"/>
          <w:marRight w:val="0"/>
          <w:marTop w:val="0"/>
          <w:marBottom w:val="0"/>
          <w:divBdr>
            <w:top w:val="none" w:sz="0" w:space="0" w:color="auto"/>
            <w:left w:val="none" w:sz="0" w:space="0" w:color="auto"/>
            <w:bottom w:val="none" w:sz="0" w:space="0" w:color="auto"/>
            <w:right w:val="none" w:sz="0" w:space="0" w:color="auto"/>
          </w:divBdr>
        </w:div>
        <w:div w:id="795804102">
          <w:marLeft w:val="0"/>
          <w:marRight w:val="0"/>
          <w:marTop w:val="0"/>
          <w:marBottom w:val="0"/>
          <w:divBdr>
            <w:top w:val="none" w:sz="0" w:space="0" w:color="auto"/>
            <w:left w:val="none" w:sz="0" w:space="0" w:color="auto"/>
            <w:bottom w:val="none" w:sz="0" w:space="0" w:color="auto"/>
            <w:right w:val="none" w:sz="0" w:space="0" w:color="auto"/>
          </w:divBdr>
        </w:div>
        <w:div w:id="796681944">
          <w:marLeft w:val="0"/>
          <w:marRight w:val="0"/>
          <w:marTop w:val="0"/>
          <w:marBottom w:val="0"/>
          <w:divBdr>
            <w:top w:val="none" w:sz="0" w:space="0" w:color="auto"/>
            <w:left w:val="none" w:sz="0" w:space="0" w:color="auto"/>
            <w:bottom w:val="none" w:sz="0" w:space="0" w:color="auto"/>
            <w:right w:val="none" w:sz="0" w:space="0" w:color="auto"/>
          </w:divBdr>
        </w:div>
        <w:div w:id="849103171">
          <w:marLeft w:val="0"/>
          <w:marRight w:val="0"/>
          <w:marTop w:val="0"/>
          <w:marBottom w:val="0"/>
          <w:divBdr>
            <w:top w:val="none" w:sz="0" w:space="0" w:color="auto"/>
            <w:left w:val="none" w:sz="0" w:space="0" w:color="auto"/>
            <w:bottom w:val="none" w:sz="0" w:space="0" w:color="auto"/>
            <w:right w:val="none" w:sz="0" w:space="0" w:color="auto"/>
          </w:divBdr>
        </w:div>
        <w:div w:id="904727365">
          <w:marLeft w:val="0"/>
          <w:marRight w:val="0"/>
          <w:marTop w:val="0"/>
          <w:marBottom w:val="0"/>
          <w:divBdr>
            <w:top w:val="none" w:sz="0" w:space="0" w:color="auto"/>
            <w:left w:val="none" w:sz="0" w:space="0" w:color="auto"/>
            <w:bottom w:val="none" w:sz="0" w:space="0" w:color="auto"/>
            <w:right w:val="none" w:sz="0" w:space="0" w:color="auto"/>
          </w:divBdr>
        </w:div>
        <w:div w:id="1075470324">
          <w:marLeft w:val="0"/>
          <w:marRight w:val="0"/>
          <w:marTop w:val="0"/>
          <w:marBottom w:val="0"/>
          <w:divBdr>
            <w:top w:val="none" w:sz="0" w:space="0" w:color="auto"/>
            <w:left w:val="none" w:sz="0" w:space="0" w:color="auto"/>
            <w:bottom w:val="none" w:sz="0" w:space="0" w:color="auto"/>
            <w:right w:val="none" w:sz="0" w:space="0" w:color="auto"/>
          </w:divBdr>
        </w:div>
        <w:div w:id="1332021524">
          <w:marLeft w:val="0"/>
          <w:marRight w:val="0"/>
          <w:marTop w:val="0"/>
          <w:marBottom w:val="0"/>
          <w:divBdr>
            <w:top w:val="none" w:sz="0" w:space="0" w:color="auto"/>
            <w:left w:val="none" w:sz="0" w:space="0" w:color="auto"/>
            <w:bottom w:val="none" w:sz="0" w:space="0" w:color="auto"/>
            <w:right w:val="none" w:sz="0" w:space="0" w:color="auto"/>
          </w:divBdr>
        </w:div>
        <w:div w:id="1407533902">
          <w:marLeft w:val="0"/>
          <w:marRight w:val="0"/>
          <w:marTop w:val="0"/>
          <w:marBottom w:val="0"/>
          <w:divBdr>
            <w:top w:val="none" w:sz="0" w:space="0" w:color="auto"/>
            <w:left w:val="none" w:sz="0" w:space="0" w:color="auto"/>
            <w:bottom w:val="none" w:sz="0" w:space="0" w:color="auto"/>
            <w:right w:val="none" w:sz="0" w:space="0" w:color="auto"/>
          </w:divBdr>
        </w:div>
        <w:div w:id="1411271906">
          <w:marLeft w:val="0"/>
          <w:marRight w:val="0"/>
          <w:marTop w:val="0"/>
          <w:marBottom w:val="0"/>
          <w:divBdr>
            <w:top w:val="none" w:sz="0" w:space="0" w:color="auto"/>
            <w:left w:val="none" w:sz="0" w:space="0" w:color="auto"/>
            <w:bottom w:val="none" w:sz="0" w:space="0" w:color="auto"/>
            <w:right w:val="none" w:sz="0" w:space="0" w:color="auto"/>
          </w:divBdr>
        </w:div>
        <w:div w:id="1413814525">
          <w:marLeft w:val="0"/>
          <w:marRight w:val="0"/>
          <w:marTop w:val="0"/>
          <w:marBottom w:val="0"/>
          <w:divBdr>
            <w:top w:val="none" w:sz="0" w:space="0" w:color="auto"/>
            <w:left w:val="none" w:sz="0" w:space="0" w:color="auto"/>
            <w:bottom w:val="none" w:sz="0" w:space="0" w:color="auto"/>
            <w:right w:val="none" w:sz="0" w:space="0" w:color="auto"/>
          </w:divBdr>
        </w:div>
        <w:div w:id="1445340488">
          <w:marLeft w:val="0"/>
          <w:marRight w:val="0"/>
          <w:marTop w:val="0"/>
          <w:marBottom w:val="0"/>
          <w:divBdr>
            <w:top w:val="none" w:sz="0" w:space="0" w:color="auto"/>
            <w:left w:val="none" w:sz="0" w:space="0" w:color="auto"/>
            <w:bottom w:val="none" w:sz="0" w:space="0" w:color="auto"/>
            <w:right w:val="none" w:sz="0" w:space="0" w:color="auto"/>
          </w:divBdr>
        </w:div>
        <w:div w:id="1505825851">
          <w:marLeft w:val="0"/>
          <w:marRight w:val="0"/>
          <w:marTop w:val="0"/>
          <w:marBottom w:val="0"/>
          <w:divBdr>
            <w:top w:val="none" w:sz="0" w:space="0" w:color="auto"/>
            <w:left w:val="none" w:sz="0" w:space="0" w:color="auto"/>
            <w:bottom w:val="none" w:sz="0" w:space="0" w:color="auto"/>
            <w:right w:val="none" w:sz="0" w:space="0" w:color="auto"/>
          </w:divBdr>
        </w:div>
        <w:div w:id="1598751480">
          <w:marLeft w:val="0"/>
          <w:marRight w:val="0"/>
          <w:marTop w:val="0"/>
          <w:marBottom w:val="0"/>
          <w:divBdr>
            <w:top w:val="none" w:sz="0" w:space="0" w:color="auto"/>
            <w:left w:val="none" w:sz="0" w:space="0" w:color="auto"/>
            <w:bottom w:val="none" w:sz="0" w:space="0" w:color="auto"/>
            <w:right w:val="none" w:sz="0" w:space="0" w:color="auto"/>
          </w:divBdr>
        </w:div>
        <w:div w:id="1617323242">
          <w:marLeft w:val="0"/>
          <w:marRight w:val="0"/>
          <w:marTop w:val="0"/>
          <w:marBottom w:val="0"/>
          <w:divBdr>
            <w:top w:val="none" w:sz="0" w:space="0" w:color="auto"/>
            <w:left w:val="none" w:sz="0" w:space="0" w:color="auto"/>
            <w:bottom w:val="none" w:sz="0" w:space="0" w:color="auto"/>
            <w:right w:val="none" w:sz="0" w:space="0" w:color="auto"/>
          </w:divBdr>
        </w:div>
        <w:div w:id="1765880947">
          <w:marLeft w:val="0"/>
          <w:marRight w:val="0"/>
          <w:marTop w:val="0"/>
          <w:marBottom w:val="0"/>
          <w:divBdr>
            <w:top w:val="none" w:sz="0" w:space="0" w:color="auto"/>
            <w:left w:val="none" w:sz="0" w:space="0" w:color="auto"/>
            <w:bottom w:val="none" w:sz="0" w:space="0" w:color="auto"/>
            <w:right w:val="none" w:sz="0" w:space="0" w:color="auto"/>
          </w:divBdr>
        </w:div>
        <w:div w:id="1809853704">
          <w:marLeft w:val="0"/>
          <w:marRight w:val="0"/>
          <w:marTop w:val="0"/>
          <w:marBottom w:val="0"/>
          <w:divBdr>
            <w:top w:val="none" w:sz="0" w:space="0" w:color="auto"/>
            <w:left w:val="none" w:sz="0" w:space="0" w:color="auto"/>
            <w:bottom w:val="none" w:sz="0" w:space="0" w:color="auto"/>
            <w:right w:val="none" w:sz="0" w:space="0" w:color="auto"/>
          </w:divBdr>
        </w:div>
        <w:div w:id="1962803717">
          <w:marLeft w:val="0"/>
          <w:marRight w:val="0"/>
          <w:marTop w:val="0"/>
          <w:marBottom w:val="0"/>
          <w:divBdr>
            <w:top w:val="none" w:sz="0" w:space="0" w:color="auto"/>
            <w:left w:val="none" w:sz="0" w:space="0" w:color="auto"/>
            <w:bottom w:val="none" w:sz="0" w:space="0" w:color="auto"/>
            <w:right w:val="none" w:sz="0" w:space="0" w:color="auto"/>
          </w:divBdr>
        </w:div>
        <w:div w:id="2048866220">
          <w:marLeft w:val="0"/>
          <w:marRight w:val="0"/>
          <w:marTop w:val="0"/>
          <w:marBottom w:val="0"/>
          <w:divBdr>
            <w:top w:val="none" w:sz="0" w:space="0" w:color="auto"/>
            <w:left w:val="none" w:sz="0" w:space="0" w:color="auto"/>
            <w:bottom w:val="none" w:sz="0" w:space="0" w:color="auto"/>
            <w:right w:val="none" w:sz="0" w:space="0" w:color="auto"/>
          </w:divBdr>
        </w:div>
        <w:div w:id="2071225152">
          <w:marLeft w:val="0"/>
          <w:marRight w:val="0"/>
          <w:marTop w:val="0"/>
          <w:marBottom w:val="0"/>
          <w:divBdr>
            <w:top w:val="none" w:sz="0" w:space="0" w:color="auto"/>
            <w:left w:val="none" w:sz="0" w:space="0" w:color="auto"/>
            <w:bottom w:val="none" w:sz="0" w:space="0" w:color="auto"/>
            <w:right w:val="none" w:sz="0" w:space="0" w:color="auto"/>
          </w:divBdr>
        </w:div>
      </w:divsChild>
    </w:div>
    <w:div w:id="268240820">
      <w:bodyDiv w:val="1"/>
      <w:marLeft w:val="0"/>
      <w:marRight w:val="0"/>
      <w:marTop w:val="0"/>
      <w:marBottom w:val="0"/>
      <w:divBdr>
        <w:top w:val="none" w:sz="0" w:space="0" w:color="auto"/>
        <w:left w:val="none" w:sz="0" w:space="0" w:color="auto"/>
        <w:bottom w:val="none" w:sz="0" w:space="0" w:color="auto"/>
        <w:right w:val="none" w:sz="0" w:space="0" w:color="auto"/>
      </w:divBdr>
      <w:divsChild>
        <w:div w:id="108622277">
          <w:marLeft w:val="0"/>
          <w:marRight w:val="0"/>
          <w:marTop w:val="0"/>
          <w:marBottom w:val="0"/>
          <w:divBdr>
            <w:top w:val="none" w:sz="0" w:space="0" w:color="auto"/>
            <w:left w:val="none" w:sz="0" w:space="0" w:color="auto"/>
            <w:bottom w:val="none" w:sz="0" w:space="0" w:color="auto"/>
            <w:right w:val="none" w:sz="0" w:space="0" w:color="auto"/>
          </w:divBdr>
        </w:div>
        <w:div w:id="760103738">
          <w:marLeft w:val="0"/>
          <w:marRight w:val="0"/>
          <w:marTop w:val="0"/>
          <w:marBottom w:val="0"/>
          <w:divBdr>
            <w:top w:val="none" w:sz="0" w:space="0" w:color="auto"/>
            <w:left w:val="none" w:sz="0" w:space="0" w:color="auto"/>
            <w:bottom w:val="none" w:sz="0" w:space="0" w:color="auto"/>
            <w:right w:val="none" w:sz="0" w:space="0" w:color="auto"/>
          </w:divBdr>
        </w:div>
        <w:div w:id="785659595">
          <w:marLeft w:val="0"/>
          <w:marRight w:val="0"/>
          <w:marTop w:val="0"/>
          <w:marBottom w:val="0"/>
          <w:divBdr>
            <w:top w:val="none" w:sz="0" w:space="0" w:color="auto"/>
            <w:left w:val="none" w:sz="0" w:space="0" w:color="auto"/>
            <w:bottom w:val="none" w:sz="0" w:space="0" w:color="auto"/>
            <w:right w:val="none" w:sz="0" w:space="0" w:color="auto"/>
          </w:divBdr>
        </w:div>
        <w:div w:id="823088670">
          <w:marLeft w:val="0"/>
          <w:marRight w:val="0"/>
          <w:marTop w:val="0"/>
          <w:marBottom w:val="0"/>
          <w:divBdr>
            <w:top w:val="none" w:sz="0" w:space="0" w:color="auto"/>
            <w:left w:val="none" w:sz="0" w:space="0" w:color="auto"/>
            <w:bottom w:val="none" w:sz="0" w:space="0" w:color="auto"/>
            <w:right w:val="none" w:sz="0" w:space="0" w:color="auto"/>
          </w:divBdr>
        </w:div>
        <w:div w:id="1084765844">
          <w:marLeft w:val="0"/>
          <w:marRight w:val="0"/>
          <w:marTop w:val="0"/>
          <w:marBottom w:val="0"/>
          <w:divBdr>
            <w:top w:val="none" w:sz="0" w:space="0" w:color="auto"/>
            <w:left w:val="none" w:sz="0" w:space="0" w:color="auto"/>
            <w:bottom w:val="none" w:sz="0" w:space="0" w:color="auto"/>
            <w:right w:val="none" w:sz="0" w:space="0" w:color="auto"/>
          </w:divBdr>
        </w:div>
        <w:div w:id="1133913836">
          <w:marLeft w:val="0"/>
          <w:marRight w:val="0"/>
          <w:marTop w:val="0"/>
          <w:marBottom w:val="0"/>
          <w:divBdr>
            <w:top w:val="none" w:sz="0" w:space="0" w:color="auto"/>
            <w:left w:val="none" w:sz="0" w:space="0" w:color="auto"/>
            <w:bottom w:val="none" w:sz="0" w:space="0" w:color="auto"/>
            <w:right w:val="none" w:sz="0" w:space="0" w:color="auto"/>
          </w:divBdr>
        </w:div>
        <w:div w:id="1394159995">
          <w:marLeft w:val="0"/>
          <w:marRight w:val="0"/>
          <w:marTop w:val="0"/>
          <w:marBottom w:val="0"/>
          <w:divBdr>
            <w:top w:val="none" w:sz="0" w:space="0" w:color="auto"/>
            <w:left w:val="none" w:sz="0" w:space="0" w:color="auto"/>
            <w:bottom w:val="none" w:sz="0" w:space="0" w:color="auto"/>
            <w:right w:val="none" w:sz="0" w:space="0" w:color="auto"/>
          </w:divBdr>
        </w:div>
        <w:div w:id="1545680209">
          <w:marLeft w:val="0"/>
          <w:marRight w:val="0"/>
          <w:marTop w:val="0"/>
          <w:marBottom w:val="0"/>
          <w:divBdr>
            <w:top w:val="none" w:sz="0" w:space="0" w:color="auto"/>
            <w:left w:val="none" w:sz="0" w:space="0" w:color="auto"/>
            <w:bottom w:val="none" w:sz="0" w:space="0" w:color="auto"/>
            <w:right w:val="none" w:sz="0" w:space="0" w:color="auto"/>
          </w:divBdr>
        </w:div>
        <w:div w:id="1637299057">
          <w:marLeft w:val="0"/>
          <w:marRight w:val="0"/>
          <w:marTop w:val="0"/>
          <w:marBottom w:val="0"/>
          <w:divBdr>
            <w:top w:val="none" w:sz="0" w:space="0" w:color="auto"/>
            <w:left w:val="none" w:sz="0" w:space="0" w:color="auto"/>
            <w:bottom w:val="none" w:sz="0" w:space="0" w:color="auto"/>
            <w:right w:val="none" w:sz="0" w:space="0" w:color="auto"/>
          </w:divBdr>
        </w:div>
        <w:div w:id="2041515591">
          <w:marLeft w:val="0"/>
          <w:marRight w:val="0"/>
          <w:marTop w:val="0"/>
          <w:marBottom w:val="0"/>
          <w:divBdr>
            <w:top w:val="none" w:sz="0" w:space="0" w:color="auto"/>
            <w:left w:val="none" w:sz="0" w:space="0" w:color="auto"/>
            <w:bottom w:val="none" w:sz="0" w:space="0" w:color="auto"/>
            <w:right w:val="none" w:sz="0" w:space="0" w:color="auto"/>
          </w:divBdr>
        </w:div>
      </w:divsChild>
    </w:div>
    <w:div w:id="273951738">
      <w:bodyDiv w:val="1"/>
      <w:marLeft w:val="0"/>
      <w:marRight w:val="0"/>
      <w:marTop w:val="0"/>
      <w:marBottom w:val="0"/>
      <w:divBdr>
        <w:top w:val="none" w:sz="0" w:space="0" w:color="auto"/>
        <w:left w:val="none" w:sz="0" w:space="0" w:color="auto"/>
        <w:bottom w:val="none" w:sz="0" w:space="0" w:color="auto"/>
        <w:right w:val="none" w:sz="0" w:space="0" w:color="auto"/>
      </w:divBdr>
      <w:divsChild>
        <w:div w:id="526211909">
          <w:marLeft w:val="0"/>
          <w:marRight w:val="0"/>
          <w:marTop w:val="0"/>
          <w:marBottom w:val="0"/>
          <w:divBdr>
            <w:top w:val="none" w:sz="0" w:space="0" w:color="auto"/>
            <w:left w:val="none" w:sz="0" w:space="0" w:color="auto"/>
            <w:bottom w:val="none" w:sz="0" w:space="0" w:color="auto"/>
            <w:right w:val="none" w:sz="0" w:space="0" w:color="auto"/>
          </w:divBdr>
        </w:div>
      </w:divsChild>
    </w:div>
    <w:div w:id="290400386">
      <w:bodyDiv w:val="1"/>
      <w:marLeft w:val="0"/>
      <w:marRight w:val="0"/>
      <w:marTop w:val="0"/>
      <w:marBottom w:val="0"/>
      <w:divBdr>
        <w:top w:val="none" w:sz="0" w:space="0" w:color="auto"/>
        <w:left w:val="none" w:sz="0" w:space="0" w:color="auto"/>
        <w:bottom w:val="none" w:sz="0" w:space="0" w:color="auto"/>
        <w:right w:val="none" w:sz="0" w:space="0" w:color="auto"/>
      </w:divBdr>
    </w:div>
    <w:div w:id="295140286">
      <w:bodyDiv w:val="1"/>
      <w:marLeft w:val="0"/>
      <w:marRight w:val="0"/>
      <w:marTop w:val="0"/>
      <w:marBottom w:val="0"/>
      <w:divBdr>
        <w:top w:val="none" w:sz="0" w:space="0" w:color="auto"/>
        <w:left w:val="none" w:sz="0" w:space="0" w:color="auto"/>
        <w:bottom w:val="none" w:sz="0" w:space="0" w:color="auto"/>
        <w:right w:val="none" w:sz="0" w:space="0" w:color="auto"/>
      </w:divBdr>
      <w:divsChild>
        <w:div w:id="4789590">
          <w:marLeft w:val="0"/>
          <w:marRight w:val="0"/>
          <w:marTop w:val="0"/>
          <w:marBottom w:val="0"/>
          <w:divBdr>
            <w:top w:val="none" w:sz="0" w:space="0" w:color="auto"/>
            <w:left w:val="none" w:sz="0" w:space="0" w:color="auto"/>
            <w:bottom w:val="none" w:sz="0" w:space="0" w:color="auto"/>
            <w:right w:val="none" w:sz="0" w:space="0" w:color="auto"/>
          </w:divBdr>
        </w:div>
        <w:div w:id="765880914">
          <w:marLeft w:val="0"/>
          <w:marRight w:val="0"/>
          <w:marTop w:val="0"/>
          <w:marBottom w:val="0"/>
          <w:divBdr>
            <w:top w:val="none" w:sz="0" w:space="0" w:color="auto"/>
            <w:left w:val="none" w:sz="0" w:space="0" w:color="auto"/>
            <w:bottom w:val="none" w:sz="0" w:space="0" w:color="auto"/>
            <w:right w:val="none" w:sz="0" w:space="0" w:color="auto"/>
          </w:divBdr>
        </w:div>
        <w:div w:id="2086762521">
          <w:marLeft w:val="0"/>
          <w:marRight w:val="0"/>
          <w:marTop w:val="0"/>
          <w:marBottom w:val="0"/>
          <w:divBdr>
            <w:top w:val="none" w:sz="0" w:space="0" w:color="auto"/>
            <w:left w:val="none" w:sz="0" w:space="0" w:color="auto"/>
            <w:bottom w:val="none" w:sz="0" w:space="0" w:color="auto"/>
            <w:right w:val="none" w:sz="0" w:space="0" w:color="auto"/>
          </w:divBdr>
        </w:div>
      </w:divsChild>
    </w:div>
    <w:div w:id="316609991">
      <w:bodyDiv w:val="1"/>
      <w:marLeft w:val="0"/>
      <w:marRight w:val="0"/>
      <w:marTop w:val="0"/>
      <w:marBottom w:val="0"/>
      <w:divBdr>
        <w:top w:val="none" w:sz="0" w:space="0" w:color="auto"/>
        <w:left w:val="none" w:sz="0" w:space="0" w:color="auto"/>
        <w:bottom w:val="none" w:sz="0" w:space="0" w:color="auto"/>
        <w:right w:val="none" w:sz="0" w:space="0" w:color="auto"/>
      </w:divBdr>
      <w:divsChild>
        <w:div w:id="91365769">
          <w:marLeft w:val="0"/>
          <w:marRight w:val="0"/>
          <w:marTop w:val="0"/>
          <w:marBottom w:val="0"/>
          <w:divBdr>
            <w:top w:val="none" w:sz="0" w:space="0" w:color="auto"/>
            <w:left w:val="none" w:sz="0" w:space="0" w:color="auto"/>
            <w:bottom w:val="none" w:sz="0" w:space="0" w:color="auto"/>
            <w:right w:val="none" w:sz="0" w:space="0" w:color="auto"/>
          </w:divBdr>
          <w:divsChild>
            <w:div w:id="3173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0245">
      <w:bodyDiv w:val="1"/>
      <w:marLeft w:val="0"/>
      <w:marRight w:val="0"/>
      <w:marTop w:val="0"/>
      <w:marBottom w:val="0"/>
      <w:divBdr>
        <w:top w:val="none" w:sz="0" w:space="0" w:color="auto"/>
        <w:left w:val="none" w:sz="0" w:space="0" w:color="auto"/>
        <w:bottom w:val="none" w:sz="0" w:space="0" w:color="auto"/>
        <w:right w:val="none" w:sz="0" w:space="0" w:color="auto"/>
      </w:divBdr>
      <w:divsChild>
        <w:div w:id="4404762">
          <w:marLeft w:val="0"/>
          <w:marRight w:val="0"/>
          <w:marTop w:val="0"/>
          <w:marBottom w:val="0"/>
          <w:divBdr>
            <w:top w:val="none" w:sz="0" w:space="0" w:color="auto"/>
            <w:left w:val="none" w:sz="0" w:space="0" w:color="auto"/>
            <w:bottom w:val="none" w:sz="0" w:space="0" w:color="auto"/>
            <w:right w:val="none" w:sz="0" w:space="0" w:color="auto"/>
          </w:divBdr>
        </w:div>
        <w:div w:id="370960943">
          <w:marLeft w:val="0"/>
          <w:marRight w:val="0"/>
          <w:marTop w:val="0"/>
          <w:marBottom w:val="0"/>
          <w:divBdr>
            <w:top w:val="none" w:sz="0" w:space="0" w:color="auto"/>
            <w:left w:val="none" w:sz="0" w:space="0" w:color="auto"/>
            <w:bottom w:val="none" w:sz="0" w:space="0" w:color="auto"/>
            <w:right w:val="none" w:sz="0" w:space="0" w:color="auto"/>
          </w:divBdr>
        </w:div>
        <w:div w:id="1148060572">
          <w:marLeft w:val="0"/>
          <w:marRight w:val="0"/>
          <w:marTop w:val="0"/>
          <w:marBottom w:val="0"/>
          <w:divBdr>
            <w:top w:val="none" w:sz="0" w:space="0" w:color="auto"/>
            <w:left w:val="none" w:sz="0" w:space="0" w:color="auto"/>
            <w:bottom w:val="none" w:sz="0" w:space="0" w:color="auto"/>
            <w:right w:val="none" w:sz="0" w:space="0" w:color="auto"/>
          </w:divBdr>
        </w:div>
      </w:divsChild>
    </w:div>
    <w:div w:id="321474740">
      <w:bodyDiv w:val="1"/>
      <w:marLeft w:val="0"/>
      <w:marRight w:val="0"/>
      <w:marTop w:val="0"/>
      <w:marBottom w:val="0"/>
      <w:divBdr>
        <w:top w:val="none" w:sz="0" w:space="0" w:color="auto"/>
        <w:left w:val="none" w:sz="0" w:space="0" w:color="auto"/>
        <w:bottom w:val="none" w:sz="0" w:space="0" w:color="auto"/>
        <w:right w:val="none" w:sz="0" w:space="0" w:color="auto"/>
      </w:divBdr>
      <w:divsChild>
        <w:div w:id="1434859840">
          <w:marLeft w:val="0"/>
          <w:marRight w:val="0"/>
          <w:marTop w:val="0"/>
          <w:marBottom w:val="0"/>
          <w:divBdr>
            <w:top w:val="none" w:sz="0" w:space="0" w:color="auto"/>
            <w:left w:val="none" w:sz="0" w:space="0" w:color="auto"/>
            <w:bottom w:val="none" w:sz="0" w:space="0" w:color="auto"/>
            <w:right w:val="none" w:sz="0" w:space="0" w:color="auto"/>
          </w:divBdr>
        </w:div>
        <w:div w:id="1792944081">
          <w:marLeft w:val="0"/>
          <w:marRight w:val="0"/>
          <w:marTop w:val="0"/>
          <w:marBottom w:val="0"/>
          <w:divBdr>
            <w:top w:val="none" w:sz="0" w:space="0" w:color="auto"/>
            <w:left w:val="none" w:sz="0" w:space="0" w:color="auto"/>
            <w:bottom w:val="none" w:sz="0" w:space="0" w:color="auto"/>
            <w:right w:val="none" w:sz="0" w:space="0" w:color="auto"/>
          </w:divBdr>
        </w:div>
      </w:divsChild>
    </w:div>
    <w:div w:id="332882090">
      <w:bodyDiv w:val="1"/>
      <w:marLeft w:val="0"/>
      <w:marRight w:val="0"/>
      <w:marTop w:val="0"/>
      <w:marBottom w:val="0"/>
      <w:divBdr>
        <w:top w:val="none" w:sz="0" w:space="0" w:color="auto"/>
        <w:left w:val="none" w:sz="0" w:space="0" w:color="auto"/>
        <w:bottom w:val="none" w:sz="0" w:space="0" w:color="auto"/>
        <w:right w:val="none" w:sz="0" w:space="0" w:color="auto"/>
      </w:divBdr>
      <w:divsChild>
        <w:div w:id="674265193">
          <w:marLeft w:val="0"/>
          <w:marRight w:val="0"/>
          <w:marTop w:val="0"/>
          <w:marBottom w:val="0"/>
          <w:divBdr>
            <w:top w:val="none" w:sz="0" w:space="0" w:color="auto"/>
            <w:left w:val="none" w:sz="0" w:space="0" w:color="auto"/>
            <w:bottom w:val="none" w:sz="0" w:space="0" w:color="auto"/>
            <w:right w:val="none" w:sz="0" w:space="0" w:color="auto"/>
          </w:divBdr>
        </w:div>
        <w:div w:id="2054384418">
          <w:marLeft w:val="0"/>
          <w:marRight w:val="0"/>
          <w:marTop w:val="0"/>
          <w:marBottom w:val="0"/>
          <w:divBdr>
            <w:top w:val="none" w:sz="0" w:space="0" w:color="auto"/>
            <w:left w:val="none" w:sz="0" w:space="0" w:color="auto"/>
            <w:bottom w:val="none" w:sz="0" w:space="0" w:color="auto"/>
            <w:right w:val="none" w:sz="0" w:space="0" w:color="auto"/>
          </w:divBdr>
        </w:div>
      </w:divsChild>
    </w:div>
    <w:div w:id="333800146">
      <w:bodyDiv w:val="1"/>
      <w:marLeft w:val="0"/>
      <w:marRight w:val="0"/>
      <w:marTop w:val="0"/>
      <w:marBottom w:val="0"/>
      <w:divBdr>
        <w:top w:val="none" w:sz="0" w:space="0" w:color="auto"/>
        <w:left w:val="none" w:sz="0" w:space="0" w:color="auto"/>
        <w:bottom w:val="none" w:sz="0" w:space="0" w:color="auto"/>
        <w:right w:val="none" w:sz="0" w:space="0" w:color="auto"/>
      </w:divBdr>
      <w:divsChild>
        <w:div w:id="1550260309">
          <w:marLeft w:val="0"/>
          <w:marRight w:val="0"/>
          <w:marTop w:val="0"/>
          <w:marBottom w:val="0"/>
          <w:divBdr>
            <w:top w:val="none" w:sz="0" w:space="0" w:color="auto"/>
            <w:left w:val="none" w:sz="0" w:space="0" w:color="auto"/>
            <w:bottom w:val="none" w:sz="0" w:space="0" w:color="auto"/>
            <w:right w:val="none" w:sz="0" w:space="0" w:color="auto"/>
          </w:divBdr>
          <w:divsChild>
            <w:div w:id="14680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52313">
      <w:bodyDiv w:val="1"/>
      <w:marLeft w:val="0"/>
      <w:marRight w:val="0"/>
      <w:marTop w:val="0"/>
      <w:marBottom w:val="0"/>
      <w:divBdr>
        <w:top w:val="none" w:sz="0" w:space="0" w:color="auto"/>
        <w:left w:val="none" w:sz="0" w:space="0" w:color="auto"/>
        <w:bottom w:val="none" w:sz="0" w:space="0" w:color="auto"/>
        <w:right w:val="none" w:sz="0" w:space="0" w:color="auto"/>
      </w:divBdr>
      <w:divsChild>
        <w:div w:id="1602101571">
          <w:marLeft w:val="0"/>
          <w:marRight w:val="0"/>
          <w:marTop w:val="0"/>
          <w:marBottom w:val="0"/>
          <w:divBdr>
            <w:top w:val="none" w:sz="0" w:space="0" w:color="auto"/>
            <w:left w:val="none" w:sz="0" w:space="0" w:color="auto"/>
            <w:bottom w:val="none" w:sz="0" w:space="0" w:color="auto"/>
            <w:right w:val="none" w:sz="0" w:space="0" w:color="auto"/>
          </w:divBdr>
        </w:div>
      </w:divsChild>
    </w:div>
    <w:div w:id="335697370">
      <w:bodyDiv w:val="1"/>
      <w:marLeft w:val="0"/>
      <w:marRight w:val="0"/>
      <w:marTop w:val="0"/>
      <w:marBottom w:val="0"/>
      <w:divBdr>
        <w:top w:val="none" w:sz="0" w:space="0" w:color="auto"/>
        <w:left w:val="none" w:sz="0" w:space="0" w:color="auto"/>
        <w:bottom w:val="none" w:sz="0" w:space="0" w:color="auto"/>
        <w:right w:val="none" w:sz="0" w:space="0" w:color="auto"/>
      </w:divBdr>
    </w:div>
    <w:div w:id="341666044">
      <w:bodyDiv w:val="1"/>
      <w:marLeft w:val="0"/>
      <w:marRight w:val="0"/>
      <w:marTop w:val="0"/>
      <w:marBottom w:val="0"/>
      <w:divBdr>
        <w:top w:val="none" w:sz="0" w:space="0" w:color="auto"/>
        <w:left w:val="none" w:sz="0" w:space="0" w:color="auto"/>
        <w:bottom w:val="none" w:sz="0" w:space="0" w:color="auto"/>
        <w:right w:val="none" w:sz="0" w:space="0" w:color="auto"/>
      </w:divBdr>
      <w:divsChild>
        <w:div w:id="85080729">
          <w:marLeft w:val="0"/>
          <w:marRight w:val="0"/>
          <w:marTop w:val="0"/>
          <w:marBottom w:val="0"/>
          <w:divBdr>
            <w:top w:val="none" w:sz="0" w:space="0" w:color="auto"/>
            <w:left w:val="none" w:sz="0" w:space="0" w:color="auto"/>
            <w:bottom w:val="none" w:sz="0" w:space="0" w:color="auto"/>
            <w:right w:val="none" w:sz="0" w:space="0" w:color="auto"/>
          </w:divBdr>
        </w:div>
        <w:div w:id="428544973">
          <w:marLeft w:val="0"/>
          <w:marRight w:val="0"/>
          <w:marTop w:val="0"/>
          <w:marBottom w:val="0"/>
          <w:divBdr>
            <w:top w:val="none" w:sz="0" w:space="0" w:color="auto"/>
            <w:left w:val="none" w:sz="0" w:space="0" w:color="auto"/>
            <w:bottom w:val="none" w:sz="0" w:space="0" w:color="auto"/>
            <w:right w:val="none" w:sz="0" w:space="0" w:color="auto"/>
          </w:divBdr>
        </w:div>
        <w:div w:id="603221625">
          <w:marLeft w:val="0"/>
          <w:marRight w:val="0"/>
          <w:marTop w:val="0"/>
          <w:marBottom w:val="0"/>
          <w:divBdr>
            <w:top w:val="none" w:sz="0" w:space="0" w:color="auto"/>
            <w:left w:val="none" w:sz="0" w:space="0" w:color="auto"/>
            <w:bottom w:val="none" w:sz="0" w:space="0" w:color="auto"/>
            <w:right w:val="none" w:sz="0" w:space="0" w:color="auto"/>
          </w:divBdr>
        </w:div>
        <w:div w:id="844788543">
          <w:marLeft w:val="0"/>
          <w:marRight w:val="0"/>
          <w:marTop w:val="0"/>
          <w:marBottom w:val="0"/>
          <w:divBdr>
            <w:top w:val="none" w:sz="0" w:space="0" w:color="auto"/>
            <w:left w:val="none" w:sz="0" w:space="0" w:color="auto"/>
            <w:bottom w:val="none" w:sz="0" w:space="0" w:color="auto"/>
            <w:right w:val="none" w:sz="0" w:space="0" w:color="auto"/>
          </w:divBdr>
        </w:div>
        <w:div w:id="956639622">
          <w:marLeft w:val="0"/>
          <w:marRight w:val="0"/>
          <w:marTop w:val="0"/>
          <w:marBottom w:val="0"/>
          <w:divBdr>
            <w:top w:val="none" w:sz="0" w:space="0" w:color="auto"/>
            <w:left w:val="none" w:sz="0" w:space="0" w:color="auto"/>
            <w:bottom w:val="none" w:sz="0" w:space="0" w:color="auto"/>
            <w:right w:val="none" w:sz="0" w:space="0" w:color="auto"/>
          </w:divBdr>
        </w:div>
        <w:div w:id="1198279406">
          <w:marLeft w:val="0"/>
          <w:marRight w:val="0"/>
          <w:marTop w:val="0"/>
          <w:marBottom w:val="0"/>
          <w:divBdr>
            <w:top w:val="none" w:sz="0" w:space="0" w:color="auto"/>
            <w:left w:val="none" w:sz="0" w:space="0" w:color="auto"/>
            <w:bottom w:val="none" w:sz="0" w:space="0" w:color="auto"/>
            <w:right w:val="none" w:sz="0" w:space="0" w:color="auto"/>
          </w:divBdr>
        </w:div>
        <w:div w:id="1538159418">
          <w:marLeft w:val="0"/>
          <w:marRight w:val="0"/>
          <w:marTop w:val="0"/>
          <w:marBottom w:val="0"/>
          <w:divBdr>
            <w:top w:val="none" w:sz="0" w:space="0" w:color="auto"/>
            <w:left w:val="none" w:sz="0" w:space="0" w:color="auto"/>
            <w:bottom w:val="none" w:sz="0" w:space="0" w:color="auto"/>
            <w:right w:val="none" w:sz="0" w:space="0" w:color="auto"/>
          </w:divBdr>
        </w:div>
      </w:divsChild>
    </w:div>
    <w:div w:id="349914151">
      <w:bodyDiv w:val="1"/>
      <w:marLeft w:val="0"/>
      <w:marRight w:val="0"/>
      <w:marTop w:val="0"/>
      <w:marBottom w:val="0"/>
      <w:divBdr>
        <w:top w:val="none" w:sz="0" w:space="0" w:color="auto"/>
        <w:left w:val="none" w:sz="0" w:space="0" w:color="auto"/>
        <w:bottom w:val="none" w:sz="0" w:space="0" w:color="auto"/>
        <w:right w:val="none" w:sz="0" w:space="0" w:color="auto"/>
      </w:divBdr>
      <w:divsChild>
        <w:div w:id="709762760">
          <w:marLeft w:val="0"/>
          <w:marRight w:val="0"/>
          <w:marTop w:val="0"/>
          <w:marBottom w:val="0"/>
          <w:divBdr>
            <w:top w:val="none" w:sz="0" w:space="0" w:color="auto"/>
            <w:left w:val="none" w:sz="0" w:space="0" w:color="auto"/>
            <w:bottom w:val="none" w:sz="0" w:space="0" w:color="auto"/>
            <w:right w:val="none" w:sz="0" w:space="0" w:color="auto"/>
          </w:divBdr>
        </w:div>
        <w:div w:id="1246844020">
          <w:marLeft w:val="0"/>
          <w:marRight w:val="0"/>
          <w:marTop w:val="0"/>
          <w:marBottom w:val="0"/>
          <w:divBdr>
            <w:top w:val="none" w:sz="0" w:space="0" w:color="auto"/>
            <w:left w:val="none" w:sz="0" w:space="0" w:color="auto"/>
            <w:bottom w:val="none" w:sz="0" w:space="0" w:color="auto"/>
            <w:right w:val="none" w:sz="0" w:space="0" w:color="auto"/>
          </w:divBdr>
        </w:div>
        <w:div w:id="1920943361">
          <w:marLeft w:val="0"/>
          <w:marRight w:val="0"/>
          <w:marTop w:val="0"/>
          <w:marBottom w:val="0"/>
          <w:divBdr>
            <w:top w:val="none" w:sz="0" w:space="0" w:color="auto"/>
            <w:left w:val="none" w:sz="0" w:space="0" w:color="auto"/>
            <w:bottom w:val="none" w:sz="0" w:space="0" w:color="auto"/>
            <w:right w:val="none" w:sz="0" w:space="0" w:color="auto"/>
          </w:divBdr>
        </w:div>
      </w:divsChild>
    </w:div>
    <w:div w:id="367030323">
      <w:bodyDiv w:val="1"/>
      <w:marLeft w:val="0"/>
      <w:marRight w:val="0"/>
      <w:marTop w:val="0"/>
      <w:marBottom w:val="0"/>
      <w:divBdr>
        <w:top w:val="none" w:sz="0" w:space="0" w:color="auto"/>
        <w:left w:val="none" w:sz="0" w:space="0" w:color="auto"/>
        <w:bottom w:val="none" w:sz="0" w:space="0" w:color="auto"/>
        <w:right w:val="none" w:sz="0" w:space="0" w:color="auto"/>
      </w:divBdr>
      <w:divsChild>
        <w:div w:id="435248041">
          <w:marLeft w:val="0"/>
          <w:marRight w:val="0"/>
          <w:marTop w:val="0"/>
          <w:marBottom w:val="0"/>
          <w:divBdr>
            <w:top w:val="none" w:sz="0" w:space="0" w:color="auto"/>
            <w:left w:val="none" w:sz="0" w:space="0" w:color="auto"/>
            <w:bottom w:val="none" w:sz="0" w:space="0" w:color="auto"/>
            <w:right w:val="none" w:sz="0" w:space="0" w:color="auto"/>
          </w:divBdr>
        </w:div>
      </w:divsChild>
    </w:div>
    <w:div w:id="371270381">
      <w:bodyDiv w:val="1"/>
      <w:marLeft w:val="0"/>
      <w:marRight w:val="0"/>
      <w:marTop w:val="0"/>
      <w:marBottom w:val="0"/>
      <w:divBdr>
        <w:top w:val="none" w:sz="0" w:space="0" w:color="auto"/>
        <w:left w:val="none" w:sz="0" w:space="0" w:color="auto"/>
        <w:bottom w:val="none" w:sz="0" w:space="0" w:color="auto"/>
        <w:right w:val="none" w:sz="0" w:space="0" w:color="auto"/>
      </w:divBdr>
    </w:div>
    <w:div w:id="375351409">
      <w:bodyDiv w:val="1"/>
      <w:marLeft w:val="0"/>
      <w:marRight w:val="0"/>
      <w:marTop w:val="0"/>
      <w:marBottom w:val="0"/>
      <w:divBdr>
        <w:top w:val="none" w:sz="0" w:space="0" w:color="auto"/>
        <w:left w:val="none" w:sz="0" w:space="0" w:color="auto"/>
        <w:bottom w:val="none" w:sz="0" w:space="0" w:color="auto"/>
        <w:right w:val="none" w:sz="0" w:space="0" w:color="auto"/>
      </w:divBdr>
    </w:div>
    <w:div w:id="380984103">
      <w:bodyDiv w:val="1"/>
      <w:marLeft w:val="0"/>
      <w:marRight w:val="0"/>
      <w:marTop w:val="0"/>
      <w:marBottom w:val="0"/>
      <w:divBdr>
        <w:top w:val="none" w:sz="0" w:space="0" w:color="auto"/>
        <w:left w:val="none" w:sz="0" w:space="0" w:color="auto"/>
        <w:bottom w:val="none" w:sz="0" w:space="0" w:color="auto"/>
        <w:right w:val="none" w:sz="0" w:space="0" w:color="auto"/>
      </w:divBdr>
      <w:divsChild>
        <w:div w:id="81730320">
          <w:marLeft w:val="0"/>
          <w:marRight w:val="0"/>
          <w:marTop w:val="0"/>
          <w:marBottom w:val="0"/>
          <w:divBdr>
            <w:top w:val="none" w:sz="0" w:space="0" w:color="auto"/>
            <w:left w:val="none" w:sz="0" w:space="0" w:color="auto"/>
            <w:bottom w:val="none" w:sz="0" w:space="0" w:color="auto"/>
            <w:right w:val="none" w:sz="0" w:space="0" w:color="auto"/>
          </w:divBdr>
        </w:div>
        <w:div w:id="1326661319">
          <w:marLeft w:val="0"/>
          <w:marRight w:val="0"/>
          <w:marTop w:val="0"/>
          <w:marBottom w:val="0"/>
          <w:divBdr>
            <w:top w:val="none" w:sz="0" w:space="0" w:color="auto"/>
            <w:left w:val="none" w:sz="0" w:space="0" w:color="auto"/>
            <w:bottom w:val="none" w:sz="0" w:space="0" w:color="auto"/>
            <w:right w:val="none" w:sz="0" w:space="0" w:color="auto"/>
          </w:divBdr>
        </w:div>
        <w:div w:id="1872647398">
          <w:marLeft w:val="0"/>
          <w:marRight w:val="0"/>
          <w:marTop w:val="0"/>
          <w:marBottom w:val="0"/>
          <w:divBdr>
            <w:top w:val="none" w:sz="0" w:space="0" w:color="auto"/>
            <w:left w:val="none" w:sz="0" w:space="0" w:color="auto"/>
            <w:bottom w:val="none" w:sz="0" w:space="0" w:color="auto"/>
            <w:right w:val="none" w:sz="0" w:space="0" w:color="auto"/>
          </w:divBdr>
        </w:div>
      </w:divsChild>
    </w:div>
    <w:div w:id="405960450">
      <w:bodyDiv w:val="1"/>
      <w:marLeft w:val="0"/>
      <w:marRight w:val="0"/>
      <w:marTop w:val="0"/>
      <w:marBottom w:val="0"/>
      <w:divBdr>
        <w:top w:val="none" w:sz="0" w:space="0" w:color="auto"/>
        <w:left w:val="none" w:sz="0" w:space="0" w:color="auto"/>
        <w:bottom w:val="none" w:sz="0" w:space="0" w:color="auto"/>
        <w:right w:val="none" w:sz="0" w:space="0" w:color="auto"/>
      </w:divBdr>
      <w:divsChild>
        <w:div w:id="448470729">
          <w:marLeft w:val="0"/>
          <w:marRight w:val="0"/>
          <w:marTop w:val="0"/>
          <w:marBottom w:val="0"/>
          <w:divBdr>
            <w:top w:val="none" w:sz="0" w:space="0" w:color="auto"/>
            <w:left w:val="none" w:sz="0" w:space="0" w:color="auto"/>
            <w:bottom w:val="none" w:sz="0" w:space="0" w:color="auto"/>
            <w:right w:val="none" w:sz="0" w:space="0" w:color="auto"/>
          </w:divBdr>
        </w:div>
        <w:div w:id="1447386996">
          <w:marLeft w:val="0"/>
          <w:marRight w:val="0"/>
          <w:marTop w:val="0"/>
          <w:marBottom w:val="0"/>
          <w:divBdr>
            <w:top w:val="none" w:sz="0" w:space="0" w:color="auto"/>
            <w:left w:val="none" w:sz="0" w:space="0" w:color="auto"/>
            <w:bottom w:val="none" w:sz="0" w:space="0" w:color="auto"/>
            <w:right w:val="none" w:sz="0" w:space="0" w:color="auto"/>
          </w:divBdr>
        </w:div>
      </w:divsChild>
    </w:div>
    <w:div w:id="419722333">
      <w:bodyDiv w:val="1"/>
      <w:marLeft w:val="0"/>
      <w:marRight w:val="0"/>
      <w:marTop w:val="0"/>
      <w:marBottom w:val="0"/>
      <w:divBdr>
        <w:top w:val="none" w:sz="0" w:space="0" w:color="auto"/>
        <w:left w:val="none" w:sz="0" w:space="0" w:color="auto"/>
        <w:bottom w:val="none" w:sz="0" w:space="0" w:color="auto"/>
        <w:right w:val="none" w:sz="0" w:space="0" w:color="auto"/>
      </w:divBdr>
      <w:divsChild>
        <w:div w:id="1149710996">
          <w:marLeft w:val="0"/>
          <w:marRight w:val="0"/>
          <w:marTop w:val="0"/>
          <w:marBottom w:val="0"/>
          <w:divBdr>
            <w:top w:val="none" w:sz="0" w:space="0" w:color="auto"/>
            <w:left w:val="none" w:sz="0" w:space="0" w:color="auto"/>
            <w:bottom w:val="none" w:sz="0" w:space="0" w:color="auto"/>
            <w:right w:val="none" w:sz="0" w:space="0" w:color="auto"/>
          </w:divBdr>
        </w:div>
        <w:div w:id="1237014170">
          <w:marLeft w:val="0"/>
          <w:marRight w:val="0"/>
          <w:marTop w:val="0"/>
          <w:marBottom w:val="0"/>
          <w:divBdr>
            <w:top w:val="none" w:sz="0" w:space="0" w:color="auto"/>
            <w:left w:val="none" w:sz="0" w:space="0" w:color="auto"/>
            <w:bottom w:val="none" w:sz="0" w:space="0" w:color="auto"/>
            <w:right w:val="none" w:sz="0" w:space="0" w:color="auto"/>
          </w:divBdr>
        </w:div>
        <w:div w:id="1632980844">
          <w:marLeft w:val="0"/>
          <w:marRight w:val="0"/>
          <w:marTop w:val="0"/>
          <w:marBottom w:val="0"/>
          <w:divBdr>
            <w:top w:val="none" w:sz="0" w:space="0" w:color="auto"/>
            <w:left w:val="none" w:sz="0" w:space="0" w:color="auto"/>
            <w:bottom w:val="none" w:sz="0" w:space="0" w:color="auto"/>
            <w:right w:val="none" w:sz="0" w:space="0" w:color="auto"/>
          </w:divBdr>
        </w:div>
        <w:div w:id="1988319295">
          <w:marLeft w:val="0"/>
          <w:marRight w:val="0"/>
          <w:marTop w:val="0"/>
          <w:marBottom w:val="0"/>
          <w:divBdr>
            <w:top w:val="none" w:sz="0" w:space="0" w:color="auto"/>
            <w:left w:val="none" w:sz="0" w:space="0" w:color="auto"/>
            <w:bottom w:val="none" w:sz="0" w:space="0" w:color="auto"/>
            <w:right w:val="none" w:sz="0" w:space="0" w:color="auto"/>
          </w:divBdr>
        </w:div>
        <w:div w:id="2136170928">
          <w:marLeft w:val="0"/>
          <w:marRight w:val="0"/>
          <w:marTop w:val="0"/>
          <w:marBottom w:val="0"/>
          <w:divBdr>
            <w:top w:val="none" w:sz="0" w:space="0" w:color="auto"/>
            <w:left w:val="none" w:sz="0" w:space="0" w:color="auto"/>
            <w:bottom w:val="none" w:sz="0" w:space="0" w:color="auto"/>
            <w:right w:val="none" w:sz="0" w:space="0" w:color="auto"/>
          </w:divBdr>
        </w:div>
      </w:divsChild>
    </w:div>
    <w:div w:id="425736933">
      <w:bodyDiv w:val="1"/>
      <w:marLeft w:val="0"/>
      <w:marRight w:val="0"/>
      <w:marTop w:val="0"/>
      <w:marBottom w:val="0"/>
      <w:divBdr>
        <w:top w:val="none" w:sz="0" w:space="0" w:color="auto"/>
        <w:left w:val="none" w:sz="0" w:space="0" w:color="auto"/>
        <w:bottom w:val="none" w:sz="0" w:space="0" w:color="auto"/>
        <w:right w:val="none" w:sz="0" w:space="0" w:color="auto"/>
      </w:divBdr>
      <w:divsChild>
        <w:div w:id="229004208">
          <w:marLeft w:val="0"/>
          <w:marRight w:val="0"/>
          <w:marTop w:val="0"/>
          <w:marBottom w:val="0"/>
          <w:divBdr>
            <w:top w:val="none" w:sz="0" w:space="0" w:color="auto"/>
            <w:left w:val="none" w:sz="0" w:space="0" w:color="auto"/>
            <w:bottom w:val="none" w:sz="0" w:space="0" w:color="auto"/>
            <w:right w:val="none" w:sz="0" w:space="0" w:color="auto"/>
          </w:divBdr>
        </w:div>
        <w:div w:id="1678654781">
          <w:marLeft w:val="0"/>
          <w:marRight w:val="0"/>
          <w:marTop w:val="0"/>
          <w:marBottom w:val="0"/>
          <w:divBdr>
            <w:top w:val="none" w:sz="0" w:space="0" w:color="auto"/>
            <w:left w:val="none" w:sz="0" w:space="0" w:color="auto"/>
            <w:bottom w:val="none" w:sz="0" w:space="0" w:color="auto"/>
            <w:right w:val="none" w:sz="0" w:space="0" w:color="auto"/>
          </w:divBdr>
        </w:div>
        <w:div w:id="1764063037">
          <w:marLeft w:val="0"/>
          <w:marRight w:val="0"/>
          <w:marTop w:val="0"/>
          <w:marBottom w:val="0"/>
          <w:divBdr>
            <w:top w:val="none" w:sz="0" w:space="0" w:color="auto"/>
            <w:left w:val="none" w:sz="0" w:space="0" w:color="auto"/>
            <w:bottom w:val="none" w:sz="0" w:space="0" w:color="auto"/>
            <w:right w:val="none" w:sz="0" w:space="0" w:color="auto"/>
          </w:divBdr>
        </w:div>
      </w:divsChild>
    </w:div>
    <w:div w:id="473834208">
      <w:bodyDiv w:val="1"/>
      <w:marLeft w:val="0"/>
      <w:marRight w:val="0"/>
      <w:marTop w:val="0"/>
      <w:marBottom w:val="0"/>
      <w:divBdr>
        <w:top w:val="none" w:sz="0" w:space="0" w:color="auto"/>
        <w:left w:val="none" w:sz="0" w:space="0" w:color="auto"/>
        <w:bottom w:val="none" w:sz="0" w:space="0" w:color="auto"/>
        <w:right w:val="none" w:sz="0" w:space="0" w:color="auto"/>
      </w:divBdr>
      <w:divsChild>
        <w:div w:id="233705537">
          <w:marLeft w:val="0"/>
          <w:marRight w:val="0"/>
          <w:marTop w:val="0"/>
          <w:marBottom w:val="0"/>
          <w:divBdr>
            <w:top w:val="none" w:sz="0" w:space="0" w:color="auto"/>
            <w:left w:val="none" w:sz="0" w:space="0" w:color="auto"/>
            <w:bottom w:val="none" w:sz="0" w:space="0" w:color="auto"/>
            <w:right w:val="none" w:sz="0" w:space="0" w:color="auto"/>
          </w:divBdr>
        </w:div>
        <w:div w:id="1269657223">
          <w:marLeft w:val="0"/>
          <w:marRight w:val="0"/>
          <w:marTop w:val="0"/>
          <w:marBottom w:val="0"/>
          <w:divBdr>
            <w:top w:val="none" w:sz="0" w:space="0" w:color="auto"/>
            <w:left w:val="none" w:sz="0" w:space="0" w:color="auto"/>
            <w:bottom w:val="none" w:sz="0" w:space="0" w:color="auto"/>
            <w:right w:val="none" w:sz="0" w:space="0" w:color="auto"/>
          </w:divBdr>
        </w:div>
        <w:div w:id="1797675914">
          <w:marLeft w:val="0"/>
          <w:marRight w:val="0"/>
          <w:marTop w:val="0"/>
          <w:marBottom w:val="0"/>
          <w:divBdr>
            <w:top w:val="none" w:sz="0" w:space="0" w:color="auto"/>
            <w:left w:val="none" w:sz="0" w:space="0" w:color="auto"/>
            <w:bottom w:val="none" w:sz="0" w:space="0" w:color="auto"/>
            <w:right w:val="none" w:sz="0" w:space="0" w:color="auto"/>
          </w:divBdr>
        </w:div>
        <w:div w:id="1916891464">
          <w:marLeft w:val="0"/>
          <w:marRight w:val="0"/>
          <w:marTop w:val="0"/>
          <w:marBottom w:val="0"/>
          <w:divBdr>
            <w:top w:val="none" w:sz="0" w:space="0" w:color="auto"/>
            <w:left w:val="none" w:sz="0" w:space="0" w:color="auto"/>
            <w:bottom w:val="none" w:sz="0" w:space="0" w:color="auto"/>
            <w:right w:val="none" w:sz="0" w:space="0" w:color="auto"/>
          </w:divBdr>
        </w:div>
      </w:divsChild>
    </w:div>
    <w:div w:id="484660985">
      <w:bodyDiv w:val="1"/>
      <w:marLeft w:val="0"/>
      <w:marRight w:val="0"/>
      <w:marTop w:val="0"/>
      <w:marBottom w:val="0"/>
      <w:divBdr>
        <w:top w:val="none" w:sz="0" w:space="0" w:color="auto"/>
        <w:left w:val="none" w:sz="0" w:space="0" w:color="auto"/>
        <w:bottom w:val="none" w:sz="0" w:space="0" w:color="auto"/>
        <w:right w:val="none" w:sz="0" w:space="0" w:color="auto"/>
      </w:divBdr>
      <w:divsChild>
        <w:div w:id="631446933">
          <w:marLeft w:val="0"/>
          <w:marRight w:val="0"/>
          <w:marTop w:val="0"/>
          <w:marBottom w:val="0"/>
          <w:divBdr>
            <w:top w:val="none" w:sz="0" w:space="0" w:color="auto"/>
            <w:left w:val="none" w:sz="0" w:space="0" w:color="auto"/>
            <w:bottom w:val="none" w:sz="0" w:space="0" w:color="auto"/>
            <w:right w:val="none" w:sz="0" w:space="0" w:color="auto"/>
          </w:divBdr>
        </w:div>
        <w:div w:id="791754604">
          <w:marLeft w:val="0"/>
          <w:marRight w:val="0"/>
          <w:marTop w:val="0"/>
          <w:marBottom w:val="0"/>
          <w:divBdr>
            <w:top w:val="none" w:sz="0" w:space="0" w:color="auto"/>
            <w:left w:val="none" w:sz="0" w:space="0" w:color="auto"/>
            <w:bottom w:val="none" w:sz="0" w:space="0" w:color="auto"/>
            <w:right w:val="none" w:sz="0" w:space="0" w:color="auto"/>
          </w:divBdr>
        </w:div>
        <w:div w:id="1012730645">
          <w:marLeft w:val="0"/>
          <w:marRight w:val="0"/>
          <w:marTop w:val="0"/>
          <w:marBottom w:val="0"/>
          <w:divBdr>
            <w:top w:val="none" w:sz="0" w:space="0" w:color="auto"/>
            <w:left w:val="none" w:sz="0" w:space="0" w:color="auto"/>
            <w:bottom w:val="none" w:sz="0" w:space="0" w:color="auto"/>
            <w:right w:val="none" w:sz="0" w:space="0" w:color="auto"/>
          </w:divBdr>
        </w:div>
        <w:div w:id="1200246258">
          <w:marLeft w:val="0"/>
          <w:marRight w:val="0"/>
          <w:marTop w:val="0"/>
          <w:marBottom w:val="0"/>
          <w:divBdr>
            <w:top w:val="none" w:sz="0" w:space="0" w:color="auto"/>
            <w:left w:val="none" w:sz="0" w:space="0" w:color="auto"/>
            <w:bottom w:val="none" w:sz="0" w:space="0" w:color="auto"/>
            <w:right w:val="none" w:sz="0" w:space="0" w:color="auto"/>
          </w:divBdr>
        </w:div>
        <w:div w:id="1549679067">
          <w:marLeft w:val="0"/>
          <w:marRight w:val="0"/>
          <w:marTop w:val="0"/>
          <w:marBottom w:val="0"/>
          <w:divBdr>
            <w:top w:val="none" w:sz="0" w:space="0" w:color="auto"/>
            <w:left w:val="none" w:sz="0" w:space="0" w:color="auto"/>
            <w:bottom w:val="none" w:sz="0" w:space="0" w:color="auto"/>
            <w:right w:val="none" w:sz="0" w:space="0" w:color="auto"/>
          </w:divBdr>
        </w:div>
        <w:div w:id="1916813268">
          <w:marLeft w:val="0"/>
          <w:marRight w:val="0"/>
          <w:marTop w:val="0"/>
          <w:marBottom w:val="0"/>
          <w:divBdr>
            <w:top w:val="none" w:sz="0" w:space="0" w:color="auto"/>
            <w:left w:val="none" w:sz="0" w:space="0" w:color="auto"/>
            <w:bottom w:val="none" w:sz="0" w:space="0" w:color="auto"/>
            <w:right w:val="none" w:sz="0" w:space="0" w:color="auto"/>
          </w:divBdr>
        </w:div>
        <w:div w:id="2132165938">
          <w:marLeft w:val="0"/>
          <w:marRight w:val="0"/>
          <w:marTop w:val="0"/>
          <w:marBottom w:val="0"/>
          <w:divBdr>
            <w:top w:val="none" w:sz="0" w:space="0" w:color="auto"/>
            <w:left w:val="none" w:sz="0" w:space="0" w:color="auto"/>
            <w:bottom w:val="none" w:sz="0" w:space="0" w:color="auto"/>
            <w:right w:val="none" w:sz="0" w:space="0" w:color="auto"/>
          </w:divBdr>
        </w:div>
      </w:divsChild>
    </w:div>
    <w:div w:id="505755032">
      <w:bodyDiv w:val="1"/>
      <w:marLeft w:val="0"/>
      <w:marRight w:val="0"/>
      <w:marTop w:val="0"/>
      <w:marBottom w:val="0"/>
      <w:divBdr>
        <w:top w:val="none" w:sz="0" w:space="0" w:color="auto"/>
        <w:left w:val="none" w:sz="0" w:space="0" w:color="auto"/>
        <w:bottom w:val="none" w:sz="0" w:space="0" w:color="auto"/>
        <w:right w:val="none" w:sz="0" w:space="0" w:color="auto"/>
      </w:divBdr>
    </w:div>
    <w:div w:id="522285505">
      <w:bodyDiv w:val="1"/>
      <w:marLeft w:val="0"/>
      <w:marRight w:val="0"/>
      <w:marTop w:val="0"/>
      <w:marBottom w:val="0"/>
      <w:divBdr>
        <w:top w:val="none" w:sz="0" w:space="0" w:color="auto"/>
        <w:left w:val="none" w:sz="0" w:space="0" w:color="auto"/>
        <w:bottom w:val="none" w:sz="0" w:space="0" w:color="auto"/>
        <w:right w:val="none" w:sz="0" w:space="0" w:color="auto"/>
      </w:divBdr>
      <w:divsChild>
        <w:div w:id="250282105">
          <w:marLeft w:val="0"/>
          <w:marRight w:val="0"/>
          <w:marTop w:val="0"/>
          <w:marBottom w:val="0"/>
          <w:divBdr>
            <w:top w:val="none" w:sz="0" w:space="0" w:color="auto"/>
            <w:left w:val="none" w:sz="0" w:space="0" w:color="auto"/>
            <w:bottom w:val="none" w:sz="0" w:space="0" w:color="auto"/>
            <w:right w:val="none" w:sz="0" w:space="0" w:color="auto"/>
          </w:divBdr>
        </w:div>
        <w:div w:id="692264170">
          <w:marLeft w:val="0"/>
          <w:marRight w:val="0"/>
          <w:marTop w:val="0"/>
          <w:marBottom w:val="0"/>
          <w:divBdr>
            <w:top w:val="none" w:sz="0" w:space="0" w:color="auto"/>
            <w:left w:val="none" w:sz="0" w:space="0" w:color="auto"/>
            <w:bottom w:val="none" w:sz="0" w:space="0" w:color="auto"/>
            <w:right w:val="none" w:sz="0" w:space="0" w:color="auto"/>
          </w:divBdr>
        </w:div>
        <w:div w:id="1548830612">
          <w:marLeft w:val="0"/>
          <w:marRight w:val="0"/>
          <w:marTop w:val="0"/>
          <w:marBottom w:val="0"/>
          <w:divBdr>
            <w:top w:val="none" w:sz="0" w:space="0" w:color="auto"/>
            <w:left w:val="none" w:sz="0" w:space="0" w:color="auto"/>
            <w:bottom w:val="none" w:sz="0" w:space="0" w:color="auto"/>
            <w:right w:val="none" w:sz="0" w:space="0" w:color="auto"/>
          </w:divBdr>
        </w:div>
        <w:div w:id="1599749101">
          <w:marLeft w:val="0"/>
          <w:marRight w:val="0"/>
          <w:marTop w:val="0"/>
          <w:marBottom w:val="0"/>
          <w:divBdr>
            <w:top w:val="none" w:sz="0" w:space="0" w:color="auto"/>
            <w:left w:val="none" w:sz="0" w:space="0" w:color="auto"/>
            <w:bottom w:val="none" w:sz="0" w:space="0" w:color="auto"/>
            <w:right w:val="none" w:sz="0" w:space="0" w:color="auto"/>
          </w:divBdr>
        </w:div>
        <w:div w:id="2102799103">
          <w:marLeft w:val="0"/>
          <w:marRight w:val="0"/>
          <w:marTop w:val="0"/>
          <w:marBottom w:val="0"/>
          <w:divBdr>
            <w:top w:val="none" w:sz="0" w:space="0" w:color="auto"/>
            <w:left w:val="none" w:sz="0" w:space="0" w:color="auto"/>
            <w:bottom w:val="none" w:sz="0" w:space="0" w:color="auto"/>
            <w:right w:val="none" w:sz="0" w:space="0" w:color="auto"/>
          </w:divBdr>
        </w:div>
      </w:divsChild>
    </w:div>
    <w:div w:id="530191660">
      <w:bodyDiv w:val="1"/>
      <w:marLeft w:val="0"/>
      <w:marRight w:val="0"/>
      <w:marTop w:val="0"/>
      <w:marBottom w:val="0"/>
      <w:divBdr>
        <w:top w:val="none" w:sz="0" w:space="0" w:color="auto"/>
        <w:left w:val="none" w:sz="0" w:space="0" w:color="auto"/>
        <w:bottom w:val="none" w:sz="0" w:space="0" w:color="auto"/>
        <w:right w:val="none" w:sz="0" w:space="0" w:color="auto"/>
      </w:divBdr>
      <w:divsChild>
        <w:div w:id="75366443">
          <w:marLeft w:val="0"/>
          <w:marRight w:val="0"/>
          <w:marTop w:val="0"/>
          <w:marBottom w:val="0"/>
          <w:divBdr>
            <w:top w:val="none" w:sz="0" w:space="0" w:color="auto"/>
            <w:left w:val="none" w:sz="0" w:space="0" w:color="auto"/>
            <w:bottom w:val="none" w:sz="0" w:space="0" w:color="auto"/>
            <w:right w:val="none" w:sz="0" w:space="0" w:color="auto"/>
          </w:divBdr>
        </w:div>
        <w:div w:id="1345668432">
          <w:marLeft w:val="0"/>
          <w:marRight w:val="0"/>
          <w:marTop w:val="0"/>
          <w:marBottom w:val="0"/>
          <w:divBdr>
            <w:top w:val="none" w:sz="0" w:space="0" w:color="auto"/>
            <w:left w:val="none" w:sz="0" w:space="0" w:color="auto"/>
            <w:bottom w:val="none" w:sz="0" w:space="0" w:color="auto"/>
            <w:right w:val="none" w:sz="0" w:space="0" w:color="auto"/>
          </w:divBdr>
        </w:div>
        <w:div w:id="2032491275">
          <w:marLeft w:val="0"/>
          <w:marRight w:val="0"/>
          <w:marTop w:val="0"/>
          <w:marBottom w:val="0"/>
          <w:divBdr>
            <w:top w:val="none" w:sz="0" w:space="0" w:color="auto"/>
            <w:left w:val="none" w:sz="0" w:space="0" w:color="auto"/>
            <w:bottom w:val="none" w:sz="0" w:space="0" w:color="auto"/>
            <w:right w:val="none" w:sz="0" w:space="0" w:color="auto"/>
          </w:divBdr>
        </w:div>
      </w:divsChild>
    </w:div>
    <w:div w:id="534461201">
      <w:bodyDiv w:val="1"/>
      <w:marLeft w:val="0"/>
      <w:marRight w:val="0"/>
      <w:marTop w:val="0"/>
      <w:marBottom w:val="0"/>
      <w:divBdr>
        <w:top w:val="none" w:sz="0" w:space="0" w:color="auto"/>
        <w:left w:val="none" w:sz="0" w:space="0" w:color="auto"/>
        <w:bottom w:val="none" w:sz="0" w:space="0" w:color="auto"/>
        <w:right w:val="none" w:sz="0" w:space="0" w:color="auto"/>
      </w:divBdr>
      <w:divsChild>
        <w:div w:id="728958387">
          <w:marLeft w:val="0"/>
          <w:marRight w:val="0"/>
          <w:marTop w:val="0"/>
          <w:marBottom w:val="0"/>
          <w:divBdr>
            <w:top w:val="none" w:sz="0" w:space="0" w:color="auto"/>
            <w:left w:val="none" w:sz="0" w:space="0" w:color="auto"/>
            <w:bottom w:val="none" w:sz="0" w:space="0" w:color="auto"/>
            <w:right w:val="none" w:sz="0" w:space="0" w:color="auto"/>
          </w:divBdr>
        </w:div>
      </w:divsChild>
    </w:div>
    <w:div w:id="539435273">
      <w:bodyDiv w:val="1"/>
      <w:marLeft w:val="0"/>
      <w:marRight w:val="0"/>
      <w:marTop w:val="0"/>
      <w:marBottom w:val="0"/>
      <w:divBdr>
        <w:top w:val="none" w:sz="0" w:space="0" w:color="auto"/>
        <w:left w:val="none" w:sz="0" w:space="0" w:color="auto"/>
        <w:bottom w:val="none" w:sz="0" w:space="0" w:color="auto"/>
        <w:right w:val="none" w:sz="0" w:space="0" w:color="auto"/>
      </w:divBdr>
      <w:divsChild>
        <w:div w:id="22021247">
          <w:marLeft w:val="0"/>
          <w:marRight w:val="0"/>
          <w:marTop w:val="0"/>
          <w:marBottom w:val="0"/>
          <w:divBdr>
            <w:top w:val="none" w:sz="0" w:space="0" w:color="auto"/>
            <w:left w:val="none" w:sz="0" w:space="0" w:color="auto"/>
            <w:bottom w:val="none" w:sz="0" w:space="0" w:color="auto"/>
            <w:right w:val="none" w:sz="0" w:space="0" w:color="auto"/>
          </w:divBdr>
        </w:div>
        <w:div w:id="42292367">
          <w:marLeft w:val="0"/>
          <w:marRight w:val="0"/>
          <w:marTop w:val="0"/>
          <w:marBottom w:val="0"/>
          <w:divBdr>
            <w:top w:val="none" w:sz="0" w:space="0" w:color="auto"/>
            <w:left w:val="none" w:sz="0" w:space="0" w:color="auto"/>
            <w:bottom w:val="none" w:sz="0" w:space="0" w:color="auto"/>
            <w:right w:val="none" w:sz="0" w:space="0" w:color="auto"/>
          </w:divBdr>
        </w:div>
        <w:div w:id="298918588">
          <w:marLeft w:val="0"/>
          <w:marRight w:val="0"/>
          <w:marTop w:val="0"/>
          <w:marBottom w:val="0"/>
          <w:divBdr>
            <w:top w:val="none" w:sz="0" w:space="0" w:color="auto"/>
            <w:left w:val="none" w:sz="0" w:space="0" w:color="auto"/>
            <w:bottom w:val="none" w:sz="0" w:space="0" w:color="auto"/>
            <w:right w:val="none" w:sz="0" w:space="0" w:color="auto"/>
          </w:divBdr>
        </w:div>
      </w:divsChild>
    </w:div>
    <w:div w:id="548808789">
      <w:bodyDiv w:val="1"/>
      <w:marLeft w:val="0"/>
      <w:marRight w:val="0"/>
      <w:marTop w:val="0"/>
      <w:marBottom w:val="0"/>
      <w:divBdr>
        <w:top w:val="none" w:sz="0" w:space="0" w:color="auto"/>
        <w:left w:val="none" w:sz="0" w:space="0" w:color="auto"/>
        <w:bottom w:val="none" w:sz="0" w:space="0" w:color="auto"/>
        <w:right w:val="none" w:sz="0" w:space="0" w:color="auto"/>
      </w:divBdr>
    </w:div>
    <w:div w:id="555118949">
      <w:bodyDiv w:val="1"/>
      <w:marLeft w:val="0"/>
      <w:marRight w:val="0"/>
      <w:marTop w:val="0"/>
      <w:marBottom w:val="0"/>
      <w:divBdr>
        <w:top w:val="none" w:sz="0" w:space="0" w:color="auto"/>
        <w:left w:val="none" w:sz="0" w:space="0" w:color="auto"/>
        <w:bottom w:val="none" w:sz="0" w:space="0" w:color="auto"/>
        <w:right w:val="none" w:sz="0" w:space="0" w:color="auto"/>
      </w:divBdr>
    </w:div>
    <w:div w:id="594050957">
      <w:bodyDiv w:val="1"/>
      <w:marLeft w:val="0"/>
      <w:marRight w:val="0"/>
      <w:marTop w:val="0"/>
      <w:marBottom w:val="0"/>
      <w:divBdr>
        <w:top w:val="none" w:sz="0" w:space="0" w:color="auto"/>
        <w:left w:val="none" w:sz="0" w:space="0" w:color="auto"/>
        <w:bottom w:val="none" w:sz="0" w:space="0" w:color="auto"/>
        <w:right w:val="none" w:sz="0" w:space="0" w:color="auto"/>
      </w:divBdr>
    </w:div>
    <w:div w:id="608898691">
      <w:bodyDiv w:val="1"/>
      <w:marLeft w:val="0"/>
      <w:marRight w:val="0"/>
      <w:marTop w:val="0"/>
      <w:marBottom w:val="0"/>
      <w:divBdr>
        <w:top w:val="none" w:sz="0" w:space="0" w:color="auto"/>
        <w:left w:val="none" w:sz="0" w:space="0" w:color="auto"/>
        <w:bottom w:val="none" w:sz="0" w:space="0" w:color="auto"/>
        <w:right w:val="none" w:sz="0" w:space="0" w:color="auto"/>
      </w:divBdr>
      <w:divsChild>
        <w:div w:id="56629471">
          <w:marLeft w:val="0"/>
          <w:marRight w:val="0"/>
          <w:marTop w:val="0"/>
          <w:marBottom w:val="0"/>
          <w:divBdr>
            <w:top w:val="none" w:sz="0" w:space="0" w:color="auto"/>
            <w:left w:val="none" w:sz="0" w:space="0" w:color="auto"/>
            <w:bottom w:val="none" w:sz="0" w:space="0" w:color="auto"/>
            <w:right w:val="none" w:sz="0" w:space="0" w:color="auto"/>
          </w:divBdr>
        </w:div>
        <w:div w:id="730927806">
          <w:marLeft w:val="0"/>
          <w:marRight w:val="0"/>
          <w:marTop w:val="0"/>
          <w:marBottom w:val="0"/>
          <w:divBdr>
            <w:top w:val="none" w:sz="0" w:space="0" w:color="auto"/>
            <w:left w:val="none" w:sz="0" w:space="0" w:color="auto"/>
            <w:bottom w:val="none" w:sz="0" w:space="0" w:color="auto"/>
            <w:right w:val="none" w:sz="0" w:space="0" w:color="auto"/>
          </w:divBdr>
        </w:div>
        <w:div w:id="1686831278">
          <w:marLeft w:val="0"/>
          <w:marRight w:val="0"/>
          <w:marTop w:val="0"/>
          <w:marBottom w:val="0"/>
          <w:divBdr>
            <w:top w:val="none" w:sz="0" w:space="0" w:color="auto"/>
            <w:left w:val="none" w:sz="0" w:space="0" w:color="auto"/>
            <w:bottom w:val="none" w:sz="0" w:space="0" w:color="auto"/>
            <w:right w:val="none" w:sz="0" w:space="0" w:color="auto"/>
          </w:divBdr>
        </w:div>
        <w:div w:id="2136673267">
          <w:marLeft w:val="0"/>
          <w:marRight w:val="0"/>
          <w:marTop w:val="0"/>
          <w:marBottom w:val="0"/>
          <w:divBdr>
            <w:top w:val="none" w:sz="0" w:space="0" w:color="auto"/>
            <w:left w:val="none" w:sz="0" w:space="0" w:color="auto"/>
            <w:bottom w:val="none" w:sz="0" w:space="0" w:color="auto"/>
            <w:right w:val="none" w:sz="0" w:space="0" w:color="auto"/>
          </w:divBdr>
        </w:div>
      </w:divsChild>
    </w:div>
    <w:div w:id="612903498">
      <w:bodyDiv w:val="1"/>
      <w:marLeft w:val="0"/>
      <w:marRight w:val="0"/>
      <w:marTop w:val="0"/>
      <w:marBottom w:val="0"/>
      <w:divBdr>
        <w:top w:val="none" w:sz="0" w:space="0" w:color="auto"/>
        <w:left w:val="none" w:sz="0" w:space="0" w:color="auto"/>
        <w:bottom w:val="none" w:sz="0" w:space="0" w:color="auto"/>
        <w:right w:val="none" w:sz="0" w:space="0" w:color="auto"/>
      </w:divBdr>
      <w:divsChild>
        <w:div w:id="1695763604">
          <w:marLeft w:val="0"/>
          <w:marRight w:val="0"/>
          <w:marTop w:val="0"/>
          <w:marBottom w:val="0"/>
          <w:divBdr>
            <w:top w:val="none" w:sz="0" w:space="0" w:color="auto"/>
            <w:left w:val="none" w:sz="0" w:space="0" w:color="auto"/>
            <w:bottom w:val="none" w:sz="0" w:space="0" w:color="auto"/>
            <w:right w:val="none" w:sz="0" w:space="0" w:color="auto"/>
          </w:divBdr>
        </w:div>
        <w:div w:id="2043362292">
          <w:marLeft w:val="0"/>
          <w:marRight w:val="0"/>
          <w:marTop w:val="0"/>
          <w:marBottom w:val="0"/>
          <w:divBdr>
            <w:top w:val="none" w:sz="0" w:space="0" w:color="auto"/>
            <w:left w:val="none" w:sz="0" w:space="0" w:color="auto"/>
            <w:bottom w:val="none" w:sz="0" w:space="0" w:color="auto"/>
            <w:right w:val="none" w:sz="0" w:space="0" w:color="auto"/>
          </w:divBdr>
        </w:div>
      </w:divsChild>
    </w:div>
    <w:div w:id="614558850">
      <w:bodyDiv w:val="1"/>
      <w:marLeft w:val="0"/>
      <w:marRight w:val="0"/>
      <w:marTop w:val="0"/>
      <w:marBottom w:val="0"/>
      <w:divBdr>
        <w:top w:val="none" w:sz="0" w:space="0" w:color="auto"/>
        <w:left w:val="none" w:sz="0" w:space="0" w:color="auto"/>
        <w:bottom w:val="none" w:sz="0" w:space="0" w:color="auto"/>
        <w:right w:val="none" w:sz="0" w:space="0" w:color="auto"/>
      </w:divBdr>
      <w:divsChild>
        <w:div w:id="377438049">
          <w:marLeft w:val="0"/>
          <w:marRight w:val="0"/>
          <w:marTop w:val="0"/>
          <w:marBottom w:val="0"/>
          <w:divBdr>
            <w:top w:val="none" w:sz="0" w:space="0" w:color="auto"/>
            <w:left w:val="none" w:sz="0" w:space="0" w:color="auto"/>
            <w:bottom w:val="none" w:sz="0" w:space="0" w:color="auto"/>
            <w:right w:val="none" w:sz="0" w:space="0" w:color="auto"/>
          </w:divBdr>
        </w:div>
        <w:div w:id="518549508">
          <w:marLeft w:val="0"/>
          <w:marRight w:val="0"/>
          <w:marTop w:val="0"/>
          <w:marBottom w:val="0"/>
          <w:divBdr>
            <w:top w:val="none" w:sz="0" w:space="0" w:color="auto"/>
            <w:left w:val="none" w:sz="0" w:space="0" w:color="auto"/>
            <w:bottom w:val="none" w:sz="0" w:space="0" w:color="auto"/>
            <w:right w:val="none" w:sz="0" w:space="0" w:color="auto"/>
          </w:divBdr>
        </w:div>
        <w:div w:id="710226083">
          <w:marLeft w:val="0"/>
          <w:marRight w:val="0"/>
          <w:marTop w:val="0"/>
          <w:marBottom w:val="0"/>
          <w:divBdr>
            <w:top w:val="none" w:sz="0" w:space="0" w:color="auto"/>
            <w:left w:val="none" w:sz="0" w:space="0" w:color="auto"/>
            <w:bottom w:val="none" w:sz="0" w:space="0" w:color="auto"/>
            <w:right w:val="none" w:sz="0" w:space="0" w:color="auto"/>
          </w:divBdr>
        </w:div>
        <w:div w:id="1110317111">
          <w:marLeft w:val="0"/>
          <w:marRight w:val="0"/>
          <w:marTop w:val="0"/>
          <w:marBottom w:val="0"/>
          <w:divBdr>
            <w:top w:val="none" w:sz="0" w:space="0" w:color="auto"/>
            <w:left w:val="none" w:sz="0" w:space="0" w:color="auto"/>
            <w:bottom w:val="none" w:sz="0" w:space="0" w:color="auto"/>
            <w:right w:val="none" w:sz="0" w:space="0" w:color="auto"/>
          </w:divBdr>
        </w:div>
        <w:div w:id="1627351212">
          <w:marLeft w:val="0"/>
          <w:marRight w:val="0"/>
          <w:marTop w:val="0"/>
          <w:marBottom w:val="0"/>
          <w:divBdr>
            <w:top w:val="none" w:sz="0" w:space="0" w:color="auto"/>
            <w:left w:val="none" w:sz="0" w:space="0" w:color="auto"/>
            <w:bottom w:val="none" w:sz="0" w:space="0" w:color="auto"/>
            <w:right w:val="none" w:sz="0" w:space="0" w:color="auto"/>
          </w:divBdr>
        </w:div>
        <w:div w:id="1747071001">
          <w:marLeft w:val="0"/>
          <w:marRight w:val="0"/>
          <w:marTop w:val="0"/>
          <w:marBottom w:val="0"/>
          <w:divBdr>
            <w:top w:val="none" w:sz="0" w:space="0" w:color="auto"/>
            <w:left w:val="none" w:sz="0" w:space="0" w:color="auto"/>
            <w:bottom w:val="none" w:sz="0" w:space="0" w:color="auto"/>
            <w:right w:val="none" w:sz="0" w:space="0" w:color="auto"/>
          </w:divBdr>
        </w:div>
        <w:div w:id="1849178040">
          <w:marLeft w:val="0"/>
          <w:marRight w:val="0"/>
          <w:marTop w:val="0"/>
          <w:marBottom w:val="0"/>
          <w:divBdr>
            <w:top w:val="none" w:sz="0" w:space="0" w:color="auto"/>
            <w:left w:val="none" w:sz="0" w:space="0" w:color="auto"/>
            <w:bottom w:val="none" w:sz="0" w:space="0" w:color="auto"/>
            <w:right w:val="none" w:sz="0" w:space="0" w:color="auto"/>
          </w:divBdr>
        </w:div>
        <w:div w:id="2016418839">
          <w:marLeft w:val="0"/>
          <w:marRight w:val="0"/>
          <w:marTop w:val="0"/>
          <w:marBottom w:val="0"/>
          <w:divBdr>
            <w:top w:val="none" w:sz="0" w:space="0" w:color="auto"/>
            <w:left w:val="none" w:sz="0" w:space="0" w:color="auto"/>
            <w:bottom w:val="none" w:sz="0" w:space="0" w:color="auto"/>
            <w:right w:val="none" w:sz="0" w:space="0" w:color="auto"/>
          </w:divBdr>
        </w:div>
        <w:div w:id="2107655719">
          <w:marLeft w:val="0"/>
          <w:marRight w:val="0"/>
          <w:marTop w:val="0"/>
          <w:marBottom w:val="0"/>
          <w:divBdr>
            <w:top w:val="none" w:sz="0" w:space="0" w:color="auto"/>
            <w:left w:val="none" w:sz="0" w:space="0" w:color="auto"/>
            <w:bottom w:val="none" w:sz="0" w:space="0" w:color="auto"/>
            <w:right w:val="none" w:sz="0" w:space="0" w:color="auto"/>
          </w:divBdr>
        </w:div>
      </w:divsChild>
    </w:div>
    <w:div w:id="622074233">
      <w:bodyDiv w:val="1"/>
      <w:marLeft w:val="0"/>
      <w:marRight w:val="0"/>
      <w:marTop w:val="0"/>
      <w:marBottom w:val="0"/>
      <w:divBdr>
        <w:top w:val="none" w:sz="0" w:space="0" w:color="auto"/>
        <w:left w:val="none" w:sz="0" w:space="0" w:color="auto"/>
        <w:bottom w:val="none" w:sz="0" w:space="0" w:color="auto"/>
        <w:right w:val="none" w:sz="0" w:space="0" w:color="auto"/>
      </w:divBdr>
      <w:divsChild>
        <w:div w:id="325130670">
          <w:marLeft w:val="0"/>
          <w:marRight w:val="0"/>
          <w:marTop w:val="0"/>
          <w:marBottom w:val="0"/>
          <w:divBdr>
            <w:top w:val="none" w:sz="0" w:space="0" w:color="auto"/>
            <w:left w:val="none" w:sz="0" w:space="0" w:color="auto"/>
            <w:bottom w:val="none" w:sz="0" w:space="0" w:color="auto"/>
            <w:right w:val="none" w:sz="0" w:space="0" w:color="auto"/>
          </w:divBdr>
        </w:div>
        <w:div w:id="1134248134">
          <w:marLeft w:val="0"/>
          <w:marRight w:val="0"/>
          <w:marTop w:val="0"/>
          <w:marBottom w:val="0"/>
          <w:divBdr>
            <w:top w:val="none" w:sz="0" w:space="0" w:color="auto"/>
            <w:left w:val="none" w:sz="0" w:space="0" w:color="auto"/>
            <w:bottom w:val="none" w:sz="0" w:space="0" w:color="auto"/>
            <w:right w:val="none" w:sz="0" w:space="0" w:color="auto"/>
          </w:divBdr>
        </w:div>
        <w:div w:id="1561555174">
          <w:marLeft w:val="0"/>
          <w:marRight w:val="0"/>
          <w:marTop w:val="0"/>
          <w:marBottom w:val="0"/>
          <w:divBdr>
            <w:top w:val="none" w:sz="0" w:space="0" w:color="auto"/>
            <w:left w:val="none" w:sz="0" w:space="0" w:color="auto"/>
            <w:bottom w:val="none" w:sz="0" w:space="0" w:color="auto"/>
            <w:right w:val="none" w:sz="0" w:space="0" w:color="auto"/>
          </w:divBdr>
        </w:div>
        <w:div w:id="2080899683">
          <w:marLeft w:val="0"/>
          <w:marRight w:val="0"/>
          <w:marTop w:val="0"/>
          <w:marBottom w:val="0"/>
          <w:divBdr>
            <w:top w:val="none" w:sz="0" w:space="0" w:color="auto"/>
            <w:left w:val="none" w:sz="0" w:space="0" w:color="auto"/>
            <w:bottom w:val="none" w:sz="0" w:space="0" w:color="auto"/>
            <w:right w:val="none" w:sz="0" w:space="0" w:color="auto"/>
          </w:divBdr>
        </w:div>
      </w:divsChild>
    </w:div>
    <w:div w:id="631834182">
      <w:bodyDiv w:val="1"/>
      <w:marLeft w:val="0"/>
      <w:marRight w:val="0"/>
      <w:marTop w:val="0"/>
      <w:marBottom w:val="0"/>
      <w:divBdr>
        <w:top w:val="none" w:sz="0" w:space="0" w:color="auto"/>
        <w:left w:val="none" w:sz="0" w:space="0" w:color="auto"/>
        <w:bottom w:val="none" w:sz="0" w:space="0" w:color="auto"/>
        <w:right w:val="none" w:sz="0" w:space="0" w:color="auto"/>
      </w:divBdr>
      <w:divsChild>
        <w:div w:id="1240746327">
          <w:marLeft w:val="0"/>
          <w:marRight w:val="0"/>
          <w:marTop w:val="0"/>
          <w:marBottom w:val="0"/>
          <w:divBdr>
            <w:top w:val="none" w:sz="0" w:space="0" w:color="auto"/>
            <w:left w:val="none" w:sz="0" w:space="0" w:color="auto"/>
            <w:bottom w:val="none" w:sz="0" w:space="0" w:color="auto"/>
            <w:right w:val="none" w:sz="0" w:space="0" w:color="auto"/>
          </w:divBdr>
        </w:div>
        <w:div w:id="1574269465">
          <w:marLeft w:val="0"/>
          <w:marRight w:val="0"/>
          <w:marTop w:val="0"/>
          <w:marBottom w:val="0"/>
          <w:divBdr>
            <w:top w:val="none" w:sz="0" w:space="0" w:color="auto"/>
            <w:left w:val="none" w:sz="0" w:space="0" w:color="auto"/>
            <w:bottom w:val="none" w:sz="0" w:space="0" w:color="auto"/>
            <w:right w:val="none" w:sz="0" w:space="0" w:color="auto"/>
          </w:divBdr>
        </w:div>
        <w:div w:id="1749378751">
          <w:marLeft w:val="0"/>
          <w:marRight w:val="0"/>
          <w:marTop w:val="0"/>
          <w:marBottom w:val="0"/>
          <w:divBdr>
            <w:top w:val="none" w:sz="0" w:space="0" w:color="auto"/>
            <w:left w:val="none" w:sz="0" w:space="0" w:color="auto"/>
            <w:bottom w:val="none" w:sz="0" w:space="0" w:color="auto"/>
            <w:right w:val="none" w:sz="0" w:space="0" w:color="auto"/>
          </w:divBdr>
        </w:div>
      </w:divsChild>
    </w:div>
    <w:div w:id="665978240">
      <w:bodyDiv w:val="1"/>
      <w:marLeft w:val="0"/>
      <w:marRight w:val="0"/>
      <w:marTop w:val="0"/>
      <w:marBottom w:val="0"/>
      <w:divBdr>
        <w:top w:val="none" w:sz="0" w:space="0" w:color="auto"/>
        <w:left w:val="none" w:sz="0" w:space="0" w:color="auto"/>
        <w:bottom w:val="none" w:sz="0" w:space="0" w:color="auto"/>
        <w:right w:val="none" w:sz="0" w:space="0" w:color="auto"/>
      </w:divBdr>
      <w:divsChild>
        <w:div w:id="10107575">
          <w:marLeft w:val="0"/>
          <w:marRight w:val="0"/>
          <w:marTop w:val="0"/>
          <w:marBottom w:val="0"/>
          <w:divBdr>
            <w:top w:val="none" w:sz="0" w:space="0" w:color="auto"/>
            <w:left w:val="none" w:sz="0" w:space="0" w:color="auto"/>
            <w:bottom w:val="none" w:sz="0" w:space="0" w:color="auto"/>
            <w:right w:val="none" w:sz="0" w:space="0" w:color="auto"/>
          </w:divBdr>
        </w:div>
        <w:div w:id="511453607">
          <w:marLeft w:val="0"/>
          <w:marRight w:val="0"/>
          <w:marTop w:val="0"/>
          <w:marBottom w:val="0"/>
          <w:divBdr>
            <w:top w:val="none" w:sz="0" w:space="0" w:color="auto"/>
            <w:left w:val="none" w:sz="0" w:space="0" w:color="auto"/>
            <w:bottom w:val="none" w:sz="0" w:space="0" w:color="auto"/>
            <w:right w:val="none" w:sz="0" w:space="0" w:color="auto"/>
          </w:divBdr>
        </w:div>
      </w:divsChild>
    </w:div>
    <w:div w:id="674839730">
      <w:bodyDiv w:val="1"/>
      <w:marLeft w:val="0"/>
      <w:marRight w:val="0"/>
      <w:marTop w:val="0"/>
      <w:marBottom w:val="0"/>
      <w:divBdr>
        <w:top w:val="none" w:sz="0" w:space="0" w:color="auto"/>
        <w:left w:val="none" w:sz="0" w:space="0" w:color="auto"/>
        <w:bottom w:val="none" w:sz="0" w:space="0" w:color="auto"/>
        <w:right w:val="none" w:sz="0" w:space="0" w:color="auto"/>
      </w:divBdr>
    </w:div>
    <w:div w:id="675117138">
      <w:bodyDiv w:val="1"/>
      <w:marLeft w:val="0"/>
      <w:marRight w:val="0"/>
      <w:marTop w:val="0"/>
      <w:marBottom w:val="0"/>
      <w:divBdr>
        <w:top w:val="none" w:sz="0" w:space="0" w:color="auto"/>
        <w:left w:val="none" w:sz="0" w:space="0" w:color="auto"/>
        <w:bottom w:val="none" w:sz="0" w:space="0" w:color="auto"/>
        <w:right w:val="none" w:sz="0" w:space="0" w:color="auto"/>
      </w:divBdr>
    </w:div>
    <w:div w:id="684677342">
      <w:bodyDiv w:val="1"/>
      <w:marLeft w:val="0"/>
      <w:marRight w:val="0"/>
      <w:marTop w:val="0"/>
      <w:marBottom w:val="0"/>
      <w:divBdr>
        <w:top w:val="none" w:sz="0" w:space="0" w:color="auto"/>
        <w:left w:val="none" w:sz="0" w:space="0" w:color="auto"/>
        <w:bottom w:val="none" w:sz="0" w:space="0" w:color="auto"/>
        <w:right w:val="none" w:sz="0" w:space="0" w:color="auto"/>
      </w:divBdr>
    </w:div>
    <w:div w:id="697661972">
      <w:bodyDiv w:val="1"/>
      <w:marLeft w:val="0"/>
      <w:marRight w:val="0"/>
      <w:marTop w:val="0"/>
      <w:marBottom w:val="0"/>
      <w:divBdr>
        <w:top w:val="none" w:sz="0" w:space="0" w:color="auto"/>
        <w:left w:val="none" w:sz="0" w:space="0" w:color="auto"/>
        <w:bottom w:val="none" w:sz="0" w:space="0" w:color="auto"/>
        <w:right w:val="none" w:sz="0" w:space="0" w:color="auto"/>
      </w:divBdr>
    </w:div>
    <w:div w:id="728654930">
      <w:bodyDiv w:val="1"/>
      <w:marLeft w:val="0"/>
      <w:marRight w:val="0"/>
      <w:marTop w:val="0"/>
      <w:marBottom w:val="0"/>
      <w:divBdr>
        <w:top w:val="none" w:sz="0" w:space="0" w:color="auto"/>
        <w:left w:val="none" w:sz="0" w:space="0" w:color="auto"/>
        <w:bottom w:val="none" w:sz="0" w:space="0" w:color="auto"/>
        <w:right w:val="none" w:sz="0" w:space="0" w:color="auto"/>
      </w:divBdr>
    </w:div>
    <w:div w:id="740179375">
      <w:bodyDiv w:val="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
        <w:div w:id="366175136">
          <w:marLeft w:val="0"/>
          <w:marRight w:val="0"/>
          <w:marTop w:val="0"/>
          <w:marBottom w:val="0"/>
          <w:divBdr>
            <w:top w:val="none" w:sz="0" w:space="0" w:color="auto"/>
            <w:left w:val="none" w:sz="0" w:space="0" w:color="auto"/>
            <w:bottom w:val="none" w:sz="0" w:space="0" w:color="auto"/>
            <w:right w:val="none" w:sz="0" w:space="0" w:color="auto"/>
          </w:divBdr>
        </w:div>
        <w:div w:id="440027626">
          <w:marLeft w:val="0"/>
          <w:marRight w:val="0"/>
          <w:marTop w:val="0"/>
          <w:marBottom w:val="0"/>
          <w:divBdr>
            <w:top w:val="none" w:sz="0" w:space="0" w:color="auto"/>
            <w:left w:val="none" w:sz="0" w:space="0" w:color="auto"/>
            <w:bottom w:val="none" w:sz="0" w:space="0" w:color="auto"/>
            <w:right w:val="none" w:sz="0" w:space="0" w:color="auto"/>
          </w:divBdr>
        </w:div>
        <w:div w:id="695733230">
          <w:marLeft w:val="0"/>
          <w:marRight w:val="0"/>
          <w:marTop w:val="0"/>
          <w:marBottom w:val="0"/>
          <w:divBdr>
            <w:top w:val="none" w:sz="0" w:space="0" w:color="auto"/>
            <w:left w:val="none" w:sz="0" w:space="0" w:color="auto"/>
            <w:bottom w:val="none" w:sz="0" w:space="0" w:color="auto"/>
            <w:right w:val="none" w:sz="0" w:space="0" w:color="auto"/>
          </w:divBdr>
        </w:div>
        <w:div w:id="760491754">
          <w:marLeft w:val="0"/>
          <w:marRight w:val="0"/>
          <w:marTop w:val="0"/>
          <w:marBottom w:val="0"/>
          <w:divBdr>
            <w:top w:val="none" w:sz="0" w:space="0" w:color="auto"/>
            <w:left w:val="none" w:sz="0" w:space="0" w:color="auto"/>
            <w:bottom w:val="none" w:sz="0" w:space="0" w:color="auto"/>
            <w:right w:val="none" w:sz="0" w:space="0" w:color="auto"/>
          </w:divBdr>
        </w:div>
        <w:div w:id="1702434601">
          <w:marLeft w:val="0"/>
          <w:marRight w:val="0"/>
          <w:marTop w:val="0"/>
          <w:marBottom w:val="0"/>
          <w:divBdr>
            <w:top w:val="none" w:sz="0" w:space="0" w:color="auto"/>
            <w:left w:val="none" w:sz="0" w:space="0" w:color="auto"/>
            <w:bottom w:val="none" w:sz="0" w:space="0" w:color="auto"/>
            <w:right w:val="none" w:sz="0" w:space="0" w:color="auto"/>
          </w:divBdr>
        </w:div>
      </w:divsChild>
    </w:div>
    <w:div w:id="753473227">
      <w:bodyDiv w:val="1"/>
      <w:marLeft w:val="0"/>
      <w:marRight w:val="0"/>
      <w:marTop w:val="0"/>
      <w:marBottom w:val="0"/>
      <w:divBdr>
        <w:top w:val="none" w:sz="0" w:space="0" w:color="auto"/>
        <w:left w:val="none" w:sz="0" w:space="0" w:color="auto"/>
        <w:bottom w:val="none" w:sz="0" w:space="0" w:color="auto"/>
        <w:right w:val="none" w:sz="0" w:space="0" w:color="auto"/>
      </w:divBdr>
      <w:divsChild>
        <w:div w:id="229124181">
          <w:marLeft w:val="0"/>
          <w:marRight w:val="0"/>
          <w:marTop w:val="0"/>
          <w:marBottom w:val="0"/>
          <w:divBdr>
            <w:top w:val="none" w:sz="0" w:space="0" w:color="auto"/>
            <w:left w:val="none" w:sz="0" w:space="0" w:color="auto"/>
            <w:bottom w:val="none" w:sz="0" w:space="0" w:color="auto"/>
            <w:right w:val="none" w:sz="0" w:space="0" w:color="auto"/>
          </w:divBdr>
        </w:div>
        <w:div w:id="1421220984">
          <w:marLeft w:val="0"/>
          <w:marRight w:val="0"/>
          <w:marTop w:val="0"/>
          <w:marBottom w:val="0"/>
          <w:divBdr>
            <w:top w:val="none" w:sz="0" w:space="0" w:color="auto"/>
            <w:left w:val="none" w:sz="0" w:space="0" w:color="auto"/>
            <w:bottom w:val="none" w:sz="0" w:space="0" w:color="auto"/>
            <w:right w:val="none" w:sz="0" w:space="0" w:color="auto"/>
          </w:divBdr>
        </w:div>
      </w:divsChild>
    </w:div>
    <w:div w:id="762915736">
      <w:bodyDiv w:val="1"/>
      <w:marLeft w:val="0"/>
      <w:marRight w:val="0"/>
      <w:marTop w:val="0"/>
      <w:marBottom w:val="0"/>
      <w:divBdr>
        <w:top w:val="none" w:sz="0" w:space="0" w:color="auto"/>
        <w:left w:val="none" w:sz="0" w:space="0" w:color="auto"/>
        <w:bottom w:val="none" w:sz="0" w:space="0" w:color="auto"/>
        <w:right w:val="none" w:sz="0" w:space="0" w:color="auto"/>
      </w:divBdr>
      <w:divsChild>
        <w:div w:id="203446519">
          <w:marLeft w:val="0"/>
          <w:marRight w:val="0"/>
          <w:marTop w:val="0"/>
          <w:marBottom w:val="0"/>
          <w:divBdr>
            <w:top w:val="none" w:sz="0" w:space="0" w:color="auto"/>
            <w:left w:val="none" w:sz="0" w:space="0" w:color="auto"/>
            <w:bottom w:val="none" w:sz="0" w:space="0" w:color="auto"/>
            <w:right w:val="none" w:sz="0" w:space="0" w:color="auto"/>
          </w:divBdr>
        </w:div>
        <w:div w:id="377507741">
          <w:marLeft w:val="0"/>
          <w:marRight w:val="0"/>
          <w:marTop w:val="0"/>
          <w:marBottom w:val="0"/>
          <w:divBdr>
            <w:top w:val="none" w:sz="0" w:space="0" w:color="auto"/>
            <w:left w:val="none" w:sz="0" w:space="0" w:color="auto"/>
            <w:bottom w:val="none" w:sz="0" w:space="0" w:color="auto"/>
            <w:right w:val="none" w:sz="0" w:space="0" w:color="auto"/>
          </w:divBdr>
        </w:div>
        <w:div w:id="799766960">
          <w:marLeft w:val="0"/>
          <w:marRight w:val="0"/>
          <w:marTop w:val="0"/>
          <w:marBottom w:val="0"/>
          <w:divBdr>
            <w:top w:val="none" w:sz="0" w:space="0" w:color="auto"/>
            <w:left w:val="none" w:sz="0" w:space="0" w:color="auto"/>
            <w:bottom w:val="none" w:sz="0" w:space="0" w:color="auto"/>
            <w:right w:val="none" w:sz="0" w:space="0" w:color="auto"/>
          </w:divBdr>
        </w:div>
        <w:div w:id="911231161">
          <w:marLeft w:val="0"/>
          <w:marRight w:val="0"/>
          <w:marTop w:val="0"/>
          <w:marBottom w:val="0"/>
          <w:divBdr>
            <w:top w:val="none" w:sz="0" w:space="0" w:color="auto"/>
            <w:left w:val="none" w:sz="0" w:space="0" w:color="auto"/>
            <w:bottom w:val="none" w:sz="0" w:space="0" w:color="auto"/>
            <w:right w:val="none" w:sz="0" w:space="0" w:color="auto"/>
          </w:divBdr>
        </w:div>
        <w:div w:id="1190098199">
          <w:marLeft w:val="0"/>
          <w:marRight w:val="0"/>
          <w:marTop w:val="0"/>
          <w:marBottom w:val="0"/>
          <w:divBdr>
            <w:top w:val="none" w:sz="0" w:space="0" w:color="auto"/>
            <w:left w:val="none" w:sz="0" w:space="0" w:color="auto"/>
            <w:bottom w:val="none" w:sz="0" w:space="0" w:color="auto"/>
            <w:right w:val="none" w:sz="0" w:space="0" w:color="auto"/>
          </w:divBdr>
        </w:div>
        <w:div w:id="1644501047">
          <w:marLeft w:val="0"/>
          <w:marRight w:val="0"/>
          <w:marTop w:val="0"/>
          <w:marBottom w:val="0"/>
          <w:divBdr>
            <w:top w:val="none" w:sz="0" w:space="0" w:color="auto"/>
            <w:left w:val="none" w:sz="0" w:space="0" w:color="auto"/>
            <w:bottom w:val="none" w:sz="0" w:space="0" w:color="auto"/>
            <w:right w:val="none" w:sz="0" w:space="0" w:color="auto"/>
          </w:divBdr>
        </w:div>
        <w:div w:id="1656958433">
          <w:marLeft w:val="0"/>
          <w:marRight w:val="0"/>
          <w:marTop w:val="0"/>
          <w:marBottom w:val="0"/>
          <w:divBdr>
            <w:top w:val="none" w:sz="0" w:space="0" w:color="auto"/>
            <w:left w:val="none" w:sz="0" w:space="0" w:color="auto"/>
            <w:bottom w:val="none" w:sz="0" w:space="0" w:color="auto"/>
            <w:right w:val="none" w:sz="0" w:space="0" w:color="auto"/>
          </w:divBdr>
        </w:div>
        <w:div w:id="1797600104">
          <w:marLeft w:val="0"/>
          <w:marRight w:val="0"/>
          <w:marTop w:val="0"/>
          <w:marBottom w:val="0"/>
          <w:divBdr>
            <w:top w:val="none" w:sz="0" w:space="0" w:color="auto"/>
            <w:left w:val="none" w:sz="0" w:space="0" w:color="auto"/>
            <w:bottom w:val="none" w:sz="0" w:space="0" w:color="auto"/>
            <w:right w:val="none" w:sz="0" w:space="0" w:color="auto"/>
          </w:divBdr>
        </w:div>
        <w:div w:id="1811941890">
          <w:marLeft w:val="0"/>
          <w:marRight w:val="0"/>
          <w:marTop w:val="0"/>
          <w:marBottom w:val="0"/>
          <w:divBdr>
            <w:top w:val="none" w:sz="0" w:space="0" w:color="auto"/>
            <w:left w:val="none" w:sz="0" w:space="0" w:color="auto"/>
            <w:bottom w:val="none" w:sz="0" w:space="0" w:color="auto"/>
            <w:right w:val="none" w:sz="0" w:space="0" w:color="auto"/>
          </w:divBdr>
        </w:div>
        <w:div w:id="1880625076">
          <w:marLeft w:val="0"/>
          <w:marRight w:val="0"/>
          <w:marTop w:val="0"/>
          <w:marBottom w:val="0"/>
          <w:divBdr>
            <w:top w:val="none" w:sz="0" w:space="0" w:color="auto"/>
            <w:left w:val="none" w:sz="0" w:space="0" w:color="auto"/>
            <w:bottom w:val="none" w:sz="0" w:space="0" w:color="auto"/>
            <w:right w:val="none" w:sz="0" w:space="0" w:color="auto"/>
          </w:divBdr>
        </w:div>
        <w:div w:id="1983921958">
          <w:marLeft w:val="0"/>
          <w:marRight w:val="0"/>
          <w:marTop w:val="0"/>
          <w:marBottom w:val="0"/>
          <w:divBdr>
            <w:top w:val="none" w:sz="0" w:space="0" w:color="auto"/>
            <w:left w:val="none" w:sz="0" w:space="0" w:color="auto"/>
            <w:bottom w:val="none" w:sz="0" w:space="0" w:color="auto"/>
            <w:right w:val="none" w:sz="0" w:space="0" w:color="auto"/>
          </w:divBdr>
        </w:div>
        <w:div w:id="2048722563">
          <w:marLeft w:val="0"/>
          <w:marRight w:val="0"/>
          <w:marTop w:val="0"/>
          <w:marBottom w:val="0"/>
          <w:divBdr>
            <w:top w:val="none" w:sz="0" w:space="0" w:color="auto"/>
            <w:left w:val="none" w:sz="0" w:space="0" w:color="auto"/>
            <w:bottom w:val="none" w:sz="0" w:space="0" w:color="auto"/>
            <w:right w:val="none" w:sz="0" w:space="0" w:color="auto"/>
          </w:divBdr>
        </w:div>
        <w:div w:id="2110272288">
          <w:marLeft w:val="0"/>
          <w:marRight w:val="0"/>
          <w:marTop w:val="0"/>
          <w:marBottom w:val="0"/>
          <w:divBdr>
            <w:top w:val="none" w:sz="0" w:space="0" w:color="auto"/>
            <w:left w:val="none" w:sz="0" w:space="0" w:color="auto"/>
            <w:bottom w:val="none" w:sz="0" w:space="0" w:color="auto"/>
            <w:right w:val="none" w:sz="0" w:space="0" w:color="auto"/>
          </w:divBdr>
        </w:div>
      </w:divsChild>
    </w:div>
    <w:div w:id="766122905">
      <w:bodyDiv w:val="1"/>
      <w:marLeft w:val="0"/>
      <w:marRight w:val="0"/>
      <w:marTop w:val="0"/>
      <w:marBottom w:val="0"/>
      <w:divBdr>
        <w:top w:val="none" w:sz="0" w:space="0" w:color="auto"/>
        <w:left w:val="none" w:sz="0" w:space="0" w:color="auto"/>
        <w:bottom w:val="none" w:sz="0" w:space="0" w:color="auto"/>
        <w:right w:val="none" w:sz="0" w:space="0" w:color="auto"/>
      </w:divBdr>
      <w:divsChild>
        <w:div w:id="1312176058">
          <w:marLeft w:val="0"/>
          <w:marRight w:val="0"/>
          <w:marTop w:val="0"/>
          <w:marBottom w:val="0"/>
          <w:divBdr>
            <w:top w:val="none" w:sz="0" w:space="0" w:color="auto"/>
            <w:left w:val="none" w:sz="0" w:space="0" w:color="auto"/>
            <w:bottom w:val="none" w:sz="0" w:space="0" w:color="auto"/>
            <w:right w:val="none" w:sz="0" w:space="0" w:color="auto"/>
          </w:divBdr>
        </w:div>
        <w:div w:id="1855875038">
          <w:marLeft w:val="0"/>
          <w:marRight w:val="0"/>
          <w:marTop w:val="0"/>
          <w:marBottom w:val="0"/>
          <w:divBdr>
            <w:top w:val="none" w:sz="0" w:space="0" w:color="auto"/>
            <w:left w:val="none" w:sz="0" w:space="0" w:color="auto"/>
            <w:bottom w:val="none" w:sz="0" w:space="0" w:color="auto"/>
            <w:right w:val="none" w:sz="0" w:space="0" w:color="auto"/>
          </w:divBdr>
        </w:div>
        <w:div w:id="1861238973">
          <w:marLeft w:val="0"/>
          <w:marRight w:val="0"/>
          <w:marTop w:val="0"/>
          <w:marBottom w:val="0"/>
          <w:divBdr>
            <w:top w:val="none" w:sz="0" w:space="0" w:color="auto"/>
            <w:left w:val="none" w:sz="0" w:space="0" w:color="auto"/>
            <w:bottom w:val="none" w:sz="0" w:space="0" w:color="auto"/>
            <w:right w:val="none" w:sz="0" w:space="0" w:color="auto"/>
          </w:divBdr>
        </w:div>
      </w:divsChild>
    </w:div>
    <w:div w:id="775173927">
      <w:bodyDiv w:val="1"/>
      <w:marLeft w:val="0"/>
      <w:marRight w:val="0"/>
      <w:marTop w:val="0"/>
      <w:marBottom w:val="0"/>
      <w:divBdr>
        <w:top w:val="none" w:sz="0" w:space="0" w:color="auto"/>
        <w:left w:val="none" w:sz="0" w:space="0" w:color="auto"/>
        <w:bottom w:val="none" w:sz="0" w:space="0" w:color="auto"/>
        <w:right w:val="none" w:sz="0" w:space="0" w:color="auto"/>
      </w:divBdr>
      <w:divsChild>
        <w:div w:id="1238831977">
          <w:marLeft w:val="0"/>
          <w:marRight w:val="0"/>
          <w:marTop w:val="0"/>
          <w:marBottom w:val="0"/>
          <w:divBdr>
            <w:top w:val="none" w:sz="0" w:space="0" w:color="auto"/>
            <w:left w:val="none" w:sz="0" w:space="0" w:color="auto"/>
            <w:bottom w:val="none" w:sz="0" w:space="0" w:color="auto"/>
            <w:right w:val="none" w:sz="0" w:space="0" w:color="auto"/>
          </w:divBdr>
        </w:div>
      </w:divsChild>
    </w:div>
    <w:div w:id="775826453">
      <w:bodyDiv w:val="1"/>
      <w:marLeft w:val="0"/>
      <w:marRight w:val="0"/>
      <w:marTop w:val="0"/>
      <w:marBottom w:val="0"/>
      <w:divBdr>
        <w:top w:val="none" w:sz="0" w:space="0" w:color="auto"/>
        <w:left w:val="none" w:sz="0" w:space="0" w:color="auto"/>
        <w:bottom w:val="none" w:sz="0" w:space="0" w:color="auto"/>
        <w:right w:val="none" w:sz="0" w:space="0" w:color="auto"/>
      </w:divBdr>
      <w:divsChild>
        <w:div w:id="9525870">
          <w:marLeft w:val="0"/>
          <w:marRight w:val="0"/>
          <w:marTop w:val="0"/>
          <w:marBottom w:val="0"/>
          <w:divBdr>
            <w:top w:val="none" w:sz="0" w:space="0" w:color="auto"/>
            <w:left w:val="none" w:sz="0" w:space="0" w:color="auto"/>
            <w:bottom w:val="none" w:sz="0" w:space="0" w:color="auto"/>
            <w:right w:val="none" w:sz="0" w:space="0" w:color="auto"/>
          </w:divBdr>
        </w:div>
        <w:div w:id="304167953">
          <w:marLeft w:val="0"/>
          <w:marRight w:val="0"/>
          <w:marTop w:val="0"/>
          <w:marBottom w:val="0"/>
          <w:divBdr>
            <w:top w:val="none" w:sz="0" w:space="0" w:color="auto"/>
            <w:left w:val="none" w:sz="0" w:space="0" w:color="auto"/>
            <w:bottom w:val="none" w:sz="0" w:space="0" w:color="auto"/>
            <w:right w:val="none" w:sz="0" w:space="0" w:color="auto"/>
          </w:divBdr>
        </w:div>
        <w:div w:id="787161582">
          <w:marLeft w:val="0"/>
          <w:marRight w:val="0"/>
          <w:marTop w:val="0"/>
          <w:marBottom w:val="0"/>
          <w:divBdr>
            <w:top w:val="none" w:sz="0" w:space="0" w:color="auto"/>
            <w:left w:val="none" w:sz="0" w:space="0" w:color="auto"/>
            <w:bottom w:val="none" w:sz="0" w:space="0" w:color="auto"/>
            <w:right w:val="none" w:sz="0" w:space="0" w:color="auto"/>
          </w:divBdr>
        </w:div>
        <w:div w:id="1222713166">
          <w:marLeft w:val="0"/>
          <w:marRight w:val="0"/>
          <w:marTop w:val="0"/>
          <w:marBottom w:val="0"/>
          <w:divBdr>
            <w:top w:val="none" w:sz="0" w:space="0" w:color="auto"/>
            <w:left w:val="none" w:sz="0" w:space="0" w:color="auto"/>
            <w:bottom w:val="none" w:sz="0" w:space="0" w:color="auto"/>
            <w:right w:val="none" w:sz="0" w:space="0" w:color="auto"/>
          </w:divBdr>
        </w:div>
        <w:div w:id="1338927785">
          <w:marLeft w:val="0"/>
          <w:marRight w:val="0"/>
          <w:marTop w:val="0"/>
          <w:marBottom w:val="0"/>
          <w:divBdr>
            <w:top w:val="none" w:sz="0" w:space="0" w:color="auto"/>
            <w:left w:val="none" w:sz="0" w:space="0" w:color="auto"/>
            <w:bottom w:val="none" w:sz="0" w:space="0" w:color="auto"/>
            <w:right w:val="none" w:sz="0" w:space="0" w:color="auto"/>
          </w:divBdr>
        </w:div>
        <w:div w:id="1526408930">
          <w:marLeft w:val="0"/>
          <w:marRight w:val="0"/>
          <w:marTop w:val="0"/>
          <w:marBottom w:val="0"/>
          <w:divBdr>
            <w:top w:val="none" w:sz="0" w:space="0" w:color="auto"/>
            <w:left w:val="none" w:sz="0" w:space="0" w:color="auto"/>
            <w:bottom w:val="none" w:sz="0" w:space="0" w:color="auto"/>
            <w:right w:val="none" w:sz="0" w:space="0" w:color="auto"/>
          </w:divBdr>
        </w:div>
        <w:div w:id="1553734463">
          <w:marLeft w:val="0"/>
          <w:marRight w:val="0"/>
          <w:marTop w:val="0"/>
          <w:marBottom w:val="0"/>
          <w:divBdr>
            <w:top w:val="none" w:sz="0" w:space="0" w:color="auto"/>
            <w:left w:val="none" w:sz="0" w:space="0" w:color="auto"/>
            <w:bottom w:val="none" w:sz="0" w:space="0" w:color="auto"/>
            <w:right w:val="none" w:sz="0" w:space="0" w:color="auto"/>
          </w:divBdr>
        </w:div>
        <w:div w:id="1735855471">
          <w:marLeft w:val="0"/>
          <w:marRight w:val="0"/>
          <w:marTop w:val="0"/>
          <w:marBottom w:val="0"/>
          <w:divBdr>
            <w:top w:val="none" w:sz="0" w:space="0" w:color="auto"/>
            <w:left w:val="none" w:sz="0" w:space="0" w:color="auto"/>
            <w:bottom w:val="none" w:sz="0" w:space="0" w:color="auto"/>
            <w:right w:val="none" w:sz="0" w:space="0" w:color="auto"/>
          </w:divBdr>
        </w:div>
      </w:divsChild>
    </w:div>
    <w:div w:id="777796101">
      <w:bodyDiv w:val="1"/>
      <w:marLeft w:val="0"/>
      <w:marRight w:val="0"/>
      <w:marTop w:val="0"/>
      <w:marBottom w:val="0"/>
      <w:divBdr>
        <w:top w:val="none" w:sz="0" w:space="0" w:color="auto"/>
        <w:left w:val="none" w:sz="0" w:space="0" w:color="auto"/>
        <w:bottom w:val="none" w:sz="0" w:space="0" w:color="auto"/>
        <w:right w:val="none" w:sz="0" w:space="0" w:color="auto"/>
      </w:divBdr>
    </w:div>
    <w:div w:id="791754420">
      <w:bodyDiv w:val="1"/>
      <w:marLeft w:val="0"/>
      <w:marRight w:val="0"/>
      <w:marTop w:val="0"/>
      <w:marBottom w:val="0"/>
      <w:divBdr>
        <w:top w:val="none" w:sz="0" w:space="0" w:color="auto"/>
        <w:left w:val="none" w:sz="0" w:space="0" w:color="auto"/>
        <w:bottom w:val="none" w:sz="0" w:space="0" w:color="auto"/>
        <w:right w:val="none" w:sz="0" w:space="0" w:color="auto"/>
      </w:divBdr>
      <w:divsChild>
        <w:div w:id="936981609">
          <w:marLeft w:val="0"/>
          <w:marRight w:val="0"/>
          <w:marTop w:val="0"/>
          <w:marBottom w:val="0"/>
          <w:divBdr>
            <w:top w:val="none" w:sz="0" w:space="0" w:color="auto"/>
            <w:left w:val="none" w:sz="0" w:space="0" w:color="auto"/>
            <w:bottom w:val="none" w:sz="0" w:space="0" w:color="auto"/>
            <w:right w:val="none" w:sz="0" w:space="0" w:color="auto"/>
          </w:divBdr>
          <w:divsChild>
            <w:div w:id="7830976">
              <w:marLeft w:val="0"/>
              <w:marRight w:val="0"/>
              <w:marTop w:val="0"/>
              <w:marBottom w:val="0"/>
              <w:divBdr>
                <w:top w:val="none" w:sz="0" w:space="0" w:color="auto"/>
                <w:left w:val="none" w:sz="0" w:space="0" w:color="auto"/>
                <w:bottom w:val="none" w:sz="0" w:space="0" w:color="auto"/>
                <w:right w:val="none" w:sz="0" w:space="0" w:color="auto"/>
              </w:divBdr>
            </w:div>
            <w:div w:id="138963196">
              <w:marLeft w:val="0"/>
              <w:marRight w:val="0"/>
              <w:marTop w:val="0"/>
              <w:marBottom w:val="0"/>
              <w:divBdr>
                <w:top w:val="none" w:sz="0" w:space="0" w:color="auto"/>
                <w:left w:val="none" w:sz="0" w:space="0" w:color="auto"/>
                <w:bottom w:val="none" w:sz="0" w:space="0" w:color="auto"/>
                <w:right w:val="none" w:sz="0" w:space="0" w:color="auto"/>
              </w:divBdr>
            </w:div>
            <w:div w:id="268975998">
              <w:marLeft w:val="0"/>
              <w:marRight w:val="0"/>
              <w:marTop w:val="0"/>
              <w:marBottom w:val="0"/>
              <w:divBdr>
                <w:top w:val="none" w:sz="0" w:space="0" w:color="auto"/>
                <w:left w:val="none" w:sz="0" w:space="0" w:color="auto"/>
                <w:bottom w:val="none" w:sz="0" w:space="0" w:color="auto"/>
                <w:right w:val="none" w:sz="0" w:space="0" w:color="auto"/>
              </w:divBdr>
            </w:div>
            <w:div w:id="271743946">
              <w:marLeft w:val="0"/>
              <w:marRight w:val="0"/>
              <w:marTop w:val="0"/>
              <w:marBottom w:val="0"/>
              <w:divBdr>
                <w:top w:val="none" w:sz="0" w:space="0" w:color="auto"/>
                <w:left w:val="none" w:sz="0" w:space="0" w:color="auto"/>
                <w:bottom w:val="none" w:sz="0" w:space="0" w:color="auto"/>
                <w:right w:val="none" w:sz="0" w:space="0" w:color="auto"/>
              </w:divBdr>
            </w:div>
            <w:div w:id="411661306">
              <w:marLeft w:val="0"/>
              <w:marRight w:val="0"/>
              <w:marTop w:val="0"/>
              <w:marBottom w:val="0"/>
              <w:divBdr>
                <w:top w:val="none" w:sz="0" w:space="0" w:color="auto"/>
                <w:left w:val="none" w:sz="0" w:space="0" w:color="auto"/>
                <w:bottom w:val="none" w:sz="0" w:space="0" w:color="auto"/>
                <w:right w:val="none" w:sz="0" w:space="0" w:color="auto"/>
              </w:divBdr>
            </w:div>
            <w:div w:id="576668609">
              <w:marLeft w:val="0"/>
              <w:marRight w:val="0"/>
              <w:marTop w:val="0"/>
              <w:marBottom w:val="0"/>
              <w:divBdr>
                <w:top w:val="none" w:sz="0" w:space="0" w:color="auto"/>
                <w:left w:val="none" w:sz="0" w:space="0" w:color="auto"/>
                <w:bottom w:val="none" w:sz="0" w:space="0" w:color="auto"/>
                <w:right w:val="none" w:sz="0" w:space="0" w:color="auto"/>
              </w:divBdr>
            </w:div>
            <w:div w:id="627201101">
              <w:marLeft w:val="0"/>
              <w:marRight w:val="0"/>
              <w:marTop w:val="0"/>
              <w:marBottom w:val="0"/>
              <w:divBdr>
                <w:top w:val="none" w:sz="0" w:space="0" w:color="auto"/>
                <w:left w:val="none" w:sz="0" w:space="0" w:color="auto"/>
                <w:bottom w:val="none" w:sz="0" w:space="0" w:color="auto"/>
                <w:right w:val="none" w:sz="0" w:space="0" w:color="auto"/>
              </w:divBdr>
            </w:div>
            <w:div w:id="677390011">
              <w:marLeft w:val="0"/>
              <w:marRight w:val="0"/>
              <w:marTop w:val="0"/>
              <w:marBottom w:val="0"/>
              <w:divBdr>
                <w:top w:val="none" w:sz="0" w:space="0" w:color="auto"/>
                <w:left w:val="none" w:sz="0" w:space="0" w:color="auto"/>
                <w:bottom w:val="none" w:sz="0" w:space="0" w:color="auto"/>
                <w:right w:val="none" w:sz="0" w:space="0" w:color="auto"/>
              </w:divBdr>
            </w:div>
            <w:div w:id="720978774">
              <w:marLeft w:val="0"/>
              <w:marRight w:val="0"/>
              <w:marTop w:val="0"/>
              <w:marBottom w:val="0"/>
              <w:divBdr>
                <w:top w:val="none" w:sz="0" w:space="0" w:color="auto"/>
                <w:left w:val="none" w:sz="0" w:space="0" w:color="auto"/>
                <w:bottom w:val="none" w:sz="0" w:space="0" w:color="auto"/>
                <w:right w:val="none" w:sz="0" w:space="0" w:color="auto"/>
              </w:divBdr>
            </w:div>
            <w:div w:id="727920843">
              <w:marLeft w:val="0"/>
              <w:marRight w:val="0"/>
              <w:marTop w:val="0"/>
              <w:marBottom w:val="0"/>
              <w:divBdr>
                <w:top w:val="none" w:sz="0" w:space="0" w:color="auto"/>
                <w:left w:val="none" w:sz="0" w:space="0" w:color="auto"/>
                <w:bottom w:val="none" w:sz="0" w:space="0" w:color="auto"/>
                <w:right w:val="none" w:sz="0" w:space="0" w:color="auto"/>
              </w:divBdr>
            </w:div>
            <w:div w:id="976640047">
              <w:marLeft w:val="0"/>
              <w:marRight w:val="0"/>
              <w:marTop w:val="0"/>
              <w:marBottom w:val="0"/>
              <w:divBdr>
                <w:top w:val="none" w:sz="0" w:space="0" w:color="auto"/>
                <w:left w:val="none" w:sz="0" w:space="0" w:color="auto"/>
                <w:bottom w:val="none" w:sz="0" w:space="0" w:color="auto"/>
                <w:right w:val="none" w:sz="0" w:space="0" w:color="auto"/>
              </w:divBdr>
            </w:div>
            <w:div w:id="1119447524">
              <w:marLeft w:val="0"/>
              <w:marRight w:val="0"/>
              <w:marTop w:val="0"/>
              <w:marBottom w:val="0"/>
              <w:divBdr>
                <w:top w:val="none" w:sz="0" w:space="0" w:color="auto"/>
                <w:left w:val="none" w:sz="0" w:space="0" w:color="auto"/>
                <w:bottom w:val="none" w:sz="0" w:space="0" w:color="auto"/>
                <w:right w:val="none" w:sz="0" w:space="0" w:color="auto"/>
              </w:divBdr>
            </w:div>
            <w:div w:id="1347059545">
              <w:marLeft w:val="0"/>
              <w:marRight w:val="0"/>
              <w:marTop w:val="0"/>
              <w:marBottom w:val="0"/>
              <w:divBdr>
                <w:top w:val="none" w:sz="0" w:space="0" w:color="auto"/>
                <w:left w:val="none" w:sz="0" w:space="0" w:color="auto"/>
                <w:bottom w:val="none" w:sz="0" w:space="0" w:color="auto"/>
                <w:right w:val="none" w:sz="0" w:space="0" w:color="auto"/>
              </w:divBdr>
            </w:div>
            <w:div w:id="1507397779">
              <w:marLeft w:val="0"/>
              <w:marRight w:val="0"/>
              <w:marTop w:val="0"/>
              <w:marBottom w:val="0"/>
              <w:divBdr>
                <w:top w:val="none" w:sz="0" w:space="0" w:color="auto"/>
                <w:left w:val="none" w:sz="0" w:space="0" w:color="auto"/>
                <w:bottom w:val="none" w:sz="0" w:space="0" w:color="auto"/>
                <w:right w:val="none" w:sz="0" w:space="0" w:color="auto"/>
              </w:divBdr>
            </w:div>
            <w:div w:id="1537352896">
              <w:marLeft w:val="0"/>
              <w:marRight w:val="0"/>
              <w:marTop w:val="0"/>
              <w:marBottom w:val="0"/>
              <w:divBdr>
                <w:top w:val="none" w:sz="0" w:space="0" w:color="auto"/>
                <w:left w:val="none" w:sz="0" w:space="0" w:color="auto"/>
                <w:bottom w:val="none" w:sz="0" w:space="0" w:color="auto"/>
                <w:right w:val="none" w:sz="0" w:space="0" w:color="auto"/>
              </w:divBdr>
            </w:div>
            <w:div w:id="1561791946">
              <w:marLeft w:val="0"/>
              <w:marRight w:val="0"/>
              <w:marTop w:val="0"/>
              <w:marBottom w:val="0"/>
              <w:divBdr>
                <w:top w:val="none" w:sz="0" w:space="0" w:color="auto"/>
                <w:left w:val="none" w:sz="0" w:space="0" w:color="auto"/>
                <w:bottom w:val="none" w:sz="0" w:space="0" w:color="auto"/>
                <w:right w:val="none" w:sz="0" w:space="0" w:color="auto"/>
              </w:divBdr>
            </w:div>
            <w:div w:id="1620454779">
              <w:marLeft w:val="0"/>
              <w:marRight w:val="0"/>
              <w:marTop w:val="0"/>
              <w:marBottom w:val="0"/>
              <w:divBdr>
                <w:top w:val="none" w:sz="0" w:space="0" w:color="auto"/>
                <w:left w:val="none" w:sz="0" w:space="0" w:color="auto"/>
                <w:bottom w:val="none" w:sz="0" w:space="0" w:color="auto"/>
                <w:right w:val="none" w:sz="0" w:space="0" w:color="auto"/>
              </w:divBdr>
            </w:div>
            <w:div w:id="1657492742">
              <w:marLeft w:val="0"/>
              <w:marRight w:val="0"/>
              <w:marTop w:val="0"/>
              <w:marBottom w:val="0"/>
              <w:divBdr>
                <w:top w:val="none" w:sz="0" w:space="0" w:color="auto"/>
                <w:left w:val="none" w:sz="0" w:space="0" w:color="auto"/>
                <w:bottom w:val="none" w:sz="0" w:space="0" w:color="auto"/>
                <w:right w:val="none" w:sz="0" w:space="0" w:color="auto"/>
              </w:divBdr>
            </w:div>
            <w:div w:id="1685202763">
              <w:marLeft w:val="0"/>
              <w:marRight w:val="0"/>
              <w:marTop w:val="0"/>
              <w:marBottom w:val="0"/>
              <w:divBdr>
                <w:top w:val="none" w:sz="0" w:space="0" w:color="auto"/>
                <w:left w:val="none" w:sz="0" w:space="0" w:color="auto"/>
                <w:bottom w:val="none" w:sz="0" w:space="0" w:color="auto"/>
                <w:right w:val="none" w:sz="0" w:space="0" w:color="auto"/>
              </w:divBdr>
            </w:div>
            <w:div w:id="1736199890">
              <w:marLeft w:val="0"/>
              <w:marRight w:val="0"/>
              <w:marTop w:val="0"/>
              <w:marBottom w:val="0"/>
              <w:divBdr>
                <w:top w:val="none" w:sz="0" w:space="0" w:color="auto"/>
                <w:left w:val="none" w:sz="0" w:space="0" w:color="auto"/>
                <w:bottom w:val="none" w:sz="0" w:space="0" w:color="auto"/>
                <w:right w:val="none" w:sz="0" w:space="0" w:color="auto"/>
              </w:divBdr>
            </w:div>
            <w:div w:id="1739092662">
              <w:marLeft w:val="0"/>
              <w:marRight w:val="0"/>
              <w:marTop w:val="0"/>
              <w:marBottom w:val="0"/>
              <w:divBdr>
                <w:top w:val="none" w:sz="0" w:space="0" w:color="auto"/>
                <w:left w:val="none" w:sz="0" w:space="0" w:color="auto"/>
                <w:bottom w:val="none" w:sz="0" w:space="0" w:color="auto"/>
                <w:right w:val="none" w:sz="0" w:space="0" w:color="auto"/>
              </w:divBdr>
            </w:div>
            <w:div w:id="1748729361">
              <w:marLeft w:val="0"/>
              <w:marRight w:val="0"/>
              <w:marTop w:val="0"/>
              <w:marBottom w:val="0"/>
              <w:divBdr>
                <w:top w:val="none" w:sz="0" w:space="0" w:color="auto"/>
                <w:left w:val="none" w:sz="0" w:space="0" w:color="auto"/>
                <w:bottom w:val="none" w:sz="0" w:space="0" w:color="auto"/>
                <w:right w:val="none" w:sz="0" w:space="0" w:color="auto"/>
              </w:divBdr>
            </w:div>
            <w:div w:id="1756974001">
              <w:marLeft w:val="0"/>
              <w:marRight w:val="0"/>
              <w:marTop w:val="0"/>
              <w:marBottom w:val="0"/>
              <w:divBdr>
                <w:top w:val="none" w:sz="0" w:space="0" w:color="auto"/>
                <w:left w:val="none" w:sz="0" w:space="0" w:color="auto"/>
                <w:bottom w:val="none" w:sz="0" w:space="0" w:color="auto"/>
                <w:right w:val="none" w:sz="0" w:space="0" w:color="auto"/>
              </w:divBdr>
            </w:div>
            <w:div w:id="1816606433">
              <w:marLeft w:val="0"/>
              <w:marRight w:val="0"/>
              <w:marTop w:val="0"/>
              <w:marBottom w:val="0"/>
              <w:divBdr>
                <w:top w:val="none" w:sz="0" w:space="0" w:color="auto"/>
                <w:left w:val="none" w:sz="0" w:space="0" w:color="auto"/>
                <w:bottom w:val="none" w:sz="0" w:space="0" w:color="auto"/>
                <w:right w:val="none" w:sz="0" w:space="0" w:color="auto"/>
              </w:divBdr>
            </w:div>
            <w:div w:id="1880243029">
              <w:marLeft w:val="0"/>
              <w:marRight w:val="0"/>
              <w:marTop w:val="0"/>
              <w:marBottom w:val="0"/>
              <w:divBdr>
                <w:top w:val="none" w:sz="0" w:space="0" w:color="auto"/>
                <w:left w:val="none" w:sz="0" w:space="0" w:color="auto"/>
                <w:bottom w:val="none" w:sz="0" w:space="0" w:color="auto"/>
                <w:right w:val="none" w:sz="0" w:space="0" w:color="auto"/>
              </w:divBdr>
            </w:div>
            <w:div w:id="1888298572">
              <w:marLeft w:val="0"/>
              <w:marRight w:val="0"/>
              <w:marTop w:val="0"/>
              <w:marBottom w:val="0"/>
              <w:divBdr>
                <w:top w:val="none" w:sz="0" w:space="0" w:color="auto"/>
                <w:left w:val="none" w:sz="0" w:space="0" w:color="auto"/>
                <w:bottom w:val="none" w:sz="0" w:space="0" w:color="auto"/>
                <w:right w:val="none" w:sz="0" w:space="0" w:color="auto"/>
              </w:divBdr>
            </w:div>
            <w:div w:id="1987974422">
              <w:marLeft w:val="0"/>
              <w:marRight w:val="0"/>
              <w:marTop w:val="0"/>
              <w:marBottom w:val="0"/>
              <w:divBdr>
                <w:top w:val="none" w:sz="0" w:space="0" w:color="auto"/>
                <w:left w:val="none" w:sz="0" w:space="0" w:color="auto"/>
                <w:bottom w:val="none" w:sz="0" w:space="0" w:color="auto"/>
                <w:right w:val="none" w:sz="0" w:space="0" w:color="auto"/>
              </w:divBdr>
            </w:div>
            <w:div w:id="2080440546">
              <w:marLeft w:val="0"/>
              <w:marRight w:val="0"/>
              <w:marTop w:val="0"/>
              <w:marBottom w:val="0"/>
              <w:divBdr>
                <w:top w:val="none" w:sz="0" w:space="0" w:color="auto"/>
                <w:left w:val="none" w:sz="0" w:space="0" w:color="auto"/>
                <w:bottom w:val="none" w:sz="0" w:space="0" w:color="auto"/>
                <w:right w:val="none" w:sz="0" w:space="0" w:color="auto"/>
              </w:divBdr>
            </w:div>
            <w:div w:id="2100172821">
              <w:marLeft w:val="0"/>
              <w:marRight w:val="0"/>
              <w:marTop w:val="0"/>
              <w:marBottom w:val="0"/>
              <w:divBdr>
                <w:top w:val="none" w:sz="0" w:space="0" w:color="auto"/>
                <w:left w:val="none" w:sz="0" w:space="0" w:color="auto"/>
                <w:bottom w:val="none" w:sz="0" w:space="0" w:color="auto"/>
                <w:right w:val="none" w:sz="0" w:space="0" w:color="auto"/>
              </w:divBdr>
            </w:div>
            <w:div w:id="2106151252">
              <w:marLeft w:val="0"/>
              <w:marRight w:val="0"/>
              <w:marTop w:val="0"/>
              <w:marBottom w:val="0"/>
              <w:divBdr>
                <w:top w:val="none" w:sz="0" w:space="0" w:color="auto"/>
                <w:left w:val="none" w:sz="0" w:space="0" w:color="auto"/>
                <w:bottom w:val="none" w:sz="0" w:space="0" w:color="auto"/>
                <w:right w:val="none" w:sz="0" w:space="0" w:color="auto"/>
              </w:divBdr>
            </w:div>
            <w:div w:id="2123962662">
              <w:marLeft w:val="0"/>
              <w:marRight w:val="0"/>
              <w:marTop w:val="0"/>
              <w:marBottom w:val="0"/>
              <w:divBdr>
                <w:top w:val="none" w:sz="0" w:space="0" w:color="auto"/>
                <w:left w:val="none" w:sz="0" w:space="0" w:color="auto"/>
                <w:bottom w:val="none" w:sz="0" w:space="0" w:color="auto"/>
                <w:right w:val="none" w:sz="0" w:space="0" w:color="auto"/>
              </w:divBdr>
            </w:div>
            <w:div w:id="21470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606">
      <w:bodyDiv w:val="1"/>
      <w:marLeft w:val="0"/>
      <w:marRight w:val="0"/>
      <w:marTop w:val="0"/>
      <w:marBottom w:val="0"/>
      <w:divBdr>
        <w:top w:val="none" w:sz="0" w:space="0" w:color="auto"/>
        <w:left w:val="none" w:sz="0" w:space="0" w:color="auto"/>
        <w:bottom w:val="none" w:sz="0" w:space="0" w:color="auto"/>
        <w:right w:val="none" w:sz="0" w:space="0" w:color="auto"/>
      </w:divBdr>
      <w:divsChild>
        <w:div w:id="273752151">
          <w:marLeft w:val="0"/>
          <w:marRight w:val="0"/>
          <w:marTop w:val="0"/>
          <w:marBottom w:val="0"/>
          <w:divBdr>
            <w:top w:val="none" w:sz="0" w:space="0" w:color="auto"/>
            <w:left w:val="none" w:sz="0" w:space="0" w:color="auto"/>
            <w:bottom w:val="none" w:sz="0" w:space="0" w:color="auto"/>
            <w:right w:val="none" w:sz="0" w:space="0" w:color="auto"/>
          </w:divBdr>
          <w:divsChild>
            <w:div w:id="234247326">
              <w:marLeft w:val="0"/>
              <w:marRight w:val="0"/>
              <w:marTop w:val="0"/>
              <w:marBottom w:val="0"/>
              <w:divBdr>
                <w:top w:val="none" w:sz="0" w:space="0" w:color="auto"/>
                <w:left w:val="none" w:sz="0" w:space="0" w:color="auto"/>
                <w:bottom w:val="none" w:sz="0" w:space="0" w:color="auto"/>
                <w:right w:val="none" w:sz="0" w:space="0" w:color="auto"/>
              </w:divBdr>
            </w:div>
            <w:div w:id="245456920">
              <w:marLeft w:val="0"/>
              <w:marRight w:val="0"/>
              <w:marTop w:val="0"/>
              <w:marBottom w:val="0"/>
              <w:divBdr>
                <w:top w:val="none" w:sz="0" w:space="0" w:color="auto"/>
                <w:left w:val="none" w:sz="0" w:space="0" w:color="auto"/>
                <w:bottom w:val="none" w:sz="0" w:space="0" w:color="auto"/>
                <w:right w:val="none" w:sz="0" w:space="0" w:color="auto"/>
              </w:divBdr>
            </w:div>
            <w:div w:id="305739488">
              <w:marLeft w:val="0"/>
              <w:marRight w:val="0"/>
              <w:marTop w:val="0"/>
              <w:marBottom w:val="0"/>
              <w:divBdr>
                <w:top w:val="none" w:sz="0" w:space="0" w:color="auto"/>
                <w:left w:val="none" w:sz="0" w:space="0" w:color="auto"/>
                <w:bottom w:val="none" w:sz="0" w:space="0" w:color="auto"/>
                <w:right w:val="none" w:sz="0" w:space="0" w:color="auto"/>
              </w:divBdr>
            </w:div>
            <w:div w:id="434131863">
              <w:marLeft w:val="0"/>
              <w:marRight w:val="0"/>
              <w:marTop w:val="0"/>
              <w:marBottom w:val="0"/>
              <w:divBdr>
                <w:top w:val="none" w:sz="0" w:space="0" w:color="auto"/>
                <w:left w:val="none" w:sz="0" w:space="0" w:color="auto"/>
                <w:bottom w:val="none" w:sz="0" w:space="0" w:color="auto"/>
                <w:right w:val="none" w:sz="0" w:space="0" w:color="auto"/>
              </w:divBdr>
            </w:div>
            <w:div w:id="480267251">
              <w:marLeft w:val="0"/>
              <w:marRight w:val="0"/>
              <w:marTop w:val="0"/>
              <w:marBottom w:val="0"/>
              <w:divBdr>
                <w:top w:val="none" w:sz="0" w:space="0" w:color="auto"/>
                <w:left w:val="none" w:sz="0" w:space="0" w:color="auto"/>
                <w:bottom w:val="none" w:sz="0" w:space="0" w:color="auto"/>
                <w:right w:val="none" w:sz="0" w:space="0" w:color="auto"/>
              </w:divBdr>
            </w:div>
            <w:div w:id="584190012">
              <w:marLeft w:val="0"/>
              <w:marRight w:val="0"/>
              <w:marTop w:val="0"/>
              <w:marBottom w:val="0"/>
              <w:divBdr>
                <w:top w:val="none" w:sz="0" w:space="0" w:color="auto"/>
                <w:left w:val="none" w:sz="0" w:space="0" w:color="auto"/>
                <w:bottom w:val="none" w:sz="0" w:space="0" w:color="auto"/>
                <w:right w:val="none" w:sz="0" w:space="0" w:color="auto"/>
              </w:divBdr>
            </w:div>
            <w:div w:id="703676063">
              <w:marLeft w:val="0"/>
              <w:marRight w:val="0"/>
              <w:marTop w:val="0"/>
              <w:marBottom w:val="0"/>
              <w:divBdr>
                <w:top w:val="none" w:sz="0" w:space="0" w:color="auto"/>
                <w:left w:val="none" w:sz="0" w:space="0" w:color="auto"/>
                <w:bottom w:val="none" w:sz="0" w:space="0" w:color="auto"/>
                <w:right w:val="none" w:sz="0" w:space="0" w:color="auto"/>
              </w:divBdr>
            </w:div>
            <w:div w:id="783504018">
              <w:marLeft w:val="0"/>
              <w:marRight w:val="0"/>
              <w:marTop w:val="0"/>
              <w:marBottom w:val="0"/>
              <w:divBdr>
                <w:top w:val="none" w:sz="0" w:space="0" w:color="auto"/>
                <w:left w:val="none" w:sz="0" w:space="0" w:color="auto"/>
                <w:bottom w:val="none" w:sz="0" w:space="0" w:color="auto"/>
                <w:right w:val="none" w:sz="0" w:space="0" w:color="auto"/>
              </w:divBdr>
            </w:div>
            <w:div w:id="919027514">
              <w:marLeft w:val="0"/>
              <w:marRight w:val="0"/>
              <w:marTop w:val="0"/>
              <w:marBottom w:val="0"/>
              <w:divBdr>
                <w:top w:val="none" w:sz="0" w:space="0" w:color="auto"/>
                <w:left w:val="none" w:sz="0" w:space="0" w:color="auto"/>
                <w:bottom w:val="none" w:sz="0" w:space="0" w:color="auto"/>
                <w:right w:val="none" w:sz="0" w:space="0" w:color="auto"/>
              </w:divBdr>
            </w:div>
            <w:div w:id="1049498871">
              <w:marLeft w:val="0"/>
              <w:marRight w:val="0"/>
              <w:marTop w:val="0"/>
              <w:marBottom w:val="0"/>
              <w:divBdr>
                <w:top w:val="none" w:sz="0" w:space="0" w:color="auto"/>
                <w:left w:val="none" w:sz="0" w:space="0" w:color="auto"/>
                <w:bottom w:val="none" w:sz="0" w:space="0" w:color="auto"/>
                <w:right w:val="none" w:sz="0" w:space="0" w:color="auto"/>
              </w:divBdr>
            </w:div>
            <w:div w:id="1051609379">
              <w:marLeft w:val="0"/>
              <w:marRight w:val="0"/>
              <w:marTop w:val="0"/>
              <w:marBottom w:val="0"/>
              <w:divBdr>
                <w:top w:val="none" w:sz="0" w:space="0" w:color="auto"/>
                <w:left w:val="none" w:sz="0" w:space="0" w:color="auto"/>
                <w:bottom w:val="none" w:sz="0" w:space="0" w:color="auto"/>
                <w:right w:val="none" w:sz="0" w:space="0" w:color="auto"/>
              </w:divBdr>
            </w:div>
            <w:div w:id="1068311602">
              <w:marLeft w:val="0"/>
              <w:marRight w:val="0"/>
              <w:marTop w:val="0"/>
              <w:marBottom w:val="0"/>
              <w:divBdr>
                <w:top w:val="none" w:sz="0" w:space="0" w:color="auto"/>
                <w:left w:val="none" w:sz="0" w:space="0" w:color="auto"/>
                <w:bottom w:val="none" w:sz="0" w:space="0" w:color="auto"/>
                <w:right w:val="none" w:sz="0" w:space="0" w:color="auto"/>
              </w:divBdr>
            </w:div>
            <w:div w:id="1119370702">
              <w:marLeft w:val="0"/>
              <w:marRight w:val="0"/>
              <w:marTop w:val="0"/>
              <w:marBottom w:val="0"/>
              <w:divBdr>
                <w:top w:val="none" w:sz="0" w:space="0" w:color="auto"/>
                <w:left w:val="none" w:sz="0" w:space="0" w:color="auto"/>
                <w:bottom w:val="none" w:sz="0" w:space="0" w:color="auto"/>
                <w:right w:val="none" w:sz="0" w:space="0" w:color="auto"/>
              </w:divBdr>
            </w:div>
            <w:div w:id="1185367392">
              <w:marLeft w:val="0"/>
              <w:marRight w:val="0"/>
              <w:marTop w:val="0"/>
              <w:marBottom w:val="0"/>
              <w:divBdr>
                <w:top w:val="none" w:sz="0" w:space="0" w:color="auto"/>
                <w:left w:val="none" w:sz="0" w:space="0" w:color="auto"/>
                <w:bottom w:val="none" w:sz="0" w:space="0" w:color="auto"/>
                <w:right w:val="none" w:sz="0" w:space="0" w:color="auto"/>
              </w:divBdr>
            </w:div>
            <w:div w:id="1315067038">
              <w:marLeft w:val="0"/>
              <w:marRight w:val="0"/>
              <w:marTop w:val="0"/>
              <w:marBottom w:val="0"/>
              <w:divBdr>
                <w:top w:val="none" w:sz="0" w:space="0" w:color="auto"/>
                <w:left w:val="none" w:sz="0" w:space="0" w:color="auto"/>
                <w:bottom w:val="none" w:sz="0" w:space="0" w:color="auto"/>
                <w:right w:val="none" w:sz="0" w:space="0" w:color="auto"/>
              </w:divBdr>
            </w:div>
            <w:div w:id="1447889757">
              <w:marLeft w:val="0"/>
              <w:marRight w:val="0"/>
              <w:marTop w:val="0"/>
              <w:marBottom w:val="0"/>
              <w:divBdr>
                <w:top w:val="none" w:sz="0" w:space="0" w:color="auto"/>
                <w:left w:val="none" w:sz="0" w:space="0" w:color="auto"/>
                <w:bottom w:val="none" w:sz="0" w:space="0" w:color="auto"/>
                <w:right w:val="none" w:sz="0" w:space="0" w:color="auto"/>
              </w:divBdr>
            </w:div>
            <w:div w:id="1456754727">
              <w:marLeft w:val="0"/>
              <w:marRight w:val="0"/>
              <w:marTop w:val="0"/>
              <w:marBottom w:val="0"/>
              <w:divBdr>
                <w:top w:val="none" w:sz="0" w:space="0" w:color="auto"/>
                <w:left w:val="none" w:sz="0" w:space="0" w:color="auto"/>
                <w:bottom w:val="none" w:sz="0" w:space="0" w:color="auto"/>
                <w:right w:val="none" w:sz="0" w:space="0" w:color="auto"/>
              </w:divBdr>
            </w:div>
            <w:div w:id="1498153878">
              <w:marLeft w:val="0"/>
              <w:marRight w:val="0"/>
              <w:marTop w:val="0"/>
              <w:marBottom w:val="0"/>
              <w:divBdr>
                <w:top w:val="none" w:sz="0" w:space="0" w:color="auto"/>
                <w:left w:val="none" w:sz="0" w:space="0" w:color="auto"/>
                <w:bottom w:val="none" w:sz="0" w:space="0" w:color="auto"/>
                <w:right w:val="none" w:sz="0" w:space="0" w:color="auto"/>
              </w:divBdr>
            </w:div>
            <w:div w:id="1668942773">
              <w:marLeft w:val="0"/>
              <w:marRight w:val="0"/>
              <w:marTop w:val="0"/>
              <w:marBottom w:val="0"/>
              <w:divBdr>
                <w:top w:val="none" w:sz="0" w:space="0" w:color="auto"/>
                <w:left w:val="none" w:sz="0" w:space="0" w:color="auto"/>
                <w:bottom w:val="none" w:sz="0" w:space="0" w:color="auto"/>
                <w:right w:val="none" w:sz="0" w:space="0" w:color="auto"/>
              </w:divBdr>
            </w:div>
            <w:div w:id="1764764207">
              <w:marLeft w:val="0"/>
              <w:marRight w:val="0"/>
              <w:marTop w:val="0"/>
              <w:marBottom w:val="0"/>
              <w:divBdr>
                <w:top w:val="none" w:sz="0" w:space="0" w:color="auto"/>
                <w:left w:val="none" w:sz="0" w:space="0" w:color="auto"/>
                <w:bottom w:val="none" w:sz="0" w:space="0" w:color="auto"/>
                <w:right w:val="none" w:sz="0" w:space="0" w:color="auto"/>
              </w:divBdr>
            </w:div>
            <w:div w:id="1921989389">
              <w:marLeft w:val="0"/>
              <w:marRight w:val="0"/>
              <w:marTop w:val="0"/>
              <w:marBottom w:val="0"/>
              <w:divBdr>
                <w:top w:val="none" w:sz="0" w:space="0" w:color="auto"/>
                <w:left w:val="none" w:sz="0" w:space="0" w:color="auto"/>
                <w:bottom w:val="none" w:sz="0" w:space="0" w:color="auto"/>
                <w:right w:val="none" w:sz="0" w:space="0" w:color="auto"/>
              </w:divBdr>
            </w:div>
            <w:div w:id="1934319556">
              <w:marLeft w:val="0"/>
              <w:marRight w:val="0"/>
              <w:marTop w:val="0"/>
              <w:marBottom w:val="0"/>
              <w:divBdr>
                <w:top w:val="none" w:sz="0" w:space="0" w:color="auto"/>
                <w:left w:val="none" w:sz="0" w:space="0" w:color="auto"/>
                <w:bottom w:val="none" w:sz="0" w:space="0" w:color="auto"/>
                <w:right w:val="none" w:sz="0" w:space="0" w:color="auto"/>
              </w:divBdr>
            </w:div>
            <w:div w:id="1942377696">
              <w:marLeft w:val="0"/>
              <w:marRight w:val="0"/>
              <w:marTop w:val="0"/>
              <w:marBottom w:val="0"/>
              <w:divBdr>
                <w:top w:val="none" w:sz="0" w:space="0" w:color="auto"/>
                <w:left w:val="none" w:sz="0" w:space="0" w:color="auto"/>
                <w:bottom w:val="none" w:sz="0" w:space="0" w:color="auto"/>
                <w:right w:val="none" w:sz="0" w:space="0" w:color="auto"/>
              </w:divBdr>
            </w:div>
            <w:div w:id="1943760058">
              <w:marLeft w:val="0"/>
              <w:marRight w:val="0"/>
              <w:marTop w:val="0"/>
              <w:marBottom w:val="0"/>
              <w:divBdr>
                <w:top w:val="none" w:sz="0" w:space="0" w:color="auto"/>
                <w:left w:val="none" w:sz="0" w:space="0" w:color="auto"/>
                <w:bottom w:val="none" w:sz="0" w:space="0" w:color="auto"/>
                <w:right w:val="none" w:sz="0" w:space="0" w:color="auto"/>
              </w:divBdr>
            </w:div>
            <w:div w:id="2033065791">
              <w:marLeft w:val="0"/>
              <w:marRight w:val="0"/>
              <w:marTop w:val="0"/>
              <w:marBottom w:val="0"/>
              <w:divBdr>
                <w:top w:val="none" w:sz="0" w:space="0" w:color="auto"/>
                <w:left w:val="none" w:sz="0" w:space="0" w:color="auto"/>
                <w:bottom w:val="none" w:sz="0" w:space="0" w:color="auto"/>
                <w:right w:val="none" w:sz="0" w:space="0" w:color="auto"/>
              </w:divBdr>
            </w:div>
            <w:div w:id="20474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1884">
      <w:bodyDiv w:val="1"/>
      <w:marLeft w:val="0"/>
      <w:marRight w:val="0"/>
      <w:marTop w:val="0"/>
      <w:marBottom w:val="0"/>
      <w:divBdr>
        <w:top w:val="none" w:sz="0" w:space="0" w:color="auto"/>
        <w:left w:val="none" w:sz="0" w:space="0" w:color="auto"/>
        <w:bottom w:val="none" w:sz="0" w:space="0" w:color="auto"/>
        <w:right w:val="none" w:sz="0" w:space="0" w:color="auto"/>
      </w:divBdr>
      <w:divsChild>
        <w:div w:id="53743579">
          <w:marLeft w:val="0"/>
          <w:marRight w:val="0"/>
          <w:marTop w:val="0"/>
          <w:marBottom w:val="0"/>
          <w:divBdr>
            <w:top w:val="none" w:sz="0" w:space="0" w:color="auto"/>
            <w:left w:val="none" w:sz="0" w:space="0" w:color="auto"/>
            <w:bottom w:val="none" w:sz="0" w:space="0" w:color="auto"/>
            <w:right w:val="none" w:sz="0" w:space="0" w:color="auto"/>
          </w:divBdr>
        </w:div>
        <w:div w:id="788474893">
          <w:marLeft w:val="0"/>
          <w:marRight w:val="0"/>
          <w:marTop w:val="0"/>
          <w:marBottom w:val="0"/>
          <w:divBdr>
            <w:top w:val="none" w:sz="0" w:space="0" w:color="auto"/>
            <w:left w:val="none" w:sz="0" w:space="0" w:color="auto"/>
            <w:bottom w:val="none" w:sz="0" w:space="0" w:color="auto"/>
            <w:right w:val="none" w:sz="0" w:space="0" w:color="auto"/>
          </w:divBdr>
        </w:div>
        <w:div w:id="1023239136">
          <w:marLeft w:val="0"/>
          <w:marRight w:val="0"/>
          <w:marTop w:val="0"/>
          <w:marBottom w:val="0"/>
          <w:divBdr>
            <w:top w:val="none" w:sz="0" w:space="0" w:color="auto"/>
            <w:left w:val="none" w:sz="0" w:space="0" w:color="auto"/>
            <w:bottom w:val="none" w:sz="0" w:space="0" w:color="auto"/>
            <w:right w:val="none" w:sz="0" w:space="0" w:color="auto"/>
          </w:divBdr>
        </w:div>
        <w:div w:id="1530680460">
          <w:marLeft w:val="0"/>
          <w:marRight w:val="0"/>
          <w:marTop w:val="0"/>
          <w:marBottom w:val="0"/>
          <w:divBdr>
            <w:top w:val="none" w:sz="0" w:space="0" w:color="auto"/>
            <w:left w:val="none" w:sz="0" w:space="0" w:color="auto"/>
            <w:bottom w:val="none" w:sz="0" w:space="0" w:color="auto"/>
            <w:right w:val="none" w:sz="0" w:space="0" w:color="auto"/>
          </w:divBdr>
        </w:div>
      </w:divsChild>
    </w:div>
    <w:div w:id="798573050">
      <w:bodyDiv w:val="1"/>
      <w:marLeft w:val="0"/>
      <w:marRight w:val="0"/>
      <w:marTop w:val="0"/>
      <w:marBottom w:val="0"/>
      <w:divBdr>
        <w:top w:val="none" w:sz="0" w:space="0" w:color="auto"/>
        <w:left w:val="none" w:sz="0" w:space="0" w:color="auto"/>
        <w:bottom w:val="none" w:sz="0" w:space="0" w:color="auto"/>
        <w:right w:val="none" w:sz="0" w:space="0" w:color="auto"/>
      </w:divBdr>
      <w:divsChild>
        <w:div w:id="49153577">
          <w:marLeft w:val="0"/>
          <w:marRight w:val="0"/>
          <w:marTop w:val="0"/>
          <w:marBottom w:val="0"/>
          <w:divBdr>
            <w:top w:val="none" w:sz="0" w:space="0" w:color="auto"/>
            <w:left w:val="none" w:sz="0" w:space="0" w:color="auto"/>
            <w:bottom w:val="none" w:sz="0" w:space="0" w:color="auto"/>
            <w:right w:val="none" w:sz="0" w:space="0" w:color="auto"/>
          </w:divBdr>
        </w:div>
        <w:div w:id="564755091">
          <w:marLeft w:val="0"/>
          <w:marRight w:val="0"/>
          <w:marTop w:val="0"/>
          <w:marBottom w:val="0"/>
          <w:divBdr>
            <w:top w:val="none" w:sz="0" w:space="0" w:color="auto"/>
            <w:left w:val="none" w:sz="0" w:space="0" w:color="auto"/>
            <w:bottom w:val="none" w:sz="0" w:space="0" w:color="auto"/>
            <w:right w:val="none" w:sz="0" w:space="0" w:color="auto"/>
          </w:divBdr>
        </w:div>
        <w:div w:id="760376669">
          <w:marLeft w:val="0"/>
          <w:marRight w:val="0"/>
          <w:marTop w:val="0"/>
          <w:marBottom w:val="0"/>
          <w:divBdr>
            <w:top w:val="none" w:sz="0" w:space="0" w:color="auto"/>
            <w:left w:val="none" w:sz="0" w:space="0" w:color="auto"/>
            <w:bottom w:val="none" w:sz="0" w:space="0" w:color="auto"/>
            <w:right w:val="none" w:sz="0" w:space="0" w:color="auto"/>
          </w:divBdr>
        </w:div>
        <w:div w:id="1462649051">
          <w:marLeft w:val="0"/>
          <w:marRight w:val="0"/>
          <w:marTop w:val="0"/>
          <w:marBottom w:val="0"/>
          <w:divBdr>
            <w:top w:val="none" w:sz="0" w:space="0" w:color="auto"/>
            <w:left w:val="none" w:sz="0" w:space="0" w:color="auto"/>
            <w:bottom w:val="none" w:sz="0" w:space="0" w:color="auto"/>
            <w:right w:val="none" w:sz="0" w:space="0" w:color="auto"/>
          </w:divBdr>
        </w:div>
        <w:div w:id="1622763285">
          <w:marLeft w:val="0"/>
          <w:marRight w:val="0"/>
          <w:marTop w:val="0"/>
          <w:marBottom w:val="0"/>
          <w:divBdr>
            <w:top w:val="none" w:sz="0" w:space="0" w:color="auto"/>
            <w:left w:val="none" w:sz="0" w:space="0" w:color="auto"/>
            <w:bottom w:val="none" w:sz="0" w:space="0" w:color="auto"/>
            <w:right w:val="none" w:sz="0" w:space="0" w:color="auto"/>
          </w:divBdr>
        </w:div>
        <w:div w:id="2048333618">
          <w:marLeft w:val="0"/>
          <w:marRight w:val="0"/>
          <w:marTop w:val="0"/>
          <w:marBottom w:val="0"/>
          <w:divBdr>
            <w:top w:val="none" w:sz="0" w:space="0" w:color="auto"/>
            <w:left w:val="none" w:sz="0" w:space="0" w:color="auto"/>
            <w:bottom w:val="none" w:sz="0" w:space="0" w:color="auto"/>
            <w:right w:val="none" w:sz="0" w:space="0" w:color="auto"/>
          </w:divBdr>
        </w:div>
      </w:divsChild>
    </w:div>
    <w:div w:id="812327906">
      <w:bodyDiv w:val="1"/>
      <w:marLeft w:val="0"/>
      <w:marRight w:val="0"/>
      <w:marTop w:val="0"/>
      <w:marBottom w:val="0"/>
      <w:divBdr>
        <w:top w:val="none" w:sz="0" w:space="0" w:color="auto"/>
        <w:left w:val="none" w:sz="0" w:space="0" w:color="auto"/>
        <w:bottom w:val="none" w:sz="0" w:space="0" w:color="auto"/>
        <w:right w:val="none" w:sz="0" w:space="0" w:color="auto"/>
      </w:divBdr>
    </w:div>
    <w:div w:id="817186803">
      <w:bodyDiv w:val="1"/>
      <w:marLeft w:val="0"/>
      <w:marRight w:val="0"/>
      <w:marTop w:val="0"/>
      <w:marBottom w:val="0"/>
      <w:divBdr>
        <w:top w:val="none" w:sz="0" w:space="0" w:color="auto"/>
        <w:left w:val="none" w:sz="0" w:space="0" w:color="auto"/>
        <w:bottom w:val="none" w:sz="0" w:space="0" w:color="auto"/>
        <w:right w:val="none" w:sz="0" w:space="0" w:color="auto"/>
      </w:divBdr>
    </w:div>
    <w:div w:id="832375633">
      <w:bodyDiv w:val="1"/>
      <w:marLeft w:val="0"/>
      <w:marRight w:val="0"/>
      <w:marTop w:val="0"/>
      <w:marBottom w:val="0"/>
      <w:divBdr>
        <w:top w:val="none" w:sz="0" w:space="0" w:color="auto"/>
        <w:left w:val="none" w:sz="0" w:space="0" w:color="auto"/>
        <w:bottom w:val="none" w:sz="0" w:space="0" w:color="auto"/>
        <w:right w:val="none" w:sz="0" w:space="0" w:color="auto"/>
      </w:divBdr>
    </w:div>
    <w:div w:id="836191169">
      <w:bodyDiv w:val="1"/>
      <w:marLeft w:val="0"/>
      <w:marRight w:val="0"/>
      <w:marTop w:val="0"/>
      <w:marBottom w:val="0"/>
      <w:divBdr>
        <w:top w:val="none" w:sz="0" w:space="0" w:color="auto"/>
        <w:left w:val="none" w:sz="0" w:space="0" w:color="auto"/>
        <w:bottom w:val="none" w:sz="0" w:space="0" w:color="auto"/>
        <w:right w:val="none" w:sz="0" w:space="0" w:color="auto"/>
      </w:divBdr>
      <w:divsChild>
        <w:div w:id="765461452">
          <w:marLeft w:val="0"/>
          <w:marRight w:val="0"/>
          <w:marTop w:val="0"/>
          <w:marBottom w:val="0"/>
          <w:divBdr>
            <w:top w:val="none" w:sz="0" w:space="0" w:color="auto"/>
            <w:left w:val="none" w:sz="0" w:space="0" w:color="auto"/>
            <w:bottom w:val="none" w:sz="0" w:space="0" w:color="auto"/>
            <w:right w:val="none" w:sz="0" w:space="0" w:color="auto"/>
          </w:divBdr>
        </w:div>
        <w:div w:id="1667052298">
          <w:marLeft w:val="0"/>
          <w:marRight w:val="0"/>
          <w:marTop w:val="0"/>
          <w:marBottom w:val="0"/>
          <w:divBdr>
            <w:top w:val="none" w:sz="0" w:space="0" w:color="auto"/>
            <w:left w:val="none" w:sz="0" w:space="0" w:color="auto"/>
            <w:bottom w:val="none" w:sz="0" w:space="0" w:color="auto"/>
            <w:right w:val="none" w:sz="0" w:space="0" w:color="auto"/>
          </w:divBdr>
        </w:div>
        <w:div w:id="2022390767">
          <w:marLeft w:val="0"/>
          <w:marRight w:val="0"/>
          <w:marTop w:val="0"/>
          <w:marBottom w:val="0"/>
          <w:divBdr>
            <w:top w:val="none" w:sz="0" w:space="0" w:color="auto"/>
            <w:left w:val="none" w:sz="0" w:space="0" w:color="auto"/>
            <w:bottom w:val="none" w:sz="0" w:space="0" w:color="auto"/>
            <w:right w:val="none" w:sz="0" w:space="0" w:color="auto"/>
          </w:divBdr>
        </w:div>
      </w:divsChild>
    </w:div>
    <w:div w:id="843012535">
      <w:bodyDiv w:val="1"/>
      <w:marLeft w:val="0"/>
      <w:marRight w:val="0"/>
      <w:marTop w:val="0"/>
      <w:marBottom w:val="0"/>
      <w:divBdr>
        <w:top w:val="none" w:sz="0" w:space="0" w:color="auto"/>
        <w:left w:val="none" w:sz="0" w:space="0" w:color="auto"/>
        <w:bottom w:val="none" w:sz="0" w:space="0" w:color="auto"/>
        <w:right w:val="none" w:sz="0" w:space="0" w:color="auto"/>
      </w:divBdr>
    </w:div>
    <w:div w:id="868178877">
      <w:bodyDiv w:val="1"/>
      <w:marLeft w:val="0"/>
      <w:marRight w:val="0"/>
      <w:marTop w:val="0"/>
      <w:marBottom w:val="0"/>
      <w:divBdr>
        <w:top w:val="none" w:sz="0" w:space="0" w:color="auto"/>
        <w:left w:val="none" w:sz="0" w:space="0" w:color="auto"/>
        <w:bottom w:val="none" w:sz="0" w:space="0" w:color="auto"/>
        <w:right w:val="none" w:sz="0" w:space="0" w:color="auto"/>
      </w:divBdr>
    </w:div>
    <w:div w:id="872184803">
      <w:bodyDiv w:val="1"/>
      <w:marLeft w:val="0"/>
      <w:marRight w:val="0"/>
      <w:marTop w:val="0"/>
      <w:marBottom w:val="0"/>
      <w:divBdr>
        <w:top w:val="none" w:sz="0" w:space="0" w:color="auto"/>
        <w:left w:val="none" w:sz="0" w:space="0" w:color="auto"/>
        <w:bottom w:val="none" w:sz="0" w:space="0" w:color="auto"/>
        <w:right w:val="none" w:sz="0" w:space="0" w:color="auto"/>
      </w:divBdr>
    </w:div>
    <w:div w:id="877667483">
      <w:bodyDiv w:val="1"/>
      <w:marLeft w:val="0"/>
      <w:marRight w:val="0"/>
      <w:marTop w:val="0"/>
      <w:marBottom w:val="0"/>
      <w:divBdr>
        <w:top w:val="none" w:sz="0" w:space="0" w:color="auto"/>
        <w:left w:val="none" w:sz="0" w:space="0" w:color="auto"/>
        <w:bottom w:val="none" w:sz="0" w:space="0" w:color="auto"/>
        <w:right w:val="none" w:sz="0" w:space="0" w:color="auto"/>
      </w:divBdr>
      <w:divsChild>
        <w:div w:id="488059252">
          <w:marLeft w:val="0"/>
          <w:marRight w:val="0"/>
          <w:marTop w:val="0"/>
          <w:marBottom w:val="0"/>
          <w:divBdr>
            <w:top w:val="none" w:sz="0" w:space="0" w:color="auto"/>
            <w:left w:val="none" w:sz="0" w:space="0" w:color="auto"/>
            <w:bottom w:val="none" w:sz="0" w:space="0" w:color="auto"/>
            <w:right w:val="none" w:sz="0" w:space="0" w:color="auto"/>
          </w:divBdr>
        </w:div>
        <w:div w:id="1709183872">
          <w:marLeft w:val="0"/>
          <w:marRight w:val="0"/>
          <w:marTop w:val="0"/>
          <w:marBottom w:val="0"/>
          <w:divBdr>
            <w:top w:val="none" w:sz="0" w:space="0" w:color="auto"/>
            <w:left w:val="none" w:sz="0" w:space="0" w:color="auto"/>
            <w:bottom w:val="none" w:sz="0" w:space="0" w:color="auto"/>
            <w:right w:val="none" w:sz="0" w:space="0" w:color="auto"/>
          </w:divBdr>
        </w:div>
      </w:divsChild>
    </w:div>
    <w:div w:id="885414265">
      <w:bodyDiv w:val="1"/>
      <w:marLeft w:val="0"/>
      <w:marRight w:val="0"/>
      <w:marTop w:val="0"/>
      <w:marBottom w:val="0"/>
      <w:divBdr>
        <w:top w:val="none" w:sz="0" w:space="0" w:color="auto"/>
        <w:left w:val="none" w:sz="0" w:space="0" w:color="auto"/>
        <w:bottom w:val="none" w:sz="0" w:space="0" w:color="auto"/>
        <w:right w:val="none" w:sz="0" w:space="0" w:color="auto"/>
      </w:divBdr>
    </w:div>
    <w:div w:id="902831377">
      <w:bodyDiv w:val="1"/>
      <w:marLeft w:val="0"/>
      <w:marRight w:val="0"/>
      <w:marTop w:val="0"/>
      <w:marBottom w:val="0"/>
      <w:divBdr>
        <w:top w:val="none" w:sz="0" w:space="0" w:color="auto"/>
        <w:left w:val="none" w:sz="0" w:space="0" w:color="auto"/>
        <w:bottom w:val="none" w:sz="0" w:space="0" w:color="auto"/>
        <w:right w:val="none" w:sz="0" w:space="0" w:color="auto"/>
      </w:divBdr>
    </w:div>
    <w:div w:id="922181147">
      <w:bodyDiv w:val="1"/>
      <w:marLeft w:val="0"/>
      <w:marRight w:val="0"/>
      <w:marTop w:val="0"/>
      <w:marBottom w:val="0"/>
      <w:divBdr>
        <w:top w:val="none" w:sz="0" w:space="0" w:color="auto"/>
        <w:left w:val="none" w:sz="0" w:space="0" w:color="auto"/>
        <w:bottom w:val="none" w:sz="0" w:space="0" w:color="auto"/>
        <w:right w:val="none" w:sz="0" w:space="0" w:color="auto"/>
      </w:divBdr>
      <w:divsChild>
        <w:div w:id="219291675">
          <w:marLeft w:val="0"/>
          <w:marRight w:val="0"/>
          <w:marTop w:val="0"/>
          <w:marBottom w:val="0"/>
          <w:divBdr>
            <w:top w:val="none" w:sz="0" w:space="0" w:color="auto"/>
            <w:left w:val="none" w:sz="0" w:space="0" w:color="auto"/>
            <w:bottom w:val="none" w:sz="0" w:space="0" w:color="auto"/>
            <w:right w:val="none" w:sz="0" w:space="0" w:color="auto"/>
          </w:divBdr>
          <w:divsChild>
            <w:div w:id="880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5456">
      <w:bodyDiv w:val="1"/>
      <w:marLeft w:val="0"/>
      <w:marRight w:val="0"/>
      <w:marTop w:val="0"/>
      <w:marBottom w:val="0"/>
      <w:divBdr>
        <w:top w:val="none" w:sz="0" w:space="0" w:color="auto"/>
        <w:left w:val="none" w:sz="0" w:space="0" w:color="auto"/>
        <w:bottom w:val="none" w:sz="0" w:space="0" w:color="auto"/>
        <w:right w:val="none" w:sz="0" w:space="0" w:color="auto"/>
      </w:divBdr>
    </w:div>
    <w:div w:id="937369751">
      <w:bodyDiv w:val="1"/>
      <w:marLeft w:val="0"/>
      <w:marRight w:val="0"/>
      <w:marTop w:val="0"/>
      <w:marBottom w:val="0"/>
      <w:divBdr>
        <w:top w:val="none" w:sz="0" w:space="0" w:color="auto"/>
        <w:left w:val="none" w:sz="0" w:space="0" w:color="auto"/>
        <w:bottom w:val="none" w:sz="0" w:space="0" w:color="auto"/>
        <w:right w:val="none" w:sz="0" w:space="0" w:color="auto"/>
      </w:divBdr>
    </w:div>
    <w:div w:id="949892523">
      <w:bodyDiv w:val="1"/>
      <w:marLeft w:val="0"/>
      <w:marRight w:val="0"/>
      <w:marTop w:val="0"/>
      <w:marBottom w:val="0"/>
      <w:divBdr>
        <w:top w:val="none" w:sz="0" w:space="0" w:color="auto"/>
        <w:left w:val="none" w:sz="0" w:space="0" w:color="auto"/>
        <w:bottom w:val="none" w:sz="0" w:space="0" w:color="auto"/>
        <w:right w:val="none" w:sz="0" w:space="0" w:color="auto"/>
      </w:divBdr>
      <w:divsChild>
        <w:div w:id="1405566932">
          <w:marLeft w:val="0"/>
          <w:marRight w:val="0"/>
          <w:marTop w:val="0"/>
          <w:marBottom w:val="0"/>
          <w:divBdr>
            <w:top w:val="none" w:sz="0" w:space="0" w:color="auto"/>
            <w:left w:val="none" w:sz="0" w:space="0" w:color="auto"/>
            <w:bottom w:val="none" w:sz="0" w:space="0" w:color="auto"/>
            <w:right w:val="none" w:sz="0" w:space="0" w:color="auto"/>
          </w:divBdr>
          <w:divsChild>
            <w:div w:id="1287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7586">
      <w:bodyDiv w:val="1"/>
      <w:marLeft w:val="0"/>
      <w:marRight w:val="0"/>
      <w:marTop w:val="0"/>
      <w:marBottom w:val="0"/>
      <w:divBdr>
        <w:top w:val="none" w:sz="0" w:space="0" w:color="auto"/>
        <w:left w:val="none" w:sz="0" w:space="0" w:color="auto"/>
        <w:bottom w:val="none" w:sz="0" w:space="0" w:color="auto"/>
        <w:right w:val="none" w:sz="0" w:space="0" w:color="auto"/>
      </w:divBdr>
    </w:div>
    <w:div w:id="984818575">
      <w:bodyDiv w:val="1"/>
      <w:marLeft w:val="0"/>
      <w:marRight w:val="0"/>
      <w:marTop w:val="0"/>
      <w:marBottom w:val="0"/>
      <w:divBdr>
        <w:top w:val="none" w:sz="0" w:space="0" w:color="auto"/>
        <w:left w:val="none" w:sz="0" w:space="0" w:color="auto"/>
        <w:bottom w:val="none" w:sz="0" w:space="0" w:color="auto"/>
        <w:right w:val="none" w:sz="0" w:space="0" w:color="auto"/>
      </w:divBdr>
      <w:divsChild>
        <w:div w:id="395779609">
          <w:marLeft w:val="0"/>
          <w:marRight w:val="0"/>
          <w:marTop w:val="0"/>
          <w:marBottom w:val="0"/>
          <w:divBdr>
            <w:top w:val="none" w:sz="0" w:space="0" w:color="auto"/>
            <w:left w:val="none" w:sz="0" w:space="0" w:color="auto"/>
            <w:bottom w:val="none" w:sz="0" w:space="0" w:color="auto"/>
            <w:right w:val="none" w:sz="0" w:space="0" w:color="auto"/>
          </w:divBdr>
        </w:div>
        <w:div w:id="963777099">
          <w:marLeft w:val="0"/>
          <w:marRight w:val="0"/>
          <w:marTop w:val="0"/>
          <w:marBottom w:val="0"/>
          <w:divBdr>
            <w:top w:val="none" w:sz="0" w:space="0" w:color="auto"/>
            <w:left w:val="none" w:sz="0" w:space="0" w:color="auto"/>
            <w:bottom w:val="none" w:sz="0" w:space="0" w:color="auto"/>
            <w:right w:val="none" w:sz="0" w:space="0" w:color="auto"/>
          </w:divBdr>
        </w:div>
        <w:div w:id="1168331519">
          <w:marLeft w:val="0"/>
          <w:marRight w:val="0"/>
          <w:marTop w:val="0"/>
          <w:marBottom w:val="0"/>
          <w:divBdr>
            <w:top w:val="none" w:sz="0" w:space="0" w:color="auto"/>
            <w:left w:val="none" w:sz="0" w:space="0" w:color="auto"/>
            <w:bottom w:val="none" w:sz="0" w:space="0" w:color="auto"/>
            <w:right w:val="none" w:sz="0" w:space="0" w:color="auto"/>
          </w:divBdr>
        </w:div>
      </w:divsChild>
    </w:div>
    <w:div w:id="990212823">
      <w:bodyDiv w:val="1"/>
      <w:marLeft w:val="0"/>
      <w:marRight w:val="0"/>
      <w:marTop w:val="0"/>
      <w:marBottom w:val="0"/>
      <w:divBdr>
        <w:top w:val="none" w:sz="0" w:space="0" w:color="auto"/>
        <w:left w:val="none" w:sz="0" w:space="0" w:color="auto"/>
        <w:bottom w:val="none" w:sz="0" w:space="0" w:color="auto"/>
        <w:right w:val="none" w:sz="0" w:space="0" w:color="auto"/>
      </w:divBdr>
    </w:div>
    <w:div w:id="990642375">
      <w:bodyDiv w:val="1"/>
      <w:marLeft w:val="0"/>
      <w:marRight w:val="0"/>
      <w:marTop w:val="0"/>
      <w:marBottom w:val="0"/>
      <w:divBdr>
        <w:top w:val="none" w:sz="0" w:space="0" w:color="auto"/>
        <w:left w:val="none" w:sz="0" w:space="0" w:color="auto"/>
        <w:bottom w:val="none" w:sz="0" w:space="0" w:color="auto"/>
        <w:right w:val="none" w:sz="0" w:space="0" w:color="auto"/>
      </w:divBdr>
      <w:divsChild>
        <w:div w:id="343169969">
          <w:marLeft w:val="0"/>
          <w:marRight w:val="0"/>
          <w:marTop w:val="0"/>
          <w:marBottom w:val="0"/>
          <w:divBdr>
            <w:top w:val="none" w:sz="0" w:space="0" w:color="auto"/>
            <w:left w:val="none" w:sz="0" w:space="0" w:color="auto"/>
            <w:bottom w:val="none" w:sz="0" w:space="0" w:color="auto"/>
            <w:right w:val="none" w:sz="0" w:space="0" w:color="auto"/>
          </w:divBdr>
        </w:div>
      </w:divsChild>
    </w:div>
    <w:div w:id="1017080122">
      <w:bodyDiv w:val="1"/>
      <w:marLeft w:val="0"/>
      <w:marRight w:val="0"/>
      <w:marTop w:val="0"/>
      <w:marBottom w:val="0"/>
      <w:divBdr>
        <w:top w:val="none" w:sz="0" w:space="0" w:color="auto"/>
        <w:left w:val="none" w:sz="0" w:space="0" w:color="auto"/>
        <w:bottom w:val="none" w:sz="0" w:space="0" w:color="auto"/>
        <w:right w:val="none" w:sz="0" w:space="0" w:color="auto"/>
      </w:divBdr>
      <w:divsChild>
        <w:div w:id="1063479508">
          <w:marLeft w:val="0"/>
          <w:marRight w:val="0"/>
          <w:marTop w:val="0"/>
          <w:marBottom w:val="0"/>
          <w:divBdr>
            <w:top w:val="none" w:sz="0" w:space="0" w:color="auto"/>
            <w:left w:val="none" w:sz="0" w:space="0" w:color="auto"/>
            <w:bottom w:val="none" w:sz="0" w:space="0" w:color="auto"/>
            <w:right w:val="none" w:sz="0" w:space="0" w:color="auto"/>
          </w:divBdr>
          <w:divsChild>
            <w:div w:id="7182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8972">
      <w:bodyDiv w:val="1"/>
      <w:marLeft w:val="0"/>
      <w:marRight w:val="0"/>
      <w:marTop w:val="0"/>
      <w:marBottom w:val="0"/>
      <w:divBdr>
        <w:top w:val="none" w:sz="0" w:space="0" w:color="auto"/>
        <w:left w:val="none" w:sz="0" w:space="0" w:color="auto"/>
        <w:bottom w:val="none" w:sz="0" w:space="0" w:color="auto"/>
        <w:right w:val="none" w:sz="0" w:space="0" w:color="auto"/>
      </w:divBdr>
    </w:div>
    <w:div w:id="1047529881">
      <w:bodyDiv w:val="1"/>
      <w:marLeft w:val="0"/>
      <w:marRight w:val="0"/>
      <w:marTop w:val="0"/>
      <w:marBottom w:val="0"/>
      <w:divBdr>
        <w:top w:val="none" w:sz="0" w:space="0" w:color="auto"/>
        <w:left w:val="none" w:sz="0" w:space="0" w:color="auto"/>
        <w:bottom w:val="none" w:sz="0" w:space="0" w:color="auto"/>
        <w:right w:val="none" w:sz="0" w:space="0" w:color="auto"/>
      </w:divBdr>
    </w:div>
    <w:div w:id="1052344247">
      <w:bodyDiv w:val="1"/>
      <w:marLeft w:val="0"/>
      <w:marRight w:val="0"/>
      <w:marTop w:val="0"/>
      <w:marBottom w:val="0"/>
      <w:divBdr>
        <w:top w:val="none" w:sz="0" w:space="0" w:color="auto"/>
        <w:left w:val="none" w:sz="0" w:space="0" w:color="auto"/>
        <w:bottom w:val="none" w:sz="0" w:space="0" w:color="auto"/>
        <w:right w:val="none" w:sz="0" w:space="0" w:color="auto"/>
      </w:divBdr>
      <w:divsChild>
        <w:div w:id="1116683411">
          <w:marLeft w:val="0"/>
          <w:marRight w:val="0"/>
          <w:marTop w:val="0"/>
          <w:marBottom w:val="0"/>
          <w:divBdr>
            <w:top w:val="none" w:sz="0" w:space="0" w:color="auto"/>
            <w:left w:val="none" w:sz="0" w:space="0" w:color="auto"/>
            <w:bottom w:val="none" w:sz="0" w:space="0" w:color="auto"/>
            <w:right w:val="none" w:sz="0" w:space="0" w:color="auto"/>
          </w:divBdr>
        </w:div>
        <w:div w:id="1661081343">
          <w:marLeft w:val="0"/>
          <w:marRight w:val="0"/>
          <w:marTop w:val="0"/>
          <w:marBottom w:val="0"/>
          <w:divBdr>
            <w:top w:val="none" w:sz="0" w:space="0" w:color="auto"/>
            <w:left w:val="none" w:sz="0" w:space="0" w:color="auto"/>
            <w:bottom w:val="none" w:sz="0" w:space="0" w:color="auto"/>
            <w:right w:val="none" w:sz="0" w:space="0" w:color="auto"/>
          </w:divBdr>
        </w:div>
        <w:div w:id="2060470286">
          <w:marLeft w:val="0"/>
          <w:marRight w:val="0"/>
          <w:marTop w:val="0"/>
          <w:marBottom w:val="0"/>
          <w:divBdr>
            <w:top w:val="none" w:sz="0" w:space="0" w:color="auto"/>
            <w:left w:val="none" w:sz="0" w:space="0" w:color="auto"/>
            <w:bottom w:val="none" w:sz="0" w:space="0" w:color="auto"/>
            <w:right w:val="none" w:sz="0" w:space="0" w:color="auto"/>
          </w:divBdr>
        </w:div>
      </w:divsChild>
    </w:div>
    <w:div w:id="1062757033">
      <w:bodyDiv w:val="1"/>
      <w:marLeft w:val="0"/>
      <w:marRight w:val="0"/>
      <w:marTop w:val="0"/>
      <w:marBottom w:val="0"/>
      <w:divBdr>
        <w:top w:val="none" w:sz="0" w:space="0" w:color="auto"/>
        <w:left w:val="none" w:sz="0" w:space="0" w:color="auto"/>
        <w:bottom w:val="none" w:sz="0" w:space="0" w:color="auto"/>
        <w:right w:val="none" w:sz="0" w:space="0" w:color="auto"/>
      </w:divBdr>
      <w:divsChild>
        <w:div w:id="734662776">
          <w:marLeft w:val="0"/>
          <w:marRight w:val="0"/>
          <w:marTop w:val="0"/>
          <w:marBottom w:val="0"/>
          <w:divBdr>
            <w:top w:val="none" w:sz="0" w:space="0" w:color="auto"/>
            <w:left w:val="none" w:sz="0" w:space="0" w:color="auto"/>
            <w:bottom w:val="none" w:sz="0" w:space="0" w:color="auto"/>
            <w:right w:val="none" w:sz="0" w:space="0" w:color="auto"/>
          </w:divBdr>
        </w:div>
        <w:div w:id="1314485024">
          <w:marLeft w:val="0"/>
          <w:marRight w:val="0"/>
          <w:marTop w:val="0"/>
          <w:marBottom w:val="0"/>
          <w:divBdr>
            <w:top w:val="none" w:sz="0" w:space="0" w:color="auto"/>
            <w:left w:val="none" w:sz="0" w:space="0" w:color="auto"/>
            <w:bottom w:val="none" w:sz="0" w:space="0" w:color="auto"/>
            <w:right w:val="none" w:sz="0" w:space="0" w:color="auto"/>
          </w:divBdr>
        </w:div>
        <w:div w:id="1760367085">
          <w:marLeft w:val="0"/>
          <w:marRight w:val="0"/>
          <w:marTop w:val="0"/>
          <w:marBottom w:val="0"/>
          <w:divBdr>
            <w:top w:val="none" w:sz="0" w:space="0" w:color="auto"/>
            <w:left w:val="none" w:sz="0" w:space="0" w:color="auto"/>
            <w:bottom w:val="none" w:sz="0" w:space="0" w:color="auto"/>
            <w:right w:val="none" w:sz="0" w:space="0" w:color="auto"/>
          </w:divBdr>
        </w:div>
      </w:divsChild>
    </w:div>
    <w:div w:id="1091199396">
      <w:bodyDiv w:val="1"/>
      <w:marLeft w:val="0"/>
      <w:marRight w:val="0"/>
      <w:marTop w:val="0"/>
      <w:marBottom w:val="0"/>
      <w:divBdr>
        <w:top w:val="none" w:sz="0" w:space="0" w:color="auto"/>
        <w:left w:val="none" w:sz="0" w:space="0" w:color="auto"/>
        <w:bottom w:val="none" w:sz="0" w:space="0" w:color="auto"/>
        <w:right w:val="none" w:sz="0" w:space="0" w:color="auto"/>
      </w:divBdr>
      <w:divsChild>
        <w:div w:id="80491026">
          <w:marLeft w:val="0"/>
          <w:marRight w:val="0"/>
          <w:marTop w:val="0"/>
          <w:marBottom w:val="0"/>
          <w:divBdr>
            <w:top w:val="none" w:sz="0" w:space="0" w:color="auto"/>
            <w:left w:val="none" w:sz="0" w:space="0" w:color="auto"/>
            <w:bottom w:val="none" w:sz="0" w:space="0" w:color="auto"/>
            <w:right w:val="none" w:sz="0" w:space="0" w:color="auto"/>
          </w:divBdr>
        </w:div>
        <w:div w:id="104617545">
          <w:marLeft w:val="0"/>
          <w:marRight w:val="0"/>
          <w:marTop w:val="0"/>
          <w:marBottom w:val="0"/>
          <w:divBdr>
            <w:top w:val="none" w:sz="0" w:space="0" w:color="auto"/>
            <w:left w:val="none" w:sz="0" w:space="0" w:color="auto"/>
            <w:bottom w:val="none" w:sz="0" w:space="0" w:color="auto"/>
            <w:right w:val="none" w:sz="0" w:space="0" w:color="auto"/>
          </w:divBdr>
        </w:div>
        <w:div w:id="153766878">
          <w:marLeft w:val="0"/>
          <w:marRight w:val="0"/>
          <w:marTop w:val="0"/>
          <w:marBottom w:val="0"/>
          <w:divBdr>
            <w:top w:val="none" w:sz="0" w:space="0" w:color="auto"/>
            <w:left w:val="none" w:sz="0" w:space="0" w:color="auto"/>
            <w:bottom w:val="none" w:sz="0" w:space="0" w:color="auto"/>
            <w:right w:val="none" w:sz="0" w:space="0" w:color="auto"/>
          </w:divBdr>
        </w:div>
        <w:div w:id="225537340">
          <w:marLeft w:val="0"/>
          <w:marRight w:val="0"/>
          <w:marTop w:val="0"/>
          <w:marBottom w:val="0"/>
          <w:divBdr>
            <w:top w:val="none" w:sz="0" w:space="0" w:color="auto"/>
            <w:left w:val="none" w:sz="0" w:space="0" w:color="auto"/>
            <w:bottom w:val="none" w:sz="0" w:space="0" w:color="auto"/>
            <w:right w:val="none" w:sz="0" w:space="0" w:color="auto"/>
          </w:divBdr>
        </w:div>
        <w:div w:id="559632657">
          <w:marLeft w:val="0"/>
          <w:marRight w:val="0"/>
          <w:marTop w:val="0"/>
          <w:marBottom w:val="0"/>
          <w:divBdr>
            <w:top w:val="none" w:sz="0" w:space="0" w:color="auto"/>
            <w:left w:val="none" w:sz="0" w:space="0" w:color="auto"/>
            <w:bottom w:val="none" w:sz="0" w:space="0" w:color="auto"/>
            <w:right w:val="none" w:sz="0" w:space="0" w:color="auto"/>
          </w:divBdr>
        </w:div>
        <w:div w:id="665866307">
          <w:marLeft w:val="0"/>
          <w:marRight w:val="0"/>
          <w:marTop w:val="0"/>
          <w:marBottom w:val="0"/>
          <w:divBdr>
            <w:top w:val="none" w:sz="0" w:space="0" w:color="auto"/>
            <w:left w:val="none" w:sz="0" w:space="0" w:color="auto"/>
            <w:bottom w:val="none" w:sz="0" w:space="0" w:color="auto"/>
            <w:right w:val="none" w:sz="0" w:space="0" w:color="auto"/>
          </w:divBdr>
        </w:div>
        <w:div w:id="690494956">
          <w:marLeft w:val="0"/>
          <w:marRight w:val="0"/>
          <w:marTop w:val="0"/>
          <w:marBottom w:val="0"/>
          <w:divBdr>
            <w:top w:val="none" w:sz="0" w:space="0" w:color="auto"/>
            <w:left w:val="none" w:sz="0" w:space="0" w:color="auto"/>
            <w:bottom w:val="none" w:sz="0" w:space="0" w:color="auto"/>
            <w:right w:val="none" w:sz="0" w:space="0" w:color="auto"/>
          </w:divBdr>
        </w:div>
        <w:div w:id="1160728911">
          <w:marLeft w:val="0"/>
          <w:marRight w:val="0"/>
          <w:marTop w:val="0"/>
          <w:marBottom w:val="0"/>
          <w:divBdr>
            <w:top w:val="none" w:sz="0" w:space="0" w:color="auto"/>
            <w:left w:val="none" w:sz="0" w:space="0" w:color="auto"/>
            <w:bottom w:val="none" w:sz="0" w:space="0" w:color="auto"/>
            <w:right w:val="none" w:sz="0" w:space="0" w:color="auto"/>
          </w:divBdr>
        </w:div>
        <w:div w:id="1178278451">
          <w:marLeft w:val="0"/>
          <w:marRight w:val="0"/>
          <w:marTop w:val="0"/>
          <w:marBottom w:val="0"/>
          <w:divBdr>
            <w:top w:val="none" w:sz="0" w:space="0" w:color="auto"/>
            <w:left w:val="none" w:sz="0" w:space="0" w:color="auto"/>
            <w:bottom w:val="none" w:sz="0" w:space="0" w:color="auto"/>
            <w:right w:val="none" w:sz="0" w:space="0" w:color="auto"/>
          </w:divBdr>
        </w:div>
        <w:div w:id="1696689456">
          <w:marLeft w:val="0"/>
          <w:marRight w:val="0"/>
          <w:marTop w:val="0"/>
          <w:marBottom w:val="0"/>
          <w:divBdr>
            <w:top w:val="none" w:sz="0" w:space="0" w:color="auto"/>
            <w:left w:val="none" w:sz="0" w:space="0" w:color="auto"/>
            <w:bottom w:val="none" w:sz="0" w:space="0" w:color="auto"/>
            <w:right w:val="none" w:sz="0" w:space="0" w:color="auto"/>
          </w:divBdr>
        </w:div>
        <w:div w:id="1764761252">
          <w:marLeft w:val="0"/>
          <w:marRight w:val="0"/>
          <w:marTop w:val="0"/>
          <w:marBottom w:val="0"/>
          <w:divBdr>
            <w:top w:val="none" w:sz="0" w:space="0" w:color="auto"/>
            <w:left w:val="none" w:sz="0" w:space="0" w:color="auto"/>
            <w:bottom w:val="none" w:sz="0" w:space="0" w:color="auto"/>
            <w:right w:val="none" w:sz="0" w:space="0" w:color="auto"/>
          </w:divBdr>
        </w:div>
        <w:div w:id="1868634630">
          <w:marLeft w:val="0"/>
          <w:marRight w:val="0"/>
          <w:marTop w:val="0"/>
          <w:marBottom w:val="0"/>
          <w:divBdr>
            <w:top w:val="none" w:sz="0" w:space="0" w:color="auto"/>
            <w:left w:val="none" w:sz="0" w:space="0" w:color="auto"/>
            <w:bottom w:val="none" w:sz="0" w:space="0" w:color="auto"/>
            <w:right w:val="none" w:sz="0" w:space="0" w:color="auto"/>
          </w:divBdr>
        </w:div>
        <w:div w:id="2055500479">
          <w:marLeft w:val="0"/>
          <w:marRight w:val="0"/>
          <w:marTop w:val="0"/>
          <w:marBottom w:val="0"/>
          <w:divBdr>
            <w:top w:val="none" w:sz="0" w:space="0" w:color="auto"/>
            <w:left w:val="none" w:sz="0" w:space="0" w:color="auto"/>
            <w:bottom w:val="none" w:sz="0" w:space="0" w:color="auto"/>
            <w:right w:val="none" w:sz="0" w:space="0" w:color="auto"/>
          </w:divBdr>
        </w:div>
      </w:divsChild>
    </w:div>
    <w:div w:id="1093938961">
      <w:bodyDiv w:val="1"/>
      <w:marLeft w:val="0"/>
      <w:marRight w:val="0"/>
      <w:marTop w:val="0"/>
      <w:marBottom w:val="0"/>
      <w:divBdr>
        <w:top w:val="none" w:sz="0" w:space="0" w:color="auto"/>
        <w:left w:val="none" w:sz="0" w:space="0" w:color="auto"/>
        <w:bottom w:val="none" w:sz="0" w:space="0" w:color="auto"/>
        <w:right w:val="none" w:sz="0" w:space="0" w:color="auto"/>
      </w:divBdr>
    </w:div>
    <w:div w:id="1097483434">
      <w:bodyDiv w:val="1"/>
      <w:marLeft w:val="0"/>
      <w:marRight w:val="0"/>
      <w:marTop w:val="0"/>
      <w:marBottom w:val="0"/>
      <w:divBdr>
        <w:top w:val="none" w:sz="0" w:space="0" w:color="auto"/>
        <w:left w:val="none" w:sz="0" w:space="0" w:color="auto"/>
        <w:bottom w:val="none" w:sz="0" w:space="0" w:color="auto"/>
        <w:right w:val="none" w:sz="0" w:space="0" w:color="auto"/>
      </w:divBdr>
    </w:div>
    <w:div w:id="1101416797">
      <w:bodyDiv w:val="1"/>
      <w:marLeft w:val="0"/>
      <w:marRight w:val="0"/>
      <w:marTop w:val="0"/>
      <w:marBottom w:val="0"/>
      <w:divBdr>
        <w:top w:val="none" w:sz="0" w:space="0" w:color="auto"/>
        <w:left w:val="none" w:sz="0" w:space="0" w:color="auto"/>
        <w:bottom w:val="none" w:sz="0" w:space="0" w:color="auto"/>
        <w:right w:val="none" w:sz="0" w:space="0" w:color="auto"/>
      </w:divBdr>
      <w:divsChild>
        <w:div w:id="179979345">
          <w:marLeft w:val="0"/>
          <w:marRight w:val="0"/>
          <w:marTop w:val="0"/>
          <w:marBottom w:val="0"/>
          <w:divBdr>
            <w:top w:val="none" w:sz="0" w:space="0" w:color="auto"/>
            <w:left w:val="none" w:sz="0" w:space="0" w:color="auto"/>
            <w:bottom w:val="none" w:sz="0" w:space="0" w:color="auto"/>
            <w:right w:val="none" w:sz="0" w:space="0" w:color="auto"/>
          </w:divBdr>
        </w:div>
        <w:div w:id="697897480">
          <w:marLeft w:val="0"/>
          <w:marRight w:val="0"/>
          <w:marTop w:val="0"/>
          <w:marBottom w:val="0"/>
          <w:divBdr>
            <w:top w:val="none" w:sz="0" w:space="0" w:color="auto"/>
            <w:left w:val="none" w:sz="0" w:space="0" w:color="auto"/>
            <w:bottom w:val="none" w:sz="0" w:space="0" w:color="auto"/>
            <w:right w:val="none" w:sz="0" w:space="0" w:color="auto"/>
          </w:divBdr>
        </w:div>
        <w:div w:id="1093208056">
          <w:marLeft w:val="0"/>
          <w:marRight w:val="0"/>
          <w:marTop w:val="0"/>
          <w:marBottom w:val="0"/>
          <w:divBdr>
            <w:top w:val="none" w:sz="0" w:space="0" w:color="auto"/>
            <w:left w:val="none" w:sz="0" w:space="0" w:color="auto"/>
            <w:bottom w:val="none" w:sz="0" w:space="0" w:color="auto"/>
            <w:right w:val="none" w:sz="0" w:space="0" w:color="auto"/>
          </w:divBdr>
        </w:div>
        <w:div w:id="1188521714">
          <w:marLeft w:val="0"/>
          <w:marRight w:val="0"/>
          <w:marTop w:val="0"/>
          <w:marBottom w:val="0"/>
          <w:divBdr>
            <w:top w:val="none" w:sz="0" w:space="0" w:color="auto"/>
            <w:left w:val="none" w:sz="0" w:space="0" w:color="auto"/>
            <w:bottom w:val="none" w:sz="0" w:space="0" w:color="auto"/>
            <w:right w:val="none" w:sz="0" w:space="0" w:color="auto"/>
          </w:divBdr>
        </w:div>
        <w:div w:id="1226144719">
          <w:marLeft w:val="0"/>
          <w:marRight w:val="0"/>
          <w:marTop w:val="0"/>
          <w:marBottom w:val="0"/>
          <w:divBdr>
            <w:top w:val="none" w:sz="0" w:space="0" w:color="auto"/>
            <w:left w:val="none" w:sz="0" w:space="0" w:color="auto"/>
            <w:bottom w:val="none" w:sz="0" w:space="0" w:color="auto"/>
            <w:right w:val="none" w:sz="0" w:space="0" w:color="auto"/>
          </w:divBdr>
        </w:div>
        <w:div w:id="1305622345">
          <w:marLeft w:val="0"/>
          <w:marRight w:val="0"/>
          <w:marTop w:val="0"/>
          <w:marBottom w:val="0"/>
          <w:divBdr>
            <w:top w:val="none" w:sz="0" w:space="0" w:color="auto"/>
            <w:left w:val="none" w:sz="0" w:space="0" w:color="auto"/>
            <w:bottom w:val="none" w:sz="0" w:space="0" w:color="auto"/>
            <w:right w:val="none" w:sz="0" w:space="0" w:color="auto"/>
          </w:divBdr>
        </w:div>
        <w:div w:id="1311593127">
          <w:marLeft w:val="0"/>
          <w:marRight w:val="0"/>
          <w:marTop w:val="0"/>
          <w:marBottom w:val="0"/>
          <w:divBdr>
            <w:top w:val="none" w:sz="0" w:space="0" w:color="auto"/>
            <w:left w:val="none" w:sz="0" w:space="0" w:color="auto"/>
            <w:bottom w:val="none" w:sz="0" w:space="0" w:color="auto"/>
            <w:right w:val="none" w:sz="0" w:space="0" w:color="auto"/>
          </w:divBdr>
        </w:div>
        <w:div w:id="1452935604">
          <w:marLeft w:val="0"/>
          <w:marRight w:val="0"/>
          <w:marTop w:val="0"/>
          <w:marBottom w:val="0"/>
          <w:divBdr>
            <w:top w:val="none" w:sz="0" w:space="0" w:color="auto"/>
            <w:left w:val="none" w:sz="0" w:space="0" w:color="auto"/>
            <w:bottom w:val="none" w:sz="0" w:space="0" w:color="auto"/>
            <w:right w:val="none" w:sz="0" w:space="0" w:color="auto"/>
          </w:divBdr>
        </w:div>
        <w:div w:id="1645692163">
          <w:marLeft w:val="0"/>
          <w:marRight w:val="0"/>
          <w:marTop w:val="0"/>
          <w:marBottom w:val="0"/>
          <w:divBdr>
            <w:top w:val="none" w:sz="0" w:space="0" w:color="auto"/>
            <w:left w:val="none" w:sz="0" w:space="0" w:color="auto"/>
            <w:bottom w:val="none" w:sz="0" w:space="0" w:color="auto"/>
            <w:right w:val="none" w:sz="0" w:space="0" w:color="auto"/>
          </w:divBdr>
        </w:div>
        <w:div w:id="1803376271">
          <w:marLeft w:val="0"/>
          <w:marRight w:val="0"/>
          <w:marTop w:val="0"/>
          <w:marBottom w:val="0"/>
          <w:divBdr>
            <w:top w:val="none" w:sz="0" w:space="0" w:color="auto"/>
            <w:left w:val="none" w:sz="0" w:space="0" w:color="auto"/>
            <w:bottom w:val="none" w:sz="0" w:space="0" w:color="auto"/>
            <w:right w:val="none" w:sz="0" w:space="0" w:color="auto"/>
          </w:divBdr>
        </w:div>
        <w:div w:id="1893929958">
          <w:marLeft w:val="0"/>
          <w:marRight w:val="0"/>
          <w:marTop w:val="0"/>
          <w:marBottom w:val="0"/>
          <w:divBdr>
            <w:top w:val="none" w:sz="0" w:space="0" w:color="auto"/>
            <w:left w:val="none" w:sz="0" w:space="0" w:color="auto"/>
            <w:bottom w:val="none" w:sz="0" w:space="0" w:color="auto"/>
            <w:right w:val="none" w:sz="0" w:space="0" w:color="auto"/>
          </w:divBdr>
        </w:div>
        <w:div w:id="1920285609">
          <w:marLeft w:val="0"/>
          <w:marRight w:val="0"/>
          <w:marTop w:val="0"/>
          <w:marBottom w:val="0"/>
          <w:divBdr>
            <w:top w:val="none" w:sz="0" w:space="0" w:color="auto"/>
            <w:left w:val="none" w:sz="0" w:space="0" w:color="auto"/>
            <w:bottom w:val="none" w:sz="0" w:space="0" w:color="auto"/>
            <w:right w:val="none" w:sz="0" w:space="0" w:color="auto"/>
          </w:divBdr>
        </w:div>
        <w:div w:id="2025086240">
          <w:marLeft w:val="0"/>
          <w:marRight w:val="0"/>
          <w:marTop w:val="0"/>
          <w:marBottom w:val="0"/>
          <w:divBdr>
            <w:top w:val="none" w:sz="0" w:space="0" w:color="auto"/>
            <w:left w:val="none" w:sz="0" w:space="0" w:color="auto"/>
            <w:bottom w:val="none" w:sz="0" w:space="0" w:color="auto"/>
            <w:right w:val="none" w:sz="0" w:space="0" w:color="auto"/>
          </w:divBdr>
        </w:div>
      </w:divsChild>
    </w:div>
    <w:div w:id="1102141688">
      <w:bodyDiv w:val="1"/>
      <w:marLeft w:val="0"/>
      <w:marRight w:val="0"/>
      <w:marTop w:val="0"/>
      <w:marBottom w:val="0"/>
      <w:divBdr>
        <w:top w:val="none" w:sz="0" w:space="0" w:color="auto"/>
        <w:left w:val="none" w:sz="0" w:space="0" w:color="auto"/>
        <w:bottom w:val="none" w:sz="0" w:space="0" w:color="auto"/>
        <w:right w:val="none" w:sz="0" w:space="0" w:color="auto"/>
      </w:divBdr>
      <w:divsChild>
        <w:div w:id="373887936">
          <w:marLeft w:val="0"/>
          <w:marRight w:val="0"/>
          <w:marTop w:val="0"/>
          <w:marBottom w:val="0"/>
          <w:divBdr>
            <w:top w:val="none" w:sz="0" w:space="0" w:color="auto"/>
            <w:left w:val="none" w:sz="0" w:space="0" w:color="auto"/>
            <w:bottom w:val="none" w:sz="0" w:space="0" w:color="auto"/>
            <w:right w:val="none" w:sz="0" w:space="0" w:color="auto"/>
          </w:divBdr>
        </w:div>
        <w:div w:id="681400737">
          <w:marLeft w:val="0"/>
          <w:marRight w:val="0"/>
          <w:marTop w:val="0"/>
          <w:marBottom w:val="0"/>
          <w:divBdr>
            <w:top w:val="none" w:sz="0" w:space="0" w:color="auto"/>
            <w:left w:val="none" w:sz="0" w:space="0" w:color="auto"/>
            <w:bottom w:val="none" w:sz="0" w:space="0" w:color="auto"/>
            <w:right w:val="none" w:sz="0" w:space="0" w:color="auto"/>
          </w:divBdr>
        </w:div>
        <w:div w:id="904725709">
          <w:marLeft w:val="0"/>
          <w:marRight w:val="0"/>
          <w:marTop w:val="0"/>
          <w:marBottom w:val="0"/>
          <w:divBdr>
            <w:top w:val="none" w:sz="0" w:space="0" w:color="auto"/>
            <w:left w:val="none" w:sz="0" w:space="0" w:color="auto"/>
            <w:bottom w:val="none" w:sz="0" w:space="0" w:color="auto"/>
            <w:right w:val="none" w:sz="0" w:space="0" w:color="auto"/>
          </w:divBdr>
        </w:div>
      </w:divsChild>
    </w:div>
    <w:div w:id="1108816440">
      <w:bodyDiv w:val="1"/>
      <w:marLeft w:val="0"/>
      <w:marRight w:val="0"/>
      <w:marTop w:val="0"/>
      <w:marBottom w:val="0"/>
      <w:divBdr>
        <w:top w:val="none" w:sz="0" w:space="0" w:color="auto"/>
        <w:left w:val="none" w:sz="0" w:space="0" w:color="auto"/>
        <w:bottom w:val="none" w:sz="0" w:space="0" w:color="auto"/>
        <w:right w:val="none" w:sz="0" w:space="0" w:color="auto"/>
      </w:divBdr>
    </w:div>
    <w:div w:id="1109741723">
      <w:bodyDiv w:val="1"/>
      <w:marLeft w:val="0"/>
      <w:marRight w:val="0"/>
      <w:marTop w:val="0"/>
      <w:marBottom w:val="0"/>
      <w:divBdr>
        <w:top w:val="none" w:sz="0" w:space="0" w:color="auto"/>
        <w:left w:val="none" w:sz="0" w:space="0" w:color="auto"/>
        <w:bottom w:val="none" w:sz="0" w:space="0" w:color="auto"/>
        <w:right w:val="none" w:sz="0" w:space="0" w:color="auto"/>
      </w:divBdr>
      <w:divsChild>
        <w:div w:id="175194682">
          <w:marLeft w:val="0"/>
          <w:marRight w:val="0"/>
          <w:marTop w:val="0"/>
          <w:marBottom w:val="0"/>
          <w:divBdr>
            <w:top w:val="none" w:sz="0" w:space="0" w:color="auto"/>
            <w:left w:val="none" w:sz="0" w:space="0" w:color="auto"/>
            <w:bottom w:val="none" w:sz="0" w:space="0" w:color="auto"/>
            <w:right w:val="none" w:sz="0" w:space="0" w:color="auto"/>
          </w:divBdr>
          <w:divsChild>
            <w:div w:id="6929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003">
      <w:bodyDiv w:val="1"/>
      <w:marLeft w:val="0"/>
      <w:marRight w:val="0"/>
      <w:marTop w:val="0"/>
      <w:marBottom w:val="0"/>
      <w:divBdr>
        <w:top w:val="none" w:sz="0" w:space="0" w:color="auto"/>
        <w:left w:val="none" w:sz="0" w:space="0" w:color="auto"/>
        <w:bottom w:val="none" w:sz="0" w:space="0" w:color="auto"/>
        <w:right w:val="none" w:sz="0" w:space="0" w:color="auto"/>
      </w:divBdr>
    </w:div>
    <w:div w:id="1128208684">
      <w:bodyDiv w:val="1"/>
      <w:marLeft w:val="0"/>
      <w:marRight w:val="0"/>
      <w:marTop w:val="0"/>
      <w:marBottom w:val="0"/>
      <w:divBdr>
        <w:top w:val="none" w:sz="0" w:space="0" w:color="auto"/>
        <w:left w:val="none" w:sz="0" w:space="0" w:color="auto"/>
        <w:bottom w:val="none" w:sz="0" w:space="0" w:color="auto"/>
        <w:right w:val="none" w:sz="0" w:space="0" w:color="auto"/>
      </w:divBdr>
      <w:divsChild>
        <w:div w:id="173686907">
          <w:marLeft w:val="0"/>
          <w:marRight w:val="0"/>
          <w:marTop w:val="0"/>
          <w:marBottom w:val="0"/>
          <w:divBdr>
            <w:top w:val="none" w:sz="0" w:space="0" w:color="auto"/>
            <w:left w:val="none" w:sz="0" w:space="0" w:color="auto"/>
            <w:bottom w:val="none" w:sz="0" w:space="0" w:color="auto"/>
            <w:right w:val="none" w:sz="0" w:space="0" w:color="auto"/>
          </w:divBdr>
        </w:div>
        <w:div w:id="293682252">
          <w:marLeft w:val="0"/>
          <w:marRight w:val="0"/>
          <w:marTop w:val="0"/>
          <w:marBottom w:val="0"/>
          <w:divBdr>
            <w:top w:val="none" w:sz="0" w:space="0" w:color="auto"/>
            <w:left w:val="none" w:sz="0" w:space="0" w:color="auto"/>
            <w:bottom w:val="none" w:sz="0" w:space="0" w:color="auto"/>
            <w:right w:val="none" w:sz="0" w:space="0" w:color="auto"/>
          </w:divBdr>
        </w:div>
        <w:div w:id="374276364">
          <w:marLeft w:val="0"/>
          <w:marRight w:val="0"/>
          <w:marTop w:val="0"/>
          <w:marBottom w:val="0"/>
          <w:divBdr>
            <w:top w:val="none" w:sz="0" w:space="0" w:color="auto"/>
            <w:left w:val="none" w:sz="0" w:space="0" w:color="auto"/>
            <w:bottom w:val="none" w:sz="0" w:space="0" w:color="auto"/>
            <w:right w:val="none" w:sz="0" w:space="0" w:color="auto"/>
          </w:divBdr>
        </w:div>
        <w:div w:id="984506637">
          <w:marLeft w:val="0"/>
          <w:marRight w:val="0"/>
          <w:marTop w:val="0"/>
          <w:marBottom w:val="0"/>
          <w:divBdr>
            <w:top w:val="none" w:sz="0" w:space="0" w:color="auto"/>
            <w:left w:val="none" w:sz="0" w:space="0" w:color="auto"/>
            <w:bottom w:val="none" w:sz="0" w:space="0" w:color="auto"/>
            <w:right w:val="none" w:sz="0" w:space="0" w:color="auto"/>
          </w:divBdr>
        </w:div>
        <w:div w:id="999308593">
          <w:marLeft w:val="0"/>
          <w:marRight w:val="0"/>
          <w:marTop w:val="0"/>
          <w:marBottom w:val="0"/>
          <w:divBdr>
            <w:top w:val="none" w:sz="0" w:space="0" w:color="auto"/>
            <w:left w:val="none" w:sz="0" w:space="0" w:color="auto"/>
            <w:bottom w:val="none" w:sz="0" w:space="0" w:color="auto"/>
            <w:right w:val="none" w:sz="0" w:space="0" w:color="auto"/>
          </w:divBdr>
        </w:div>
        <w:div w:id="1121337915">
          <w:marLeft w:val="0"/>
          <w:marRight w:val="0"/>
          <w:marTop w:val="0"/>
          <w:marBottom w:val="0"/>
          <w:divBdr>
            <w:top w:val="none" w:sz="0" w:space="0" w:color="auto"/>
            <w:left w:val="none" w:sz="0" w:space="0" w:color="auto"/>
            <w:bottom w:val="none" w:sz="0" w:space="0" w:color="auto"/>
            <w:right w:val="none" w:sz="0" w:space="0" w:color="auto"/>
          </w:divBdr>
        </w:div>
        <w:div w:id="1219168370">
          <w:marLeft w:val="0"/>
          <w:marRight w:val="0"/>
          <w:marTop w:val="0"/>
          <w:marBottom w:val="0"/>
          <w:divBdr>
            <w:top w:val="none" w:sz="0" w:space="0" w:color="auto"/>
            <w:left w:val="none" w:sz="0" w:space="0" w:color="auto"/>
            <w:bottom w:val="none" w:sz="0" w:space="0" w:color="auto"/>
            <w:right w:val="none" w:sz="0" w:space="0" w:color="auto"/>
          </w:divBdr>
        </w:div>
        <w:div w:id="1324969349">
          <w:marLeft w:val="0"/>
          <w:marRight w:val="0"/>
          <w:marTop w:val="0"/>
          <w:marBottom w:val="0"/>
          <w:divBdr>
            <w:top w:val="none" w:sz="0" w:space="0" w:color="auto"/>
            <w:left w:val="none" w:sz="0" w:space="0" w:color="auto"/>
            <w:bottom w:val="none" w:sz="0" w:space="0" w:color="auto"/>
            <w:right w:val="none" w:sz="0" w:space="0" w:color="auto"/>
          </w:divBdr>
        </w:div>
        <w:div w:id="1804469577">
          <w:marLeft w:val="0"/>
          <w:marRight w:val="0"/>
          <w:marTop w:val="0"/>
          <w:marBottom w:val="0"/>
          <w:divBdr>
            <w:top w:val="none" w:sz="0" w:space="0" w:color="auto"/>
            <w:left w:val="none" w:sz="0" w:space="0" w:color="auto"/>
            <w:bottom w:val="none" w:sz="0" w:space="0" w:color="auto"/>
            <w:right w:val="none" w:sz="0" w:space="0" w:color="auto"/>
          </w:divBdr>
        </w:div>
      </w:divsChild>
    </w:div>
    <w:div w:id="1155343732">
      <w:bodyDiv w:val="1"/>
      <w:marLeft w:val="0"/>
      <w:marRight w:val="0"/>
      <w:marTop w:val="0"/>
      <w:marBottom w:val="0"/>
      <w:divBdr>
        <w:top w:val="none" w:sz="0" w:space="0" w:color="auto"/>
        <w:left w:val="none" w:sz="0" w:space="0" w:color="auto"/>
        <w:bottom w:val="none" w:sz="0" w:space="0" w:color="auto"/>
        <w:right w:val="none" w:sz="0" w:space="0" w:color="auto"/>
      </w:divBdr>
      <w:divsChild>
        <w:div w:id="902636885">
          <w:marLeft w:val="0"/>
          <w:marRight w:val="0"/>
          <w:marTop w:val="0"/>
          <w:marBottom w:val="0"/>
          <w:divBdr>
            <w:top w:val="none" w:sz="0" w:space="0" w:color="auto"/>
            <w:left w:val="none" w:sz="0" w:space="0" w:color="auto"/>
            <w:bottom w:val="none" w:sz="0" w:space="0" w:color="auto"/>
            <w:right w:val="none" w:sz="0" w:space="0" w:color="auto"/>
          </w:divBdr>
        </w:div>
        <w:div w:id="1208178805">
          <w:marLeft w:val="0"/>
          <w:marRight w:val="0"/>
          <w:marTop w:val="0"/>
          <w:marBottom w:val="0"/>
          <w:divBdr>
            <w:top w:val="none" w:sz="0" w:space="0" w:color="auto"/>
            <w:left w:val="none" w:sz="0" w:space="0" w:color="auto"/>
            <w:bottom w:val="none" w:sz="0" w:space="0" w:color="auto"/>
            <w:right w:val="none" w:sz="0" w:space="0" w:color="auto"/>
          </w:divBdr>
        </w:div>
        <w:div w:id="2127043134">
          <w:marLeft w:val="0"/>
          <w:marRight w:val="0"/>
          <w:marTop w:val="0"/>
          <w:marBottom w:val="0"/>
          <w:divBdr>
            <w:top w:val="none" w:sz="0" w:space="0" w:color="auto"/>
            <w:left w:val="none" w:sz="0" w:space="0" w:color="auto"/>
            <w:bottom w:val="none" w:sz="0" w:space="0" w:color="auto"/>
            <w:right w:val="none" w:sz="0" w:space="0" w:color="auto"/>
          </w:divBdr>
        </w:div>
      </w:divsChild>
    </w:div>
    <w:div w:id="1173884205">
      <w:bodyDiv w:val="1"/>
      <w:marLeft w:val="0"/>
      <w:marRight w:val="0"/>
      <w:marTop w:val="0"/>
      <w:marBottom w:val="0"/>
      <w:divBdr>
        <w:top w:val="none" w:sz="0" w:space="0" w:color="auto"/>
        <w:left w:val="none" w:sz="0" w:space="0" w:color="auto"/>
        <w:bottom w:val="none" w:sz="0" w:space="0" w:color="auto"/>
        <w:right w:val="none" w:sz="0" w:space="0" w:color="auto"/>
      </w:divBdr>
    </w:div>
    <w:div w:id="1177306101">
      <w:bodyDiv w:val="1"/>
      <w:marLeft w:val="0"/>
      <w:marRight w:val="0"/>
      <w:marTop w:val="0"/>
      <w:marBottom w:val="0"/>
      <w:divBdr>
        <w:top w:val="none" w:sz="0" w:space="0" w:color="auto"/>
        <w:left w:val="none" w:sz="0" w:space="0" w:color="auto"/>
        <w:bottom w:val="none" w:sz="0" w:space="0" w:color="auto"/>
        <w:right w:val="none" w:sz="0" w:space="0" w:color="auto"/>
      </w:divBdr>
      <w:divsChild>
        <w:div w:id="1937447186">
          <w:marLeft w:val="0"/>
          <w:marRight w:val="0"/>
          <w:marTop w:val="0"/>
          <w:marBottom w:val="0"/>
          <w:divBdr>
            <w:top w:val="none" w:sz="0" w:space="0" w:color="auto"/>
            <w:left w:val="none" w:sz="0" w:space="0" w:color="auto"/>
            <w:bottom w:val="none" w:sz="0" w:space="0" w:color="auto"/>
            <w:right w:val="none" w:sz="0" w:space="0" w:color="auto"/>
          </w:divBdr>
        </w:div>
      </w:divsChild>
    </w:div>
    <w:div w:id="1183933400">
      <w:bodyDiv w:val="1"/>
      <w:marLeft w:val="0"/>
      <w:marRight w:val="0"/>
      <w:marTop w:val="0"/>
      <w:marBottom w:val="0"/>
      <w:divBdr>
        <w:top w:val="none" w:sz="0" w:space="0" w:color="auto"/>
        <w:left w:val="none" w:sz="0" w:space="0" w:color="auto"/>
        <w:bottom w:val="none" w:sz="0" w:space="0" w:color="auto"/>
        <w:right w:val="none" w:sz="0" w:space="0" w:color="auto"/>
      </w:divBdr>
    </w:div>
    <w:div w:id="1201819465">
      <w:bodyDiv w:val="1"/>
      <w:marLeft w:val="0"/>
      <w:marRight w:val="0"/>
      <w:marTop w:val="0"/>
      <w:marBottom w:val="0"/>
      <w:divBdr>
        <w:top w:val="none" w:sz="0" w:space="0" w:color="auto"/>
        <w:left w:val="none" w:sz="0" w:space="0" w:color="auto"/>
        <w:bottom w:val="none" w:sz="0" w:space="0" w:color="auto"/>
        <w:right w:val="none" w:sz="0" w:space="0" w:color="auto"/>
      </w:divBdr>
      <w:divsChild>
        <w:div w:id="1785884158">
          <w:marLeft w:val="0"/>
          <w:marRight w:val="0"/>
          <w:marTop w:val="0"/>
          <w:marBottom w:val="0"/>
          <w:divBdr>
            <w:top w:val="none" w:sz="0" w:space="0" w:color="auto"/>
            <w:left w:val="none" w:sz="0" w:space="0" w:color="auto"/>
            <w:bottom w:val="none" w:sz="0" w:space="0" w:color="auto"/>
            <w:right w:val="none" w:sz="0" w:space="0" w:color="auto"/>
          </w:divBdr>
          <w:divsChild>
            <w:div w:id="14693872">
              <w:marLeft w:val="0"/>
              <w:marRight w:val="0"/>
              <w:marTop w:val="0"/>
              <w:marBottom w:val="0"/>
              <w:divBdr>
                <w:top w:val="none" w:sz="0" w:space="0" w:color="auto"/>
                <w:left w:val="none" w:sz="0" w:space="0" w:color="auto"/>
                <w:bottom w:val="none" w:sz="0" w:space="0" w:color="auto"/>
                <w:right w:val="none" w:sz="0" w:space="0" w:color="auto"/>
              </w:divBdr>
            </w:div>
            <w:div w:id="35586850">
              <w:marLeft w:val="0"/>
              <w:marRight w:val="0"/>
              <w:marTop w:val="0"/>
              <w:marBottom w:val="0"/>
              <w:divBdr>
                <w:top w:val="none" w:sz="0" w:space="0" w:color="auto"/>
                <w:left w:val="none" w:sz="0" w:space="0" w:color="auto"/>
                <w:bottom w:val="none" w:sz="0" w:space="0" w:color="auto"/>
                <w:right w:val="none" w:sz="0" w:space="0" w:color="auto"/>
              </w:divBdr>
            </w:div>
            <w:div w:id="58871850">
              <w:marLeft w:val="0"/>
              <w:marRight w:val="0"/>
              <w:marTop w:val="0"/>
              <w:marBottom w:val="0"/>
              <w:divBdr>
                <w:top w:val="none" w:sz="0" w:space="0" w:color="auto"/>
                <w:left w:val="none" w:sz="0" w:space="0" w:color="auto"/>
                <w:bottom w:val="none" w:sz="0" w:space="0" w:color="auto"/>
                <w:right w:val="none" w:sz="0" w:space="0" w:color="auto"/>
              </w:divBdr>
            </w:div>
            <w:div w:id="63263535">
              <w:marLeft w:val="0"/>
              <w:marRight w:val="0"/>
              <w:marTop w:val="0"/>
              <w:marBottom w:val="0"/>
              <w:divBdr>
                <w:top w:val="none" w:sz="0" w:space="0" w:color="auto"/>
                <w:left w:val="none" w:sz="0" w:space="0" w:color="auto"/>
                <w:bottom w:val="none" w:sz="0" w:space="0" w:color="auto"/>
                <w:right w:val="none" w:sz="0" w:space="0" w:color="auto"/>
              </w:divBdr>
            </w:div>
            <w:div w:id="145316481">
              <w:marLeft w:val="0"/>
              <w:marRight w:val="0"/>
              <w:marTop w:val="0"/>
              <w:marBottom w:val="0"/>
              <w:divBdr>
                <w:top w:val="none" w:sz="0" w:space="0" w:color="auto"/>
                <w:left w:val="none" w:sz="0" w:space="0" w:color="auto"/>
                <w:bottom w:val="none" w:sz="0" w:space="0" w:color="auto"/>
                <w:right w:val="none" w:sz="0" w:space="0" w:color="auto"/>
              </w:divBdr>
            </w:div>
            <w:div w:id="283460100">
              <w:marLeft w:val="0"/>
              <w:marRight w:val="0"/>
              <w:marTop w:val="0"/>
              <w:marBottom w:val="0"/>
              <w:divBdr>
                <w:top w:val="none" w:sz="0" w:space="0" w:color="auto"/>
                <w:left w:val="none" w:sz="0" w:space="0" w:color="auto"/>
                <w:bottom w:val="none" w:sz="0" w:space="0" w:color="auto"/>
                <w:right w:val="none" w:sz="0" w:space="0" w:color="auto"/>
              </w:divBdr>
            </w:div>
            <w:div w:id="296228563">
              <w:marLeft w:val="0"/>
              <w:marRight w:val="0"/>
              <w:marTop w:val="0"/>
              <w:marBottom w:val="0"/>
              <w:divBdr>
                <w:top w:val="none" w:sz="0" w:space="0" w:color="auto"/>
                <w:left w:val="none" w:sz="0" w:space="0" w:color="auto"/>
                <w:bottom w:val="none" w:sz="0" w:space="0" w:color="auto"/>
                <w:right w:val="none" w:sz="0" w:space="0" w:color="auto"/>
              </w:divBdr>
            </w:div>
            <w:div w:id="321393873">
              <w:marLeft w:val="0"/>
              <w:marRight w:val="0"/>
              <w:marTop w:val="0"/>
              <w:marBottom w:val="0"/>
              <w:divBdr>
                <w:top w:val="none" w:sz="0" w:space="0" w:color="auto"/>
                <w:left w:val="none" w:sz="0" w:space="0" w:color="auto"/>
                <w:bottom w:val="none" w:sz="0" w:space="0" w:color="auto"/>
                <w:right w:val="none" w:sz="0" w:space="0" w:color="auto"/>
              </w:divBdr>
            </w:div>
            <w:div w:id="363596490">
              <w:marLeft w:val="0"/>
              <w:marRight w:val="0"/>
              <w:marTop w:val="0"/>
              <w:marBottom w:val="0"/>
              <w:divBdr>
                <w:top w:val="none" w:sz="0" w:space="0" w:color="auto"/>
                <w:left w:val="none" w:sz="0" w:space="0" w:color="auto"/>
                <w:bottom w:val="none" w:sz="0" w:space="0" w:color="auto"/>
                <w:right w:val="none" w:sz="0" w:space="0" w:color="auto"/>
              </w:divBdr>
            </w:div>
            <w:div w:id="380717045">
              <w:marLeft w:val="0"/>
              <w:marRight w:val="0"/>
              <w:marTop w:val="0"/>
              <w:marBottom w:val="0"/>
              <w:divBdr>
                <w:top w:val="none" w:sz="0" w:space="0" w:color="auto"/>
                <w:left w:val="none" w:sz="0" w:space="0" w:color="auto"/>
                <w:bottom w:val="none" w:sz="0" w:space="0" w:color="auto"/>
                <w:right w:val="none" w:sz="0" w:space="0" w:color="auto"/>
              </w:divBdr>
            </w:div>
            <w:div w:id="474684991">
              <w:marLeft w:val="0"/>
              <w:marRight w:val="0"/>
              <w:marTop w:val="0"/>
              <w:marBottom w:val="0"/>
              <w:divBdr>
                <w:top w:val="none" w:sz="0" w:space="0" w:color="auto"/>
                <w:left w:val="none" w:sz="0" w:space="0" w:color="auto"/>
                <w:bottom w:val="none" w:sz="0" w:space="0" w:color="auto"/>
                <w:right w:val="none" w:sz="0" w:space="0" w:color="auto"/>
              </w:divBdr>
            </w:div>
            <w:div w:id="518813769">
              <w:marLeft w:val="0"/>
              <w:marRight w:val="0"/>
              <w:marTop w:val="0"/>
              <w:marBottom w:val="0"/>
              <w:divBdr>
                <w:top w:val="none" w:sz="0" w:space="0" w:color="auto"/>
                <w:left w:val="none" w:sz="0" w:space="0" w:color="auto"/>
                <w:bottom w:val="none" w:sz="0" w:space="0" w:color="auto"/>
                <w:right w:val="none" w:sz="0" w:space="0" w:color="auto"/>
              </w:divBdr>
            </w:div>
            <w:div w:id="589002660">
              <w:marLeft w:val="0"/>
              <w:marRight w:val="0"/>
              <w:marTop w:val="0"/>
              <w:marBottom w:val="0"/>
              <w:divBdr>
                <w:top w:val="none" w:sz="0" w:space="0" w:color="auto"/>
                <w:left w:val="none" w:sz="0" w:space="0" w:color="auto"/>
                <w:bottom w:val="none" w:sz="0" w:space="0" w:color="auto"/>
                <w:right w:val="none" w:sz="0" w:space="0" w:color="auto"/>
              </w:divBdr>
            </w:div>
            <w:div w:id="613248476">
              <w:marLeft w:val="0"/>
              <w:marRight w:val="0"/>
              <w:marTop w:val="0"/>
              <w:marBottom w:val="0"/>
              <w:divBdr>
                <w:top w:val="none" w:sz="0" w:space="0" w:color="auto"/>
                <w:left w:val="none" w:sz="0" w:space="0" w:color="auto"/>
                <w:bottom w:val="none" w:sz="0" w:space="0" w:color="auto"/>
                <w:right w:val="none" w:sz="0" w:space="0" w:color="auto"/>
              </w:divBdr>
            </w:div>
            <w:div w:id="645669907">
              <w:marLeft w:val="0"/>
              <w:marRight w:val="0"/>
              <w:marTop w:val="0"/>
              <w:marBottom w:val="0"/>
              <w:divBdr>
                <w:top w:val="none" w:sz="0" w:space="0" w:color="auto"/>
                <w:left w:val="none" w:sz="0" w:space="0" w:color="auto"/>
                <w:bottom w:val="none" w:sz="0" w:space="0" w:color="auto"/>
                <w:right w:val="none" w:sz="0" w:space="0" w:color="auto"/>
              </w:divBdr>
            </w:div>
            <w:div w:id="658732959">
              <w:marLeft w:val="0"/>
              <w:marRight w:val="0"/>
              <w:marTop w:val="0"/>
              <w:marBottom w:val="0"/>
              <w:divBdr>
                <w:top w:val="none" w:sz="0" w:space="0" w:color="auto"/>
                <w:left w:val="none" w:sz="0" w:space="0" w:color="auto"/>
                <w:bottom w:val="none" w:sz="0" w:space="0" w:color="auto"/>
                <w:right w:val="none" w:sz="0" w:space="0" w:color="auto"/>
              </w:divBdr>
            </w:div>
            <w:div w:id="693654103">
              <w:marLeft w:val="0"/>
              <w:marRight w:val="0"/>
              <w:marTop w:val="0"/>
              <w:marBottom w:val="0"/>
              <w:divBdr>
                <w:top w:val="none" w:sz="0" w:space="0" w:color="auto"/>
                <w:left w:val="none" w:sz="0" w:space="0" w:color="auto"/>
                <w:bottom w:val="none" w:sz="0" w:space="0" w:color="auto"/>
                <w:right w:val="none" w:sz="0" w:space="0" w:color="auto"/>
              </w:divBdr>
            </w:div>
            <w:div w:id="765618996">
              <w:marLeft w:val="0"/>
              <w:marRight w:val="0"/>
              <w:marTop w:val="0"/>
              <w:marBottom w:val="0"/>
              <w:divBdr>
                <w:top w:val="none" w:sz="0" w:space="0" w:color="auto"/>
                <w:left w:val="none" w:sz="0" w:space="0" w:color="auto"/>
                <w:bottom w:val="none" w:sz="0" w:space="0" w:color="auto"/>
                <w:right w:val="none" w:sz="0" w:space="0" w:color="auto"/>
              </w:divBdr>
            </w:div>
            <w:div w:id="774136115">
              <w:marLeft w:val="0"/>
              <w:marRight w:val="0"/>
              <w:marTop w:val="0"/>
              <w:marBottom w:val="0"/>
              <w:divBdr>
                <w:top w:val="none" w:sz="0" w:space="0" w:color="auto"/>
                <w:left w:val="none" w:sz="0" w:space="0" w:color="auto"/>
                <w:bottom w:val="none" w:sz="0" w:space="0" w:color="auto"/>
                <w:right w:val="none" w:sz="0" w:space="0" w:color="auto"/>
              </w:divBdr>
            </w:div>
            <w:div w:id="783306560">
              <w:marLeft w:val="0"/>
              <w:marRight w:val="0"/>
              <w:marTop w:val="0"/>
              <w:marBottom w:val="0"/>
              <w:divBdr>
                <w:top w:val="none" w:sz="0" w:space="0" w:color="auto"/>
                <w:left w:val="none" w:sz="0" w:space="0" w:color="auto"/>
                <w:bottom w:val="none" w:sz="0" w:space="0" w:color="auto"/>
                <w:right w:val="none" w:sz="0" w:space="0" w:color="auto"/>
              </w:divBdr>
            </w:div>
            <w:div w:id="784811990">
              <w:marLeft w:val="0"/>
              <w:marRight w:val="0"/>
              <w:marTop w:val="0"/>
              <w:marBottom w:val="0"/>
              <w:divBdr>
                <w:top w:val="none" w:sz="0" w:space="0" w:color="auto"/>
                <w:left w:val="none" w:sz="0" w:space="0" w:color="auto"/>
                <w:bottom w:val="none" w:sz="0" w:space="0" w:color="auto"/>
                <w:right w:val="none" w:sz="0" w:space="0" w:color="auto"/>
              </w:divBdr>
            </w:div>
            <w:div w:id="793714302">
              <w:marLeft w:val="0"/>
              <w:marRight w:val="0"/>
              <w:marTop w:val="0"/>
              <w:marBottom w:val="0"/>
              <w:divBdr>
                <w:top w:val="none" w:sz="0" w:space="0" w:color="auto"/>
                <w:left w:val="none" w:sz="0" w:space="0" w:color="auto"/>
                <w:bottom w:val="none" w:sz="0" w:space="0" w:color="auto"/>
                <w:right w:val="none" w:sz="0" w:space="0" w:color="auto"/>
              </w:divBdr>
            </w:div>
            <w:div w:id="854806613">
              <w:marLeft w:val="0"/>
              <w:marRight w:val="0"/>
              <w:marTop w:val="0"/>
              <w:marBottom w:val="0"/>
              <w:divBdr>
                <w:top w:val="none" w:sz="0" w:space="0" w:color="auto"/>
                <w:left w:val="none" w:sz="0" w:space="0" w:color="auto"/>
                <w:bottom w:val="none" w:sz="0" w:space="0" w:color="auto"/>
                <w:right w:val="none" w:sz="0" w:space="0" w:color="auto"/>
              </w:divBdr>
            </w:div>
            <w:div w:id="866335546">
              <w:marLeft w:val="0"/>
              <w:marRight w:val="0"/>
              <w:marTop w:val="0"/>
              <w:marBottom w:val="0"/>
              <w:divBdr>
                <w:top w:val="none" w:sz="0" w:space="0" w:color="auto"/>
                <w:left w:val="none" w:sz="0" w:space="0" w:color="auto"/>
                <w:bottom w:val="none" w:sz="0" w:space="0" w:color="auto"/>
                <w:right w:val="none" w:sz="0" w:space="0" w:color="auto"/>
              </w:divBdr>
            </w:div>
            <w:div w:id="922955122">
              <w:marLeft w:val="0"/>
              <w:marRight w:val="0"/>
              <w:marTop w:val="0"/>
              <w:marBottom w:val="0"/>
              <w:divBdr>
                <w:top w:val="none" w:sz="0" w:space="0" w:color="auto"/>
                <w:left w:val="none" w:sz="0" w:space="0" w:color="auto"/>
                <w:bottom w:val="none" w:sz="0" w:space="0" w:color="auto"/>
                <w:right w:val="none" w:sz="0" w:space="0" w:color="auto"/>
              </w:divBdr>
            </w:div>
            <w:div w:id="991056072">
              <w:marLeft w:val="0"/>
              <w:marRight w:val="0"/>
              <w:marTop w:val="0"/>
              <w:marBottom w:val="0"/>
              <w:divBdr>
                <w:top w:val="none" w:sz="0" w:space="0" w:color="auto"/>
                <w:left w:val="none" w:sz="0" w:space="0" w:color="auto"/>
                <w:bottom w:val="none" w:sz="0" w:space="0" w:color="auto"/>
                <w:right w:val="none" w:sz="0" w:space="0" w:color="auto"/>
              </w:divBdr>
            </w:div>
            <w:div w:id="993946880">
              <w:marLeft w:val="0"/>
              <w:marRight w:val="0"/>
              <w:marTop w:val="0"/>
              <w:marBottom w:val="0"/>
              <w:divBdr>
                <w:top w:val="none" w:sz="0" w:space="0" w:color="auto"/>
                <w:left w:val="none" w:sz="0" w:space="0" w:color="auto"/>
                <w:bottom w:val="none" w:sz="0" w:space="0" w:color="auto"/>
                <w:right w:val="none" w:sz="0" w:space="0" w:color="auto"/>
              </w:divBdr>
            </w:div>
            <w:div w:id="1010327775">
              <w:marLeft w:val="0"/>
              <w:marRight w:val="0"/>
              <w:marTop w:val="0"/>
              <w:marBottom w:val="0"/>
              <w:divBdr>
                <w:top w:val="none" w:sz="0" w:space="0" w:color="auto"/>
                <w:left w:val="none" w:sz="0" w:space="0" w:color="auto"/>
                <w:bottom w:val="none" w:sz="0" w:space="0" w:color="auto"/>
                <w:right w:val="none" w:sz="0" w:space="0" w:color="auto"/>
              </w:divBdr>
            </w:div>
            <w:div w:id="1027483767">
              <w:marLeft w:val="0"/>
              <w:marRight w:val="0"/>
              <w:marTop w:val="0"/>
              <w:marBottom w:val="0"/>
              <w:divBdr>
                <w:top w:val="none" w:sz="0" w:space="0" w:color="auto"/>
                <w:left w:val="none" w:sz="0" w:space="0" w:color="auto"/>
                <w:bottom w:val="none" w:sz="0" w:space="0" w:color="auto"/>
                <w:right w:val="none" w:sz="0" w:space="0" w:color="auto"/>
              </w:divBdr>
            </w:div>
            <w:div w:id="1035665532">
              <w:marLeft w:val="0"/>
              <w:marRight w:val="0"/>
              <w:marTop w:val="0"/>
              <w:marBottom w:val="0"/>
              <w:divBdr>
                <w:top w:val="none" w:sz="0" w:space="0" w:color="auto"/>
                <w:left w:val="none" w:sz="0" w:space="0" w:color="auto"/>
                <w:bottom w:val="none" w:sz="0" w:space="0" w:color="auto"/>
                <w:right w:val="none" w:sz="0" w:space="0" w:color="auto"/>
              </w:divBdr>
            </w:div>
            <w:div w:id="1061248979">
              <w:marLeft w:val="0"/>
              <w:marRight w:val="0"/>
              <w:marTop w:val="0"/>
              <w:marBottom w:val="0"/>
              <w:divBdr>
                <w:top w:val="none" w:sz="0" w:space="0" w:color="auto"/>
                <w:left w:val="none" w:sz="0" w:space="0" w:color="auto"/>
                <w:bottom w:val="none" w:sz="0" w:space="0" w:color="auto"/>
                <w:right w:val="none" w:sz="0" w:space="0" w:color="auto"/>
              </w:divBdr>
            </w:div>
            <w:div w:id="1076051040">
              <w:marLeft w:val="0"/>
              <w:marRight w:val="0"/>
              <w:marTop w:val="0"/>
              <w:marBottom w:val="0"/>
              <w:divBdr>
                <w:top w:val="none" w:sz="0" w:space="0" w:color="auto"/>
                <w:left w:val="none" w:sz="0" w:space="0" w:color="auto"/>
                <w:bottom w:val="none" w:sz="0" w:space="0" w:color="auto"/>
                <w:right w:val="none" w:sz="0" w:space="0" w:color="auto"/>
              </w:divBdr>
            </w:div>
            <w:div w:id="1117486006">
              <w:marLeft w:val="0"/>
              <w:marRight w:val="0"/>
              <w:marTop w:val="0"/>
              <w:marBottom w:val="0"/>
              <w:divBdr>
                <w:top w:val="none" w:sz="0" w:space="0" w:color="auto"/>
                <w:left w:val="none" w:sz="0" w:space="0" w:color="auto"/>
                <w:bottom w:val="none" w:sz="0" w:space="0" w:color="auto"/>
                <w:right w:val="none" w:sz="0" w:space="0" w:color="auto"/>
              </w:divBdr>
            </w:div>
            <w:div w:id="1132283959">
              <w:marLeft w:val="0"/>
              <w:marRight w:val="0"/>
              <w:marTop w:val="0"/>
              <w:marBottom w:val="0"/>
              <w:divBdr>
                <w:top w:val="none" w:sz="0" w:space="0" w:color="auto"/>
                <w:left w:val="none" w:sz="0" w:space="0" w:color="auto"/>
                <w:bottom w:val="none" w:sz="0" w:space="0" w:color="auto"/>
                <w:right w:val="none" w:sz="0" w:space="0" w:color="auto"/>
              </w:divBdr>
            </w:div>
            <w:div w:id="1161576587">
              <w:marLeft w:val="0"/>
              <w:marRight w:val="0"/>
              <w:marTop w:val="0"/>
              <w:marBottom w:val="0"/>
              <w:divBdr>
                <w:top w:val="none" w:sz="0" w:space="0" w:color="auto"/>
                <w:left w:val="none" w:sz="0" w:space="0" w:color="auto"/>
                <w:bottom w:val="none" w:sz="0" w:space="0" w:color="auto"/>
                <w:right w:val="none" w:sz="0" w:space="0" w:color="auto"/>
              </w:divBdr>
            </w:div>
            <w:div w:id="1178814725">
              <w:marLeft w:val="0"/>
              <w:marRight w:val="0"/>
              <w:marTop w:val="0"/>
              <w:marBottom w:val="0"/>
              <w:divBdr>
                <w:top w:val="none" w:sz="0" w:space="0" w:color="auto"/>
                <w:left w:val="none" w:sz="0" w:space="0" w:color="auto"/>
                <w:bottom w:val="none" w:sz="0" w:space="0" w:color="auto"/>
                <w:right w:val="none" w:sz="0" w:space="0" w:color="auto"/>
              </w:divBdr>
            </w:div>
            <w:div w:id="1228689345">
              <w:marLeft w:val="0"/>
              <w:marRight w:val="0"/>
              <w:marTop w:val="0"/>
              <w:marBottom w:val="0"/>
              <w:divBdr>
                <w:top w:val="none" w:sz="0" w:space="0" w:color="auto"/>
                <w:left w:val="none" w:sz="0" w:space="0" w:color="auto"/>
                <w:bottom w:val="none" w:sz="0" w:space="0" w:color="auto"/>
                <w:right w:val="none" w:sz="0" w:space="0" w:color="auto"/>
              </w:divBdr>
            </w:div>
            <w:div w:id="1230532843">
              <w:marLeft w:val="0"/>
              <w:marRight w:val="0"/>
              <w:marTop w:val="0"/>
              <w:marBottom w:val="0"/>
              <w:divBdr>
                <w:top w:val="none" w:sz="0" w:space="0" w:color="auto"/>
                <w:left w:val="none" w:sz="0" w:space="0" w:color="auto"/>
                <w:bottom w:val="none" w:sz="0" w:space="0" w:color="auto"/>
                <w:right w:val="none" w:sz="0" w:space="0" w:color="auto"/>
              </w:divBdr>
            </w:div>
            <w:div w:id="1256475052">
              <w:marLeft w:val="0"/>
              <w:marRight w:val="0"/>
              <w:marTop w:val="0"/>
              <w:marBottom w:val="0"/>
              <w:divBdr>
                <w:top w:val="none" w:sz="0" w:space="0" w:color="auto"/>
                <w:left w:val="none" w:sz="0" w:space="0" w:color="auto"/>
                <w:bottom w:val="none" w:sz="0" w:space="0" w:color="auto"/>
                <w:right w:val="none" w:sz="0" w:space="0" w:color="auto"/>
              </w:divBdr>
            </w:div>
            <w:div w:id="1327324257">
              <w:marLeft w:val="0"/>
              <w:marRight w:val="0"/>
              <w:marTop w:val="0"/>
              <w:marBottom w:val="0"/>
              <w:divBdr>
                <w:top w:val="none" w:sz="0" w:space="0" w:color="auto"/>
                <w:left w:val="none" w:sz="0" w:space="0" w:color="auto"/>
                <w:bottom w:val="none" w:sz="0" w:space="0" w:color="auto"/>
                <w:right w:val="none" w:sz="0" w:space="0" w:color="auto"/>
              </w:divBdr>
            </w:div>
            <w:div w:id="1329333771">
              <w:marLeft w:val="0"/>
              <w:marRight w:val="0"/>
              <w:marTop w:val="0"/>
              <w:marBottom w:val="0"/>
              <w:divBdr>
                <w:top w:val="none" w:sz="0" w:space="0" w:color="auto"/>
                <w:left w:val="none" w:sz="0" w:space="0" w:color="auto"/>
                <w:bottom w:val="none" w:sz="0" w:space="0" w:color="auto"/>
                <w:right w:val="none" w:sz="0" w:space="0" w:color="auto"/>
              </w:divBdr>
            </w:div>
            <w:div w:id="1367868428">
              <w:marLeft w:val="0"/>
              <w:marRight w:val="0"/>
              <w:marTop w:val="0"/>
              <w:marBottom w:val="0"/>
              <w:divBdr>
                <w:top w:val="none" w:sz="0" w:space="0" w:color="auto"/>
                <w:left w:val="none" w:sz="0" w:space="0" w:color="auto"/>
                <w:bottom w:val="none" w:sz="0" w:space="0" w:color="auto"/>
                <w:right w:val="none" w:sz="0" w:space="0" w:color="auto"/>
              </w:divBdr>
            </w:div>
            <w:div w:id="1431896817">
              <w:marLeft w:val="0"/>
              <w:marRight w:val="0"/>
              <w:marTop w:val="0"/>
              <w:marBottom w:val="0"/>
              <w:divBdr>
                <w:top w:val="none" w:sz="0" w:space="0" w:color="auto"/>
                <w:left w:val="none" w:sz="0" w:space="0" w:color="auto"/>
                <w:bottom w:val="none" w:sz="0" w:space="0" w:color="auto"/>
                <w:right w:val="none" w:sz="0" w:space="0" w:color="auto"/>
              </w:divBdr>
            </w:div>
            <w:div w:id="1440564139">
              <w:marLeft w:val="0"/>
              <w:marRight w:val="0"/>
              <w:marTop w:val="0"/>
              <w:marBottom w:val="0"/>
              <w:divBdr>
                <w:top w:val="none" w:sz="0" w:space="0" w:color="auto"/>
                <w:left w:val="none" w:sz="0" w:space="0" w:color="auto"/>
                <w:bottom w:val="none" w:sz="0" w:space="0" w:color="auto"/>
                <w:right w:val="none" w:sz="0" w:space="0" w:color="auto"/>
              </w:divBdr>
            </w:div>
            <w:div w:id="1440876416">
              <w:marLeft w:val="0"/>
              <w:marRight w:val="0"/>
              <w:marTop w:val="0"/>
              <w:marBottom w:val="0"/>
              <w:divBdr>
                <w:top w:val="none" w:sz="0" w:space="0" w:color="auto"/>
                <w:left w:val="none" w:sz="0" w:space="0" w:color="auto"/>
                <w:bottom w:val="none" w:sz="0" w:space="0" w:color="auto"/>
                <w:right w:val="none" w:sz="0" w:space="0" w:color="auto"/>
              </w:divBdr>
            </w:div>
            <w:div w:id="1602563157">
              <w:marLeft w:val="0"/>
              <w:marRight w:val="0"/>
              <w:marTop w:val="0"/>
              <w:marBottom w:val="0"/>
              <w:divBdr>
                <w:top w:val="none" w:sz="0" w:space="0" w:color="auto"/>
                <w:left w:val="none" w:sz="0" w:space="0" w:color="auto"/>
                <w:bottom w:val="none" w:sz="0" w:space="0" w:color="auto"/>
                <w:right w:val="none" w:sz="0" w:space="0" w:color="auto"/>
              </w:divBdr>
            </w:div>
            <w:div w:id="1606765608">
              <w:marLeft w:val="0"/>
              <w:marRight w:val="0"/>
              <w:marTop w:val="0"/>
              <w:marBottom w:val="0"/>
              <w:divBdr>
                <w:top w:val="none" w:sz="0" w:space="0" w:color="auto"/>
                <w:left w:val="none" w:sz="0" w:space="0" w:color="auto"/>
                <w:bottom w:val="none" w:sz="0" w:space="0" w:color="auto"/>
                <w:right w:val="none" w:sz="0" w:space="0" w:color="auto"/>
              </w:divBdr>
            </w:div>
            <w:div w:id="1608659926">
              <w:marLeft w:val="0"/>
              <w:marRight w:val="0"/>
              <w:marTop w:val="0"/>
              <w:marBottom w:val="0"/>
              <w:divBdr>
                <w:top w:val="none" w:sz="0" w:space="0" w:color="auto"/>
                <w:left w:val="none" w:sz="0" w:space="0" w:color="auto"/>
                <w:bottom w:val="none" w:sz="0" w:space="0" w:color="auto"/>
                <w:right w:val="none" w:sz="0" w:space="0" w:color="auto"/>
              </w:divBdr>
            </w:div>
            <w:div w:id="1611277048">
              <w:marLeft w:val="0"/>
              <w:marRight w:val="0"/>
              <w:marTop w:val="0"/>
              <w:marBottom w:val="0"/>
              <w:divBdr>
                <w:top w:val="none" w:sz="0" w:space="0" w:color="auto"/>
                <w:left w:val="none" w:sz="0" w:space="0" w:color="auto"/>
                <w:bottom w:val="none" w:sz="0" w:space="0" w:color="auto"/>
                <w:right w:val="none" w:sz="0" w:space="0" w:color="auto"/>
              </w:divBdr>
            </w:div>
            <w:div w:id="1624530996">
              <w:marLeft w:val="0"/>
              <w:marRight w:val="0"/>
              <w:marTop w:val="0"/>
              <w:marBottom w:val="0"/>
              <w:divBdr>
                <w:top w:val="none" w:sz="0" w:space="0" w:color="auto"/>
                <w:left w:val="none" w:sz="0" w:space="0" w:color="auto"/>
                <w:bottom w:val="none" w:sz="0" w:space="0" w:color="auto"/>
                <w:right w:val="none" w:sz="0" w:space="0" w:color="auto"/>
              </w:divBdr>
            </w:div>
            <w:div w:id="1667592592">
              <w:marLeft w:val="0"/>
              <w:marRight w:val="0"/>
              <w:marTop w:val="0"/>
              <w:marBottom w:val="0"/>
              <w:divBdr>
                <w:top w:val="none" w:sz="0" w:space="0" w:color="auto"/>
                <w:left w:val="none" w:sz="0" w:space="0" w:color="auto"/>
                <w:bottom w:val="none" w:sz="0" w:space="0" w:color="auto"/>
                <w:right w:val="none" w:sz="0" w:space="0" w:color="auto"/>
              </w:divBdr>
            </w:div>
            <w:div w:id="1700428122">
              <w:marLeft w:val="0"/>
              <w:marRight w:val="0"/>
              <w:marTop w:val="0"/>
              <w:marBottom w:val="0"/>
              <w:divBdr>
                <w:top w:val="none" w:sz="0" w:space="0" w:color="auto"/>
                <w:left w:val="none" w:sz="0" w:space="0" w:color="auto"/>
                <w:bottom w:val="none" w:sz="0" w:space="0" w:color="auto"/>
                <w:right w:val="none" w:sz="0" w:space="0" w:color="auto"/>
              </w:divBdr>
            </w:div>
            <w:div w:id="1737507890">
              <w:marLeft w:val="0"/>
              <w:marRight w:val="0"/>
              <w:marTop w:val="0"/>
              <w:marBottom w:val="0"/>
              <w:divBdr>
                <w:top w:val="none" w:sz="0" w:space="0" w:color="auto"/>
                <w:left w:val="none" w:sz="0" w:space="0" w:color="auto"/>
                <w:bottom w:val="none" w:sz="0" w:space="0" w:color="auto"/>
                <w:right w:val="none" w:sz="0" w:space="0" w:color="auto"/>
              </w:divBdr>
            </w:div>
            <w:div w:id="1754819200">
              <w:marLeft w:val="0"/>
              <w:marRight w:val="0"/>
              <w:marTop w:val="0"/>
              <w:marBottom w:val="0"/>
              <w:divBdr>
                <w:top w:val="none" w:sz="0" w:space="0" w:color="auto"/>
                <w:left w:val="none" w:sz="0" w:space="0" w:color="auto"/>
                <w:bottom w:val="none" w:sz="0" w:space="0" w:color="auto"/>
                <w:right w:val="none" w:sz="0" w:space="0" w:color="auto"/>
              </w:divBdr>
            </w:div>
            <w:div w:id="1812092083">
              <w:marLeft w:val="0"/>
              <w:marRight w:val="0"/>
              <w:marTop w:val="0"/>
              <w:marBottom w:val="0"/>
              <w:divBdr>
                <w:top w:val="none" w:sz="0" w:space="0" w:color="auto"/>
                <w:left w:val="none" w:sz="0" w:space="0" w:color="auto"/>
                <w:bottom w:val="none" w:sz="0" w:space="0" w:color="auto"/>
                <w:right w:val="none" w:sz="0" w:space="0" w:color="auto"/>
              </w:divBdr>
            </w:div>
            <w:div w:id="1924799647">
              <w:marLeft w:val="0"/>
              <w:marRight w:val="0"/>
              <w:marTop w:val="0"/>
              <w:marBottom w:val="0"/>
              <w:divBdr>
                <w:top w:val="none" w:sz="0" w:space="0" w:color="auto"/>
                <w:left w:val="none" w:sz="0" w:space="0" w:color="auto"/>
                <w:bottom w:val="none" w:sz="0" w:space="0" w:color="auto"/>
                <w:right w:val="none" w:sz="0" w:space="0" w:color="auto"/>
              </w:divBdr>
            </w:div>
            <w:div w:id="1937663645">
              <w:marLeft w:val="0"/>
              <w:marRight w:val="0"/>
              <w:marTop w:val="0"/>
              <w:marBottom w:val="0"/>
              <w:divBdr>
                <w:top w:val="none" w:sz="0" w:space="0" w:color="auto"/>
                <w:left w:val="none" w:sz="0" w:space="0" w:color="auto"/>
                <w:bottom w:val="none" w:sz="0" w:space="0" w:color="auto"/>
                <w:right w:val="none" w:sz="0" w:space="0" w:color="auto"/>
              </w:divBdr>
            </w:div>
            <w:div w:id="1959071003">
              <w:marLeft w:val="0"/>
              <w:marRight w:val="0"/>
              <w:marTop w:val="0"/>
              <w:marBottom w:val="0"/>
              <w:divBdr>
                <w:top w:val="none" w:sz="0" w:space="0" w:color="auto"/>
                <w:left w:val="none" w:sz="0" w:space="0" w:color="auto"/>
                <w:bottom w:val="none" w:sz="0" w:space="0" w:color="auto"/>
                <w:right w:val="none" w:sz="0" w:space="0" w:color="auto"/>
              </w:divBdr>
            </w:div>
            <w:div w:id="1981838462">
              <w:marLeft w:val="0"/>
              <w:marRight w:val="0"/>
              <w:marTop w:val="0"/>
              <w:marBottom w:val="0"/>
              <w:divBdr>
                <w:top w:val="none" w:sz="0" w:space="0" w:color="auto"/>
                <w:left w:val="none" w:sz="0" w:space="0" w:color="auto"/>
                <w:bottom w:val="none" w:sz="0" w:space="0" w:color="auto"/>
                <w:right w:val="none" w:sz="0" w:space="0" w:color="auto"/>
              </w:divBdr>
            </w:div>
            <w:div w:id="1985155263">
              <w:marLeft w:val="0"/>
              <w:marRight w:val="0"/>
              <w:marTop w:val="0"/>
              <w:marBottom w:val="0"/>
              <w:divBdr>
                <w:top w:val="none" w:sz="0" w:space="0" w:color="auto"/>
                <w:left w:val="none" w:sz="0" w:space="0" w:color="auto"/>
                <w:bottom w:val="none" w:sz="0" w:space="0" w:color="auto"/>
                <w:right w:val="none" w:sz="0" w:space="0" w:color="auto"/>
              </w:divBdr>
            </w:div>
            <w:div w:id="2011175780">
              <w:marLeft w:val="0"/>
              <w:marRight w:val="0"/>
              <w:marTop w:val="0"/>
              <w:marBottom w:val="0"/>
              <w:divBdr>
                <w:top w:val="none" w:sz="0" w:space="0" w:color="auto"/>
                <w:left w:val="none" w:sz="0" w:space="0" w:color="auto"/>
                <w:bottom w:val="none" w:sz="0" w:space="0" w:color="auto"/>
                <w:right w:val="none" w:sz="0" w:space="0" w:color="auto"/>
              </w:divBdr>
            </w:div>
            <w:div w:id="2024815650">
              <w:marLeft w:val="0"/>
              <w:marRight w:val="0"/>
              <w:marTop w:val="0"/>
              <w:marBottom w:val="0"/>
              <w:divBdr>
                <w:top w:val="none" w:sz="0" w:space="0" w:color="auto"/>
                <w:left w:val="none" w:sz="0" w:space="0" w:color="auto"/>
                <w:bottom w:val="none" w:sz="0" w:space="0" w:color="auto"/>
                <w:right w:val="none" w:sz="0" w:space="0" w:color="auto"/>
              </w:divBdr>
            </w:div>
            <w:div w:id="20731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539">
      <w:bodyDiv w:val="1"/>
      <w:marLeft w:val="0"/>
      <w:marRight w:val="0"/>
      <w:marTop w:val="0"/>
      <w:marBottom w:val="0"/>
      <w:divBdr>
        <w:top w:val="none" w:sz="0" w:space="0" w:color="auto"/>
        <w:left w:val="none" w:sz="0" w:space="0" w:color="auto"/>
        <w:bottom w:val="none" w:sz="0" w:space="0" w:color="auto"/>
        <w:right w:val="none" w:sz="0" w:space="0" w:color="auto"/>
      </w:divBdr>
      <w:divsChild>
        <w:div w:id="1057703686">
          <w:marLeft w:val="0"/>
          <w:marRight w:val="0"/>
          <w:marTop w:val="0"/>
          <w:marBottom w:val="0"/>
          <w:divBdr>
            <w:top w:val="none" w:sz="0" w:space="0" w:color="auto"/>
            <w:left w:val="none" w:sz="0" w:space="0" w:color="auto"/>
            <w:bottom w:val="none" w:sz="0" w:space="0" w:color="auto"/>
            <w:right w:val="none" w:sz="0" w:space="0" w:color="auto"/>
          </w:divBdr>
        </w:div>
        <w:div w:id="1500540325">
          <w:marLeft w:val="0"/>
          <w:marRight w:val="0"/>
          <w:marTop w:val="0"/>
          <w:marBottom w:val="0"/>
          <w:divBdr>
            <w:top w:val="none" w:sz="0" w:space="0" w:color="auto"/>
            <w:left w:val="none" w:sz="0" w:space="0" w:color="auto"/>
            <w:bottom w:val="none" w:sz="0" w:space="0" w:color="auto"/>
            <w:right w:val="none" w:sz="0" w:space="0" w:color="auto"/>
          </w:divBdr>
        </w:div>
        <w:div w:id="2018997361">
          <w:marLeft w:val="0"/>
          <w:marRight w:val="0"/>
          <w:marTop w:val="0"/>
          <w:marBottom w:val="0"/>
          <w:divBdr>
            <w:top w:val="none" w:sz="0" w:space="0" w:color="auto"/>
            <w:left w:val="none" w:sz="0" w:space="0" w:color="auto"/>
            <w:bottom w:val="none" w:sz="0" w:space="0" w:color="auto"/>
            <w:right w:val="none" w:sz="0" w:space="0" w:color="auto"/>
          </w:divBdr>
        </w:div>
      </w:divsChild>
    </w:div>
    <w:div w:id="1216819321">
      <w:bodyDiv w:val="1"/>
      <w:marLeft w:val="0"/>
      <w:marRight w:val="0"/>
      <w:marTop w:val="0"/>
      <w:marBottom w:val="0"/>
      <w:divBdr>
        <w:top w:val="none" w:sz="0" w:space="0" w:color="auto"/>
        <w:left w:val="none" w:sz="0" w:space="0" w:color="auto"/>
        <w:bottom w:val="none" w:sz="0" w:space="0" w:color="auto"/>
        <w:right w:val="none" w:sz="0" w:space="0" w:color="auto"/>
      </w:divBdr>
    </w:div>
    <w:div w:id="1219631621">
      <w:bodyDiv w:val="1"/>
      <w:marLeft w:val="0"/>
      <w:marRight w:val="0"/>
      <w:marTop w:val="0"/>
      <w:marBottom w:val="0"/>
      <w:divBdr>
        <w:top w:val="none" w:sz="0" w:space="0" w:color="auto"/>
        <w:left w:val="none" w:sz="0" w:space="0" w:color="auto"/>
        <w:bottom w:val="none" w:sz="0" w:space="0" w:color="auto"/>
        <w:right w:val="none" w:sz="0" w:space="0" w:color="auto"/>
      </w:divBdr>
      <w:divsChild>
        <w:div w:id="2005474084">
          <w:marLeft w:val="0"/>
          <w:marRight w:val="0"/>
          <w:marTop w:val="0"/>
          <w:marBottom w:val="0"/>
          <w:divBdr>
            <w:top w:val="none" w:sz="0" w:space="0" w:color="auto"/>
            <w:left w:val="none" w:sz="0" w:space="0" w:color="auto"/>
            <w:bottom w:val="none" w:sz="0" w:space="0" w:color="auto"/>
            <w:right w:val="none" w:sz="0" w:space="0" w:color="auto"/>
          </w:divBdr>
          <w:divsChild>
            <w:div w:id="15084538">
              <w:marLeft w:val="0"/>
              <w:marRight w:val="0"/>
              <w:marTop w:val="0"/>
              <w:marBottom w:val="0"/>
              <w:divBdr>
                <w:top w:val="none" w:sz="0" w:space="0" w:color="auto"/>
                <w:left w:val="none" w:sz="0" w:space="0" w:color="auto"/>
                <w:bottom w:val="none" w:sz="0" w:space="0" w:color="auto"/>
                <w:right w:val="none" w:sz="0" w:space="0" w:color="auto"/>
              </w:divBdr>
            </w:div>
            <w:div w:id="672103473">
              <w:marLeft w:val="0"/>
              <w:marRight w:val="0"/>
              <w:marTop w:val="0"/>
              <w:marBottom w:val="0"/>
              <w:divBdr>
                <w:top w:val="none" w:sz="0" w:space="0" w:color="auto"/>
                <w:left w:val="none" w:sz="0" w:space="0" w:color="auto"/>
                <w:bottom w:val="none" w:sz="0" w:space="0" w:color="auto"/>
                <w:right w:val="none" w:sz="0" w:space="0" w:color="auto"/>
              </w:divBdr>
            </w:div>
            <w:div w:id="1567718208">
              <w:marLeft w:val="0"/>
              <w:marRight w:val="0"/>
              <w:marTop w:val="0"/>
              <w:marBottom w:val="0"/>
              <w:divBdr>
                <w:top w:val="none" w:sz="0" w:space="0" w:color="auto"/>
                <w:left w:val="none" w:sz="0" w:space="0" w:color="auto"/>
                <w:bottom w:val="none" w:sz="0" w:space="0" w:color="auto"/>
                <w:right w:val="none" w:sz="0" w:space="0" w:color="auto"/>
              </w:divBdr>
            </w:div>
            <w:div w:id="2110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1893">
      <w:bodyDiv w:val="1"/>
      <w:marLeft w:val="0"/>
      <w:marRight w:val="0"/>
      <w:marTop w:val="0"/>
      <w:marBottom w:val="0"/>
      <w:divBdr>
        <w:top w:val="none" w:sz="0" w:space="0" w:color="auto"/>
        <w:left w:val="none" w:sz="0" w:space="0" w:color="auto"/>
        <w:bottom w:val="none" w:sz="0" w:space="0" w:color="auto"/>
        <w:right w:val="none" w:sz="0" w:space="0" w:color="auto"/>
      </w:divBdr>
    </w:div>
    <w:div w:id="1239442384">
      <w:bodyDiv w:val="1"/>
      <w:marLeft w:val="0"/>
      <w:marRight w:val="0"/>
      <w:marTop w:val="0"/>
      <w:marBottom w:val="0"/>
      <w:divBdr>
        <w:top w:val="none" w:sz="0" w:space="0" w:color="auto"/>
        <w:left w:val="none" w:sz="0" w:space="0" w:color="auto"/>
        <w:bottom w:val="none" w:sz="0" w:space="0" w:color="auto"/>
        <w:right w:val="none" w:sz="0" w:space="0" w:color="auto"/>
      </w:divBdr>
      <w:divsChild>
        <w:div w:id="1085304305">
          <w:marLeft w:val="0"/>
          <w:marRight w:val="0"/>
          <w:marTop w:val="0"/>
          <w:marBottom w:val="0"/>
          <w:divBdr>
            <w:top w:val="none" w:sz="0" w:space="0" w:color="auto"/>
            <w:left w:val="none" w:sz="0" w:space="0" w:color="auto"/>
            <w:bottom w:val="none" w:sz="0" w:space="0" w:color="auto"/>
            <w:right w:val="none" w:sz="0" w:space="0" w:color="auto"/>
          </w:divBdr>
        </w:div>
        <w:div w:id="1518278292">
          <w:marLeft w:val="0"/>
          <w:marRight w:val="0"/>
          <w:marTop w:val="0"/>
          <w:marBottom w:val="0"/>
          <w:divBdr>
            <w:top w:val="none" w:sz="0" w:space="0" w:color="auto"/>
            <w:left w:val="none" w:sz="0" w:space="0" w:color="auto"/>
            <w:bottom w:val="none" w:sz="0" w:space="0" w:color="auto"/>
            <w:right w:val="none" w:sz="0" w:space="0" w:color="auto"/>
          </w:divBdr>
        </w:div>
      </w:divsChild>
    </w:div>
    <w:div w:id="1247961589">
      <w:bodyDiv w:val="1"/>
      <w:marLeft w:val="0"/>
      <w:marRight w:val="0"/>
      <w:marTop w:val="0"/>
      <w:marBottom w:val="0"/>
      <w:divBdr>
        <w:top w:val="none" w:sz="0" w:space="0" w:color="auto"/>
        <w:left w:val="none" w:sz="0" w:space="0" w:color="auto"/>
        <w:bottom w:val="none" w:sz="0" w:space="0" w:color="auto"/>
        <w:right w:val="none" w:sz="0" w:space="0" w:color="auto"/>
      </w:divBdr>
    </w:div>
    <w:div w:id="1256285660">
      <w:bodyDiv w:val="1"/>
      <w:marLeft w:val="0"/>
      <w:marRight w:val="0"/>
      <w:marTop w:val="0"/>
      <w:marBottom w:val="0"/>
      <w:divBdr>
        <w:top w:val="none" w:sz="0" w:space="0" w:color="auto"/>
        <w:left w:val="none" w:sz="0" w:space="0" w:color="auto"/>
        <w:bottom w:val="none" w:sz="0" w:space="0" w:color="auto"/>
        <w:right w:val="none" w:sz="0" w:space="0" w:color="auto"/>
      </w:divBdr>
    </w:div>
    <w:div w:id="1257247547">
      <w:bodyDiv w:val="1"/>
      <w:marLeft w:val="0"/>
      <w:marRight w:val="0"/>
      <w:marTop w:val="0"/>
      <w:marBottom w:val="0"/>
      <w:divBdr>
        <w:top w:val="none" w:sz="0" w:space="0" w:color="auto"/>
        <w:left w:val="none" w:sz="0" w:space="0" w:color="auto"/>
        <w:bottom w:val="none" w:sz="0" w:space="0" w:color="auto"/>
        <w:right w:val="none" w:sz="0" w:space="0" w:color="auto"/>
      </w:divBdr>
      <w:divsChild>
        <w:div w:id="325668261">
          <w:marLeft w:val="0"/>
          <w:marRight w:val="0"/>
          <w:marTop w:val="0"/>
          <w:marBottom w:val="0"/>
          <w:divBdr>
            <w:top w:val="none" w:sz="0" w:space="0" w:color="auto"/>
            <w:left w:val="none" w:sz="0" w:space="0" w:color="auto"/>
            <w:bottom w:val="none" w:sz="0" w:space="0" w:color="auto"/>
            <w:right w:val="none" w:sz="0" w:space="0" w:color="auto"/>
          </w:divBdr>
        </w:div>
        <w:div w:id="1573926928">
          <w:marLeft w:val="0"/>
          <w:marRight w:val="0"/>
          <w:marTop w:val="0"/>
          <w:marBottom w:val="0"/>
          <w:divBdr>
            <w:top w:val="none" w:sz="0" w:space="0" w:color="auto"/>
            <w:left w:val="none" w:sz="0" w:space="0" w:color="auto"/>
            <w:bottom w:val="none" w:sz="0" w:space="0" w:color="auto"/>
            <w:right w:val="none" w:sz="0" w:space="0" w:color="auto"/>
          </w:divBdr>
        </w:div>
      </w:divsChild>
    </w:div>
    <w:div w:id="1283263443">
      <w:bodyDiv w:val="1"/>
      <w:marLeft w:val="0"/>
      <w:marRight w:val="0"/>
      <w:marTop w:val="0"/>
      <w:marBottom w:val="0"/>
      <w:divBdr>
        <w:top w:val="none" w:sz="0" w:space="0" w:color="auto"/>
        <w:left w:val="none" w:sz="0" w:space="0" w:color="auto"/>
        <w:bottom w:val="none" w:sz="0" w:space="0" w:color="auto"/>
        <w:right w:val="none" w:sz="0" w:space="0" w:color="auto"/>
      </w:divBdr>
      <w:divsChild>
        <w:div w:id="1388871100">
          <w:marLeft w:val="0"/>
          <w:marRight w:val="0"/>
          <w:marTop w:val="0"/>
          <w:marBottom w:val="0"/>
          <w:divBdr>
            <w:top w:val="none" w:sz="0" w:space="0" w:color="auto"/>
            <w:left w:val="none" w:sz="0" w:space="0" w:color="auto"/>
            <w:bottom w:val="none" w:sz="0" w:space="0" w:color="auto"/>
            <w:right w:val="none" w:sz="0" w:space="0" w:color="auto"/>
          </w:divBdr>
          <w:divsChild>
            <w:div w:id="41408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2940">
      <w:bodyDiv w:val="1"/>
      <w:marLeft w:val="0"/>
      <w:marRight w:val="0"/>
      <w:marTop w:val="0"/>
      <w:marBottom w:val="0"/>
      <w:divBdr>
        <w:top w:val="none" w:sz="0" w:space="0" w:color="auto"/>
        <w:left w:val="none" w:sz="0" w:space="0" w:color="auto"/>
        <w:bottom w:val="none" w:sz="0" w:space="0" w:color="auto"/>
        <w:right w:val="none" w:sz="0" w:space="0" w:color="auto"/>
      </w:divBdr>
      <w:divsChild>
        <w:div w:id="826088662">
          <w:marLeft w:val="0"/>
          <w:marRight w:val="0"/>
          <w:marTop w:val="0"/>
          <w:marBottom w:val="0"/>
          <w:divBdr>
            <w:top w:val="none" w:sz="0" w:space="0" w:color="auto"/>
            <w:left w:val="none" w:sz="0" w:space="0" w:color="auto"/>
            <w:bottom w:val="none" w:sz="0" w:space="0" w:color="auto"/>
            <w:right w:val="none" w:sz="0" w:space="0" w:color="auto"/>
          </w:divBdr>
        </w:div>
        <w:div w:id="1117918231">
          <w:marLeft w:val="0"/>
          <w:marRight w:val="0"/>
          <w:marTop w:val="0"/>
          <w:marBottom w:val="0"/>
          <w:divBdr>
            <w:top w:val="none" w:sz="0" w:space="0" w:color="auto"/>
            <w:left w:val="none" w:sz="0" w:space="0" w:color="auto"/>
            <w:bottom w:val="none" w:sz="0" w:space="0" w:color="auto"/>
            <w:right w:val="none" w:sz="0" w:space="0" w:color="auto"/>
          </w:divBdr>
        </w:div>
      </w:divsChild>
    </w:div>
    <w:div w:id="1298995266">
      <w:bodyDiv w:val="1"/>
      <w:marLeft w:val="0"/>
      <w:marRight w:val="0"/>
      <w:marTop w:val="0"/>
      <w:marBottom w:val="0"/>
      <w:divBdr>
        <w:top w:val="none" w:sz="0" w:space="0" w:color="auto"/>
        <w:left w:val="none" w:sz="0" w:space="0" w:color="auto"/>
        <w:bottom w:val="none" w:sz="0" w:space="0" w:color="auto"/>
        <w:right w:val="none" w:sz="0" w:space="0" w:color="auto"/>
      </w:divBdr>
      <w:divsChild>
        <w:div w:id="2004894013">
          <w:marLeft w:val="0"/>
          <w:marRight w:val="0"/>
          <w:marTop w:val="0"/>
          <w:marBottom w:val="0"/>
          <w:divBdr>
            <w:top w:val="none" w:sz="0" w:space="0" w:color="auto"/>
            <w:left w:val="none" w:sz="0" w:space="0" w:color="auto"/>
            <w:bottom w:val="none" w:sz="0" w:space="0" w:color="auto"/>
            <w:right w:val="none" w:sz="0" w:space="0" w:color="auto"/>
          </w:divBdr>
          <w:divsChild>
            <w:div w:id="269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45836">
      <w:bodyDiv w:val="1"/>
      <w:marLeft w:val="0"/>
      <w:marRight w:val="0"/>
      <w:marTop w:val="0"/>
      <w:marBottom w:val="0"/>
      <w:divBdr>
        <w:top w:val="none" w:sz="0" w:space="0" w:color="auto"/>
        <w:left w:val="none" w:sz="0" w:space="0" w:color="auto"/>
        <w:bottom w:val="none" w:sz="0" w:space="0" w:color="auto"/>
        <w:right w:val="none" w:sz="0" w:space="0" w:color="auto"/>
      </w:divBdr>
    </w:div>
    <w:div w:id="1303266051">
      <w:bodyDiv w:val="1"/>
      <w:marLeft w:val="0"/>
      <w:marRight w:val="0"/>
      <w:marTop w:val="0"/>
      <w:marBottom w:val="0"/>
      <w:divBdr>
        <w:top w:val="none" w:sz="0" w:space="0" w:color="auto"/>
        <w:left w:val="none" w:sz="0" w:space="0" w:color="auto"/>
        <w:bottom w:val="none" w:sz="0" w:space="0" w:color="auto"/>
        <w:right w:val="none" w:sz="0" w:space="0" w:color="auto"/>
      </w:divBdr>
      <w:divsChild>
        <w:div w:id="904533265">
          <w:marLeft w:val="0"/>
          <w:marRight w:val="0"/>
          <w:marTop w:val="0"/>
          <w:marBottom w:val="0"/>
          <w:divBdr>
            <w:top w:val="none" w:sz="0" w:space="0" w:color="auto"/>
            <w:left w:val="none" w:sz="0" w:space="0" w:color="auto"/>
            <w:bottom w:val="none" w:sz="0" w:space="0" w:color="auto"/>
            <w:right w:val="none" w:sz="0" w:space="0" w:color="auto"/>
          </w:divBdr>
          <w:divsChild>
            <w:div w:id="8390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42062">
      <w:bodyDiv w:val="1"/>
      <w:marLeft w:val="0"/>
      <w:marRight w:val="0"/>
      <w:marTop w:val="0"/>
      <w:marBottom w:val="0"/>
      <w:divBdr>
        <w:top w:val="none" w:sz="0" w:space="0" w:color="auto"/>
        <w:left w:val="none" w:sz="0" w:space="0" w:color="auto"/>
        <w:bottom w:val="none" w:sz="0" w:space="0" w:color="auto"/>
        <w:right w:val="none" w:sz="0" w:space="0" w:color="auto"/>
      </w:divBdr>
      <w:divsChild>
        <w:div w:id="181942230">
          <w:marLeft w:val="0"/>
          <w:marRight w:val="0"/>
          <w:marTop w:val="0"/>
          <w:marBottom w:val="0"/>
          <w:divBdr>
            <w:top w:val="none" w:sz="0" w:space="0" w:color="auto"/>
            <w:left w:val="none" w:sz="0" w:space="0" w:color="auto"/>
            <w:bottom w:val="none" w:sz="0" w:space="0" w:color="auto"/>
            <w:right w:val="none" w:sz="0" w:space="0" w:color="auto"/>
          </w:divBdr>
        </w:div>
        <w:div w:id="316693506">
          <w:marLeft w:val="0"/>
          <w:marRight w:val="0"/>
          <w:marTop w:val="0"/>
          <w:marBottom w:val="0"/>
          <w:divBdr>
            <w:top w:val="none" w:sz="0" w:space="0" w:color="auto"/>
            <w:left w:val="none" w:sz="0" w:space="0" w:color="auto"/>
            <w:bottom w:val="none" w:sz="0" w:space="0" w:color="auto"/>
            <w:right w:val="none" w:sz="0" w:space="0" w:color="auto"/>
          </w:divBdr>
        </w:div>
        <w:div w:id="563371735">
          <w:marLeft w:val="0"/>
          <w:marRight w:val="0"/>
          <w:marTop w:val="0"/>
          <w:marBottom w:val="0"/>
          <w:divBdr>
            <w:top w:val="none" w:sz="0" w:space="0" w:color="auto"/>
            <w:left w:val="none" w:sz="0" w:space="0" w:color="auto"/>
            <w:bottom w:val="none" w:sz="0" w:space="0" w:color="auto"/>
            <w:right w:val="none" w:sz="0" w:space="0" w:color="auto"/>
          </w:divBdr>
        </w:div>
      </w:divsChild>
    </w:div>
    <w:div w:id="1331789759">
      <w:bodyDiv w:val="1"/>
      <w:marLeft w:val="0"/>
      <w:marRight w:val="0"/>
      <w:marTop w:val="0"/>
      <w:marBottom w:val="0"/>
      <w:divBdr>
        <w:top w:val="none" w:sz="0" w:space="0" w:color="auto"/>
        <w:left w:val="none" w:sz="0" w:space="0" w:color="auto"/>
        <w:bottom w:val="none" w:sz="0" w:space="0" w:color="auto"/>
        <w:right w:val="none" w:sz="0" w:space="0" w:color="auto"/>
      </w:divBdr>
      <w:divsChild>
        <w:div w:id="236789138">
          <w:marLeft w:val="0"/>
          <w:marRight w:val="0"/>
          <w:marTop w:val="0"/>
          <w:marBottom w:val="0"/>
          <w:divBdr>
            <w:top w:val="none" w:sz="0" w:space="0" w:color="auto"/>
            <w:left w:val="none" w:sz="0" w:space="0" w:color="auto"/>
            <w:bottom w:val="none" w:sz="0" w:space="0" w:color="auto"/>
            <w:right w:val="none" w:sz="0" w:space="0" w:color="auto"/>
          </w:divBdr>
        </w:div>
        <w:div w:id="786778017">
          <w:marLeft w:val="0"/>
          <w:marRight w:val="0"/>
          <w:marTop w:val="0"/>
          <w:marBottom w:val="0"/>
          <w:divBdr>
            <w:top w:val="none" w:sz="0" w:space="0" w:color="auto"/>
            <w:left w:val="none" w:sz="0" w:space="0" w:color="auto"/>
            <w:bottom w:val="none" w:sz="0" w:space="0" w:color="auto"/>
            <w:right w:val="none" w:sz="0" w:space="0" w:color="auto"/>
          </w:divBdr>
        </w:div>
        <w:div w:id="1836334066">
          <w:marLeft w:val="0"/>
          <w:marRight w:val="0"/>
          <w:marTop w:val="0"/>
          <w:marBottom w:val="0"/>
          <w:divBdr>
            <w:top w:val="none" w:sz="0" w:space="0" w:color="auto"/>
            <w:left w:val="none" w:sz="0" w:space="0" w:color="auto"/>
            <w:bottom w:val="none" w:sz="0" w:space="0" w:color="auto"/>
            <w:right w:val="none" w:sz="0" w:space="0" w:color="auto"/>
          </w:divBdr>
        </w:div>
      </w:divsChild>
    </w:div>
    <w:div w:id="1357928925">
      <w:bodyDiv w:val="1"/>
      <w:marLeft w:val="0"/>
      <w:marRight w:val="0"/>
      <w:marTop w:val="0"/>
      <w:marBottom w:val="0"/>
      <w:divBdr>
        <w:top w:val="none" w:sz="0" w:space="0" w:color="auto"/>
        <w:left w:val="none" w:sz="0" w:space="0" w:color="auto"/>
        <w:bottom w:val="none" w:sz="0" w:space="0" w:color="auto"/>
        <w:right w:val="none" w:sz="0" w:space="0" w:color="auto"/>
      </w:divBdr>
      <w:divsChild>
        <w:div w:id="208762882">
          <w:marLeft w:val="0"/>
          <w:marRight w:val="0"/>
          <w:marTop w:val="0"/>
          <w:marBottom w:val="0"/>
          <w:divBdr>
            <w:top w:val="none" w:sz="0" w:space="0" w:color="auto"/>
            <w:left w:val="none" w:sz="0" w:space="0" w:color="auto"/>
            <w:bottom w:val="none" w:sz="0" w:space="0" w:color="auto"/>
            <w:right w:val="none" w:sz="0" w:space="0" w:color="auto"/>
          </w:divBdr>
        </w:div>
        <w:div w:id="630284237">
          <w:marLeft w:val="0"/>
          <w:marRight w:val="0"/>
          <w:marTop w:val="0"/>
          <w:marBottom w:val="0"/>
          <w:divBdr>
            <w:top w:val="none" w:sz="0" w:space="0" w:color="auto"/>
            <w:left w:val="none" w:sz="0" w:space="0" w:color="auto"/>
            <w:bottom w:val="none" w:sz="0" w:space="0" w:color="auto"/>
            <w:right w:val="none" w:sz="0" w:space="0" w:color="auto"/>
          </w:divBdr>
          <w:divsChild>
            <w:div w:id="94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6174">
      <w:bodyDiv w:val="1"/>
      <w:marLeft w:val="0"/>
      <w:marRight w:val="0"/>
      <w:marTop w:val="0"/>
      <w:marBottom w:val="0"/>
      <w:divBdr>
        <w:top w:val="none" w:sz="0" w:space="0" w:color="auto"/>
        <w:left w:val="none" w:sz="0" w:space="0" w:color="auto"/>
        <w:bottom w:val="none" w:sz="0" w:space="0" w:color="auto"/>
        <w:right w:val="none" w:sz="0" w:space="0" w:color="auto"/>
      </w:divBdr>
    </w:div>
    <w:div w:id="1364398508">
      <w:bodyDiv w:val="1"/>
      <w:marLeft w:val="0"/>
      <w:marRight w:val="0"/>
      <w:marTop w:val="0"/>
      <w:marBottom w:val="0"/>
      <w:divBdr>
        <w:top w:val="none" w:sz="0" w:space="0" w:color="auto"/>
        <w:left w:val="none" w:sz="0" w:space="0" w:color="auto"/>
        <w:bottom w:val="none" w:sz="0" w:space="0" w:color="auto"/>
        <w:right w:val="none" w:sz="0" w:space="0" w:color="auto"/>
      </w:divBdr>
      <w:divsChild>
        <w:div w:id="328993946">
          <w:marLeft w:val="0"/>
          <w:marRight w:val="0"/>
          <w:marTop w:val="0"/>
          <w:marBottom w:val="0"/>
          <w:divBdr>
            <w:top w:val="none" w:sz="0" w:space="0" w:color="auto"/>
            <w:left w:val="none" w:sz="0" w:space="0" w:color="auto"/>
            <w:bottom w:val="none" w:sz="0" w:space="0" w:color="auto"/>
            <w:right w:val="none" w:sz="0" w:space="0" w:color="auto"/>
          </w:divBdr>
        </w:div>
        <w:div w:id="1676151209">
          <w:marLeft w:val="0"/>
          <w:marRight w:val="0"/>
          <w:marTop w:val="0"/>
          <w:marBottom w:val="0"/>
          <w:divBdr>
            <w:top w:val="none" w:sz="0" w:space="0" w:color="auto"/>
            <w:left w:val="none" w:sz="0" w:space="0" w:color="auto"/>
            <w:bottom w:val="none" w:sz="0" w:space="0" w:color="auto"/>
            <w:right w:val="none" w:sz="0" w:space="0" w:color="auto"/>
          </w:divBdr>
        </w:div>
        <w:div w:id="1835294089">
          <w:marLeft w:val="0"/>
          <w:marRight w:val="0"/>
          <w:marTop w:val="0"/>
          <w:marBottom w:val="0"/>
          <w:divBdr>
            <w:top w:val="none" w:sz="0" w:space="0" w:color="auto"/>
            <w:left w:val="none" w:sz="0" w:space="0" w:color="auto"/>
            <w:bottom w:val="none" w:sz="0" w:space="0" w:color="auto"/>
            <w:right w:val="none" w:sz="0" w:space="0" w:color="auto"/>
          </w:divBdr>
        </w:div>
        <w:div w:id="1907496727">
          <w:marLeft w:val="0"/>
          <w:marRight w:val="0"/>
          <w:marTop w:val="0"/>
          <w:marBottom w:val="0"/>
          <w:divBdr>
            <w:top w:val="none" w:sz="0" w:space="0" w:color="auto"/>
            <w:left w:val="none" w:sz="0" w:space="0" w:color="auto"/>
            <w:bottom w:val="none" w:sz="0" w:space="0" w:color="auto"/>
            <w:right w:val="none" w:sz="0" w:space="0" w:color="auto"/>
          </w:divBdr>
        </w:div>
      </w:divsChild>
    </w:div>
    <w:div w:id="1365446028">
      <w:bodyDiv w:val="1"/>
      <w:marLeft w:val="0"/>
      <w:marRight w:val="0"/>
      <w:marTop w:val="0"/>
      <w:marBottom w:val="0"/>
      <w:divBdr>
        <w:top w:val="none" w:sz="0" w:space="0" w:color="auto"/>
        <w:left w:val="none" w:sz="0" w:space="0" w:color="auto"/>
        <w:bottom w:val="none" w:sz="0" w:space="0" w:color="auto"/>
        <w:right w:val="none" w:sz="0" w:space="0" w:color="auto"/>
      </w:divBdr>
    </w:div>
    <w:div w:id="1378429114">
      <w:bodyDiv w:val="1"/>
      <w:marLeft w:val="0"/>
      <w:marRight w:val="0"/>
      <w:marTop w:val="0"/>
      <w:marBottom w:val="0"/>
      <w:divBdr>
        <w:top w:val="none" w:sz="0" w:space="0" w:color="auto"/>
        <w:left w:val="none" w:sz="0" w:space="0" w:color="auto"/>
        <w:bottom w:val="none" w:sz="0" w:space="0" w:color="auto"/>
        <w:right w:val="none" w:sz="0" w:space="0" w:color="auto"/>
      </w:divBdr>
    </w:div>
    <w:div w:id="1380521102">
      <w:bodyDiv w:val="1"/>
      <w:marLeft w:val="0"/>
      <w:marRight w:val="0"/>
      <w:marTop w:val="0"/>
      <w:marBottom w:val="0"/>
      <w:divBdr>
        <w:top w:val="none" w:sz="0" w:space="0" w:color="auto"/>
        <w:left w:val="none" w:sz="0" w:space="0" w:color="auto"/>
        <w:bottom w:val="none" w:sz="0" w:space="0" w:color="auto"/>
        <w:right w:val="none" w:sz="0" w:space="0" w:color="auto"/>
      </w:divBdr>
      <w:divsChild>
        <w:div w:id="406001041">
          <w:marLeft w:val="0"/>
          <w:marRight w:val="0"/>
          <w:marTop w:val="0"/>
          <w:marBottom w:val="0"/>
          <w:divBdr>
            <w:top w:val="none" w:sz="0" w:space="0" w:color="auto"/>
            <w:left w:val="none" w:sz="0" w:space="0" w:color="auto"/>
            <w:bottom w:val="none" w:sz="0" w:space="0" w:color="auto"/>
            <w:right w:val="none" w:sz="0" w:space="0" w:color="auto"/>
          </w:divBdr>
        </w:div>
        <w:div w:id="1544977679">
          <w:marLeft w:val="0"/>
          <w:marRight w:val="0"/>
          <w:marTop w:val="0"/>
          <w:marBottom w:val="0"/>
          <w:divBdr>
            <w:top w:val="none" w:sz="0" w:space="0" w:color="auto"/>
            <w:left w:val="none" w:sz="0" w:space="0" w:color="auto"/>
            <w:bottom w:val="none" w:sz="0" w:space="0" w:color="auto"/>
            <w:right w:val="none" w:sz="0" w:space="0" w:color="auto"/>
          </w:divBdr>
        </w:div>
        <w:div w:id="1664819795">
          <w:marLeft w:val="0"/>
          <w:marRight w:val="0"/>
          <w:marTop w:val="0"/>
          <w:marBottom w:val="0"/>
          <w:divBdr>
            <w:top w:val="none" w:sz="0" w:space="0" w:color="auto"/>
            <w:left w:val="none" w:sz="0" w:space="0" w:color="auto"/>
            <w:bottom w:val="none" w:sz="0" w:space="0" w:color="auto"/>
            <w:right w:val="none" w:sz="0" w:space="0" w:color="auto"/>
          </w:divBdr>
        </w:div>
        <w:div w:id="1764304688">
          <w:marLeft w:val="0"/>
          <w:marRight w:val="0"/>
          <w:marTop w:val="0"/>
          <w:marBottom w:val="0"/>
          <w:divBdr>
            <w:top w:val="none" w:sz="0" w:space="0" w:color="auto"/>
            <w:left w:val="none" w:sz="0" w:space="0" w:color="auto"/>
            <w:bottom w:val="none" w:sz="0" w:space="0" w:color="auto"/>
            <w:right w:val="none" w:sz="0" w:space="0" w:color="auto"/>
          </w:divBdr>
        </w:div>
        <w:div w:id="2052487374">
          <w:marLeft w:val="0"/>
          <w:marRight w:val="0"/>
          <w:marTop w:val="0"/>
          <w:marBottom w:val="0"/>
          <w:divBdr>
            <w:top w:val="none" w:sz="0" w:space="0" w:color="auto"/>
            <w:left w:val="none" w:sz="0" w:space="0" w:color="auto"/>
            <w:bottom w:val="none" w:sz="0" w:space="0" w:color="auto"/>
            <w:right w:val="none" w:sz="0" w:space="0" w:color="auto"/>
          </w:divBdr>
        </w:div>
      </w:divsChild>
    </w:div>
    <w:div w:id="1383599180">
      <w:bodyDiv w:val="1"/>
      <w:marLeft w:val="0"/>
      <w:marRight w:val="0"/>
      <w:marTop w:val="0"/>
      <w:marBottom w:val="0"/>
      <w:divBdr>
        <w:top w:val="none" w:sz="0" w:space="0" w:color="auto"/>
        <w:left w:val="none" w:sz="0" w:space="0" w:color="auto"/>
        <w:bottom w:val="none" w:sz="0" w:space="0" w:color="auto"/>
        <w:right w:val="none" w:sz="0" w:space="0" w:color="auto"/>
      </w:divBdr>
      <w:divsChild>
        <w:div w:id="429785394">
          <w:marLeft w:val="0"/>
          <w:marRight w:val="0"/>
          <w:marTop w:val="0"/>
          <w:marBottom w:val="0"/>
          <w:divBdr>
            <w:top w:val="none" w:sz="0" w:space="0" w:color="auto"/>
            <w:left w:val="none" w:sz="0" w:space="0" w:color="auto"/>
            <w:bottom w:val="none" w:sz="0" w:space="0" w:color="auto"/>
            <w:right w:val="none" w:sz="0" w:space="0" w:color="auto"/>
          </w:divBdr>
        </w:div>
        <w:div w:id="1012755542">
          <w:marLeft w:val="0"/>
          <w:marRight w:val="0"/>
          <w:marTop w:val="0"/>
          <w:marBottom w:val="0"/>
          <w:divBdr>
            <w:top w:val="none" w:sz="0" w:space="0" w:color="auto"/>
            <w:left w:val="none" w:sz="0" w:space="0" w:color="auto"/>
            <w:bottom w:val="none" w:sz="0" w:space="0" w:color="auto"/>
            <w:right w:val="none" w:sz="0" w:space="0" w:color="auto"/>
          </w:divBdr>
        </w:div>
        <w:div w:id="1190096844">
          <w:marLeft w:val="0"/>
          <w:marRight w:val="0"/>
          <w:marTop w:val="0"/>
          <w:marBottom w:val="0"/>
          <w:divBdr>
            <w:top w:val="none" w:sz="0" w:space="0" w:color="auto"/>
            <w:left w:val="none" w:sz="0" w:space="0" w:color="auto"/>
            <w:bottom w:val="none" w:sz="0" w:space="0" w:color="auto"/>
            <w:right w:val="none" w:sz="0" w:space="0" w:color="auto"/>
          </w:divBdr>
        </w:div>
        <w:div w:id="1392459055">
          <w:marLeft w:val="0"/>
          <w:marRight w:val="0"/>
          <w:marTop w:val="0"/>
          <w:marBottom w:val="0"/>
          <w:divBdr>
            <w:top w:val="none" w:sz="0" w:space="0" w:color="auto"/>
            <w:left w:val="none" w:sz="0" w:space="0" w:color="auto"/>
            <w:bottom w:val="none" w:sz="0" w:space="0" w:color="auto"/>
            <w:right w:val="none" w:sz="0" w:space="0" w:color="auto"/>
          </w:divBdr>
        </w:div>
      </w:divsChild>
    </w:div>
    <w:div w:id="1387298577">
      <w:bodyDiv w:val="1"/>
      <w:marLeft w:val="0"/>
      <w:marRight w:val="0"/>
      <w:marTop w:val="0"/>
      <w:marBottom w:val="0"/>
      <w:divBdr>
        <w:top w:val="none" w:sz="0" w:space="0" w:color="auto"/>
        <w:left w:val="none" w:sz="0" w:space="0" w:color="auto"/>
        <w:bottom w:val="none" w:sz="0" w:space="0" w:color="auto"/>
        <w:right w:val="none" w:sz="0" w:space="0" w:color="auto"/>
      </w:divBdr>
      <w:divsChild>
        <w:div w:id="97332976">
          <w:marLeft w:val="0"/>
          <w:marRight w:val="0"/>
          <w:marTop w:val="0"/>
          <w:marBottom w:val="0"/>
          <w:divBdr>
            <w:top w:val="none" w:sz="0" w:space="0" w:color="auto"/>
            <w:left w:val="none" w:sz="0" w:space="0" w:color="auto"/>
            <w:bottom w:val="none" w:sz="0" w:space="0" w:color="auto"/>
            <w:right w:val="none" w:sz="0" w:space="0" w:color="auto"/>
          </w:divBdr>
        </w:div>
        <w:div w:id="728961142">
          <w:marLeft w:val="0"/>
          <w:marRight w:val="0"/>
          <w:marTop w:val="0"/>
          <w:marBottom w:val="0"/>
          <w:divBdr>
            <w:top w:val="none" w:sz="0" w:space="0" w:color="auto"/>
            <w:left w:val="none" w:sz="0" w:space="0" w:color="auto"/>
            <w:bottom w:val="none" w:sz="0" w:space="0" w:color="auto"/>
            <w:right w:val="none" w:sz="0" w:space="0" w:color="auto"/>
          </w:divBdr>
        </w:div>
        <w:div w:id="1238172083">
          <w:marLeft w:val="0"/>
          <w:marRight w:val="0"/>
          <w:marTop w:val="0"/>
          <w:marBottom w:val="0"/>
          <w:divBdr>
            <w:top w:val="none" w:sz="0" w:space="0" w:color="auto"/>
            <w:left w:val="none" w:sz="0" w:space="0" w:color="auto"/>
            <w:bottom w:val="none" w:sz="0" w:space="0" w:color="auto"/>
            <w:right w:val="none" w:sz="0" w:space="0" w:color="auto"/>
          </w:divBdr>
        </w:div>
        <w:div w:id="1308822148">
          <w:marLeft w:val="0"/>
          <w:marRight w:val="0"/>
          <w:marTop w:val="0"/>
          <w:marBottom w:val="0"/>
          <w:divBdr>
            <w:top w:val="none" w:sz="0" w:space="0" w:color="auto"/>
            <w:left w:val="none" w:sz="0" w:space="0" w:color="auto"/>
            <w:bottom w:val="none" w:sz="0" w:space="0" w:color="auto"/>
            <w:right w:val="none" w:sz="0" w:space="0" w:color="auto"/>
          </w:divBdr>
        </w:div>
        <w:div w:id="1508056740">
          <w:marLeft w:val="0"/>
          <w:marRight w:val="0"/>
          <w:marTop w:val="0"/>
          <w:marBottom w:val="0"/>
          <w:divBdr>
            <w:top w:val="none" w:sz="0" w:space="0" w:color="auto"/>
            <w:left w:val="none" w:sz="0" w:space="0" w:color="auto"/>
            <w:bottom w:val="none" w:sz="0" w:space="0" w:color="auto"/>
            <w:right w:val="none" w:sz="0" w:space="0" w:color="auto"/>
          </w:divBdr>
        </w:div>
        <w:div w:id="2075542545">
          <w:marLeft w:val="0"/>
          <w:marRight w:val="0"/>
          <w:marTop w:val="0"/>
          <w:marBottom w:val="0"/>
          <w:divBdr>
            <w:top w:val="none" w:sz="0" w:space="0" w:color="auto"/>
            <w:left w:val="none" w:sz="0" w:space="0" w:color="auto"/>
            <w:bottom w:val="none" w:sz="0" w:space="0" w:color="auto"/>
            <w:right w:val="none" w:sz="0" w:space="0" w:color="auto"/>
          </w:divBdr>
        </w:div>
        <w:div w:id="2130970013">
          <w:marLeft w:val="0"/>
          <w:marRight w:val="0"/>
          <w:marTop w:val="0"/>
          <w:marBottom w:val="0"/>
          <w:divBdr>
            <w:top w:val="none" w:sz="0" w:space="0" w:color="auto"/>
            <w:left w:val="none" w:sz="0" w:space="0" w:color="auto"/>
            <w:bottom w:val="none" w:sz="0" w:space="0" w:color="auto"/>
            <w:right w:val="none" w:sz="0" w:space="0" w:color="auto"/>
          </w:divBdr>
        </w:div>
      </w:divsChild>
    </w:div>
    <w:div w:id="1388605438">
      <w:bodyDiv w:val="1"/>
      <w:marLeft w:val="0"/>
      <w:marRight w:val="0"/>
      <w:marTop w:val="0"/>
      <w:marBottom w:val="0"/>
      <w:divBdr>
        <w:top w:val="none" w:sz="0" w:space="0" w:color="auto"/>
        <w:left w:val="none" w:sz="0" w:space="0" w:color="auto"/>
        <w:bottom w:val="none" w:sz="0" w:space="0" w:color="auto"/>
        <w:right w:val="none" w:sz="0" w:space="0" w:color="auto"/>
      </w:divBdr>
      <w:divsChild>
        <w:div w:id="316954678">
          <w:marLeft w:val="0"/>
          <w:marRight w:val="0"/>
          <w:marTop w:val="0"/>
          <w:marBottom w:val="0"/>
          <w:divBdr>
            <w:top w:val="none" w:sz="0" w:space="0" w:color="auto"/>
            <w:left w:val="none" w:sz="0" w:space="0" w:color="auto"/>
            <w:bottom w:val="none" w:sz="0" w:space="0" w:color="auto"/>
            <w:right w:val="none" w:sz="0" w:space="0" w:color="auto"/>
          </w:divBdr>
        </w:div>
        <w:div w:id="549149556">
          <w:marLeft w:val="0"/>
          <w:marRight w:val="0"/>
          <w:marTop w:val="0"/>
          <w:marBottom w:val="0"/>
          <w:divBdr>
            <w:top w:val="none" w:sz="0" w:space="0" w:color="auto"/>
            <w:left w:val="none" w:sz="0" w:space="0" w:color="auto"/>
            <w:bottom w:val="none" w:sz="0" w:space="0" w:color="auto"/>
            <w:right w:val="none" w:sz="0" w:space="0" w:color="auto"/>
          </w:divBdr>
        </w:div>
        <w:div w:id="735785576">
          <w:marLeft w:val="0"/>
          <w:marRight w:val="0"/>
          <w:marTop w:val="0"/>
          <w:marBottom w:val="0"/>
          <w:divBdr>
            <w:top w:val="none" w:sz="0" w:space="0" w:color="auto"/>
            <w:left w:val="none" w:sz="0" w:space="0" w:color="auto"/>
            <w:bottom w:val="none" w:sz="0" w:space="0" w:color="auto"/>
            <w:right w:val="none" w:sz="0" w:space="0" w:color="auto"/>
          </w:divBdr>
        </w:div>
      </w:divsChild>
    </w:div>
    <w:div w:id="1406881612">
      <w:bodyDiv w:val="1"/>
      <w:marLeft w:val="0"/>
      <w:marRight w:val="0"/>
      <w:marTop w:val="0"/>
      <w:marBottom w:val="0"/>
      <w:divBdr>
        <w:top w:val="none" w:sz="0" w:space="0" w:color="auto"/>
        <w:left w:val="none" w:sz="0" w:space="0" w:color="auto"/>
        <w:bottom w:val="none" w:sz="0" w:space="0" w:color="auto"/>
        <w:right w:val="none" w:sz="0" w:space="0" w:color="auto"/>
      </w:divBdr>
      <w:divsChild>
        <w:div w:id="23289415">
          <w:marLeft w:val="0"/>
          <w:marRight w:val="0"/>
          <w:marTop w:val="0"/>
          <w:marBottom w:val="0"/>
          <w:divBdr>
            <w:top w:val="none" w:sz="0" w:space="0" w:color="auto"/>
            <w:left w:val="none" w:sz="0" w:space="0" w:color="auto"/>
            <w:bottom w:val="none" w:sz="0" w:space="0" w:color="auto"/>
            <w:right w:val="none" w:sz="0" w:space="0" w:color="auto"/>
          </w:divBdr>
        </w:div>
        <w:div w:id="420689321">
          <w:marLeft w:val="0"/>
          <w:marRight w:val="0"/>
          <w:marTop w:val="0"/>
          <w:marBottom w:val="0"/>
          <w:divBdr>
            <w:top w:val="none" w:sz="0" w:space="0" w:color="auto"/>
            <w:left w:val="none" w:sz="0" w:space="0" w:color="auto"/>
            <w:bottom w:val="none" w:sz="0" w:space="0" w:color="auto"/>
            <w:right w:val="none" w:sz="0" w:space="0" w:color="auto"/>
          </w:divBdr>
        </w:div>
        <w:div w:id="533156488">
          <w:marLeft w:val="0"/>
          <w:marRight w:val="0"/>
          <w:marTop w:val="0"/>
          <w:marBottom w:val="0"/>
          <w:divBdr>
            <w:top w:val="none" w:sz="0" w:space="0" w:color="auto"/>
            <w:left w:val="none" w:sz="0" w:space="0" w:color="auto"/>
            <w:bottom w:val="none" w:sz="0" w:space="0" w:color="auto"/>
            <w:right w:val="none" w:sz="0" w:space="0" w:color="auto"/>
          </w:divBdr>
        </w:div>
        <w:div w:id="868640507">
          <w:marLeft w:val="0"/>
          <w:marRight w:val="0"/>
          <w:marTop w:val="0"/>
          <w:marBottom w:val="0"/>
          <w:divBdr>
            <w:top w:val="none" w:sz="0" w:space="0" w:color="auto"/>
            <w:left w:val="none" w:sz="0" w:space="0" w:color="auto"/>
            <w:bottom w:val="none" w:sz="0" w:space="0" w:color="auto"/>
            <w:right w:val="none" w:sz="0" w:space="0" w:color="auto"/>
          </w:divBdr>
        </w:div>
        <w:div w:id="1152721181">
          <w:marLeft w:val="0"/>
          <w:marRight w:val="0"/>
          <w:marTop w:val="0"/>
          <w:marBottom w:val="0"/>
          <w:divBdr>
            <w:top w:val="none" w:sz="0" w:space="0" w:color="auto"/>
            <w:left w:val="none" w:sz="0" w:space="0" w:color="auto"/>
            <w:bottom w:val="none" w:sz="0" w:space="0" w:color="auto"/>
            <w:right w:val="none" w:sz="0" w:space="0" w:color="auto"/>
          </w:divBdr>
        </w:div>
        <w:div w:id="1162039380">
          <w:marLeft w:val="0"/>
          <w:marRight w:val="0"/>
          <w:marTop w:val="0"/>
          <w:marBottom w:val="0"/>
          <w:divBdr>
            <w:top w:val="none" w:sz="0" w:space="0" w:color="auto"/>
            <w:left w:val="none" w:sz="0" w:space="0" w:color="auto"/>
            <w:bottom w:val="none" w:sz="0" w:space="0" w:color="auto"/>
            <w:right w:val="none" w:sz="0" w:space="0" w:color="auto"/>
          </w:divBdr>
        </w:div>
        <w:div w:id="1412393235">
          <w:marLeft w:val="0"/>
          <w:marRight w:val="0"/>
          <w:marTop w:val="0"/>
          <w:marBottom w:val="0"/>
          <w:divBdr>
            <w:top w:val="none" w:sz="0" w:space="0" w:color="auto"/>
            <w:left w:val="none" w:sz="0" w:space="0" w:color="auto"/>
            <w:bottom w:val="none" w:sz="0" w:space="0" w:color="auto"/>
            <w:right w:val="none" w:sz="0" w:space="0" w:color="auto"/>
          </w:divBdr>
        </w:div>
        <w:div w:id="1430421036">
          <w:marLeft w:val="0"/>
          <w:marRight w:val="0"/>
          <w:marTop w:val="0"/>
          <w:marBottom w:val="0"/>
          <w:divBdr>
            <w:top w:val="none" w:sz="0" w:space="0" w:color="auto"/>
            <w:left w:val="none" w:sz="0" w:space="0" w:color="auto"/>
            <w:bottom w:val="none" w:sz="0" w:space="0" w:color="auto"/>
            <w:right w:val="none" w:sz="0" w:space="0" w:color="auto"/>
          </w:divBdr>
        </w:div>
        <w:div w:id="1487749009">
          <w:marLeft w:val="0"/>
          <w:marRight w:val="0"/>
          <w:marTop w:val="0"/>
          <w:marBottom w:val="0"/>
          <w:divBdr>
            <w:top w:val="none" w:sz="0" w:space="0" w:color="auto"/>
            <w:left w:val="none" w:sz="0" w:space="0" w:color="auto"/>
            <w:bottom w:val="none" w:sz="0" w:space="0" w:color="auto"/>
            <w:right w:val="none" w:sz="0" w:space="0" w:color="auto"/>
          </w:divBdr>
        </w:div>
        <w:div w:id="1784960193">
          <w:marLeft w:val="0"/>
          <w:marRight w:val="0"/>
          <w:marTop w:val="0"/>
          <w:marBottom w:val="0"/>
          <w:divBdr>
            <w:top w:val="none" w:sz="0" w:space="0" w:color="auto"/>
            <w:left w:val="none" w:sz="0" w:space="0" w:color="auto"/>
            <w:bottom w:val="none" w:sz="0" w:space="0" w:color="auto"/>
            <w:right w:val="none" w:sz="0" w:space="0" w:color="auto"/>
          </w:divBdr>
        </w:div>
        <w:div w:id="1802842721">
          <w:marLeft w:val="0"/>
          <w:marRight w:val="0"/>
          <w:marTop w:val="0"/>
          <w:marBottom w:val="0"/>
          <w:divBdr>
            <w:top w:val="none" w:sz="0" w:space="0" w:color="auto"/>
            <w:left w:val="none" w:sz="0" w:space="0" w:color="auto"/>
            <w:bottom w:val="none" w:sz="0" w:space="0" w:color="auto"/>
            <w:right w:val="none" w:sz="0" w:space="0" w:color="auto"/>
          </w:divBdr>
        </w:div>
      </w:divsChild>
    </w:div>
    <w:div w:id="1407454540">
      <w:bodyDiv w:val="1"/>
      <w:marLeft w:val="0"/>
      <w:marRight w:val="0"/>
      <w:marTop w:val="0"/>
      <w:marBottom w:val="0"/>
      <w:divBdr>
        <w:top w:val="none" w:sz="0" w:space="0" w:color="auto"/>
        <w:left w:val="none" w:sz="0" w:space="0" w:color="auto"/>
        <w:bottom w:val="none" w:sz="0" w:space="0" w:color="auto"/>
        <w:right w:val="none" w:sz="0" w:space="0" w:color="auto"/>
      </w:divBdr>
      <w:divsChild>
        <w:div w:id="1549688287">
          <w:marLeft w:val="0"/>
          <w:marRight w:val="0"/>
          <w:marTop w:val="0"/>
          <w:marBottom w:val="0"/>
          <w:divBdr>
            <w:top w:val="none" w:sz="0" w:space="0" w:color="auto"/>
            <w:left w:val="none" w:sz="0" w:space="0" w:color="auto"/>
            <w:bottom w:val="none" w:sz="0" w:space="0" w:color="auto"/>
            <w:right w:val="none" w:sz="0" w:space="0" w:color="auto"/>
          </w:divBdr>
        </w:div>
        <w:div w:id="1771968320">
          <w:marLeft w:val="0"/>
          <w:marRight w:val="0"/>
          <w:marTop w:val="0"/>
          <w:marBottom w:val="0"/>
          <w:divBdr>
            <w:top w:val="none" w:sz="0" w:space="0" w:color="auto"/>
            <w:left w:val="none" w:sz="0" w:space="0" w:color="auto"/>
            <w:bottom w:val="none" w:sz="0" w:space="0" w:color="auto"/>
            <w:right w:val="none" w:sz="0" w:space="0" w:color="auto"/>
          </w:divBdr>
        </w:div>
        <w:div w:id="1914385844">
          <w:marLeft w:val="0"/>
          <w:marRight w:val="0"/>
          <w:marTop w:val="0"/>
          <w:marBottom w:val="0"/>
          <w:divBdr>
            <w:top w:val="none" w:sz="0" w:space="0" w:color="auto"/>
            <w:left w:val="none" w:sz="0" w:space="0" w:color="auto"/>
            <w:bottom w:val="none" w:sz="0" w:space="0" w:color="auto"/>
            <w:right w:val="none" w:sz="0" w:space="0" w:color="auto"/>
          </w:divBdr>
        </w:div>
      </w:divsChild>
    </w:div>
    <w:div w:id="1419906770">
      <w:bodyDiv w:val="1"/>
      <w:marLeft w:val="0"/>
      <w:marRight w:val="0"/>
      <w:marTop w:val="0"/>
      <w:marBottom w:val="0"/>
      <w:divBdr>
        <w:top w:val="none" w:sz="0" w:space="0" w:color="auto"/>
        <w:left w:val="none" w:sz="0" w:space="0" w:color="auto"/>
        <w:bottom w:val="none" w:sz="0" w:space="0" w:color="auto"/>
        <w:right w:val="none" w:sz="0" w:space="0" w:color="auto"/>
      </w:divBdr>
      <w:divsChild>
        <w:div w:id="325323082">
          <w:marLeft w:val="0"/>
          <w:marRight w:val="0"/>
          <w:marTop w:val="0"/>
          <w:marBottom w:val="0"/>
          <w:divBdr>
            <w:top w:val="none" w:sz="0" w:space="0" w:color="auto"/>
            <w:left w:val="none" w:sz="0" w:space="0" w:color="auto"/>
            <w:bottom w:val="none" w:sz="0" w:space="0" w:color="auto"/>
            <w:right w:val="none" w:sz="0" w:space="0" w:color="auto"/>
          </w:divBdr>
        </w:div>
        <w:div w:id="962809026">
          <w:marLeft w:val="0"/>
          <w:marRight w:val="0"/>
          <w:marTop w:val="0"/>
          <w:marBottom w:val="0"/>
          <w:divBdr>
            <w:top w:val="none" w:sz="0" w:space="0" w:color="auto"/>
            <w:left w:val="none" w:sz="0" w:space="0" w:color="auto"/>
            <w:bottom w:val="none" w:sz="0" w:space="0" w:color="auto"/>
            <w:right w:val="none" w:sz="0" w:space="0" w:color="auto"/>
          </w:divBdr>
        </w:div>
        <w:div w:id="1410541310">
          <w:marLeft w:val="0"/>
          <w:marRight w:val="0"/>
          <w:marTop w:val="0"/>
          <w:marBottom w:val="0"/>
          <w:divBdr>
            <w:top w:val="none" w:sz="0" w:space="0" w:color="auto"/>
            <w:left w:val="none" w:sz="0" w:space="0" w:color="auto"/>
            <w:bottom w:val="none" w:sz="0" w:space="0" w:color="auto"/>
            <w:right w:val="none" w:sz="0" w:space="0" w:color="auto"/>
          </w:divBdr>
        </w:div>
        <w:div w:id="1812596631">
          <w:marLeft w:val="0"/>
          <w:marRight w:val="0"/>
          <w:marTop w:val="0"/>
          <w:marBottom w:val="0"/>
          <w:divBdr>
            <w:top w:val="none" w:sz="0" w:space="0" w:color="auto"/>
            <w:left w:val="none" w:sz="0" w:space="0" w:color="auto"/>
            <w:bottom w:val="none" w:sz="0" w:space="0" w:color="auto"/>
            <w:right w:val="none" w:sz="0" w:space="0" w:color="auto"/>
          </w:divBdr>
        </w:div>
      </w:divsChild>
    </w:div>
    <w:div w:id="1431050836">
      <w:bodyDiv w:val="1"/>
      <w:marLeft w:val="0"/>
      <w:marRight w:val="0"/>
      <w:marTop w:val="0"/>
      <w:marBottom w:val="0"/>
      <w:divBdr>
        <w:top w:val="none" w:sz="0" w:space="0" w:color="auto"/>
        <w:left w:val="none" w:sz="0" w:space="0" w:color="auto"/>
        <w:bottom w:val="none" w:sz="0" w:space="0" w:color="auto"/>
        <w:right w:val="none" w:sz="0" w:space="0" w:color="auto"/>
      </w:divBdr>
    </w:div>
    <w:div w:id="1431313153">
      <w:bodyDiv w:val="1"/>
      <w:marLeft w:val="0"/>
      <w:marRight w:val="0"/>
      <w:marTop w:val="0"/>
      <w:marBottom w:val="0"/>
      <w:divBdr>
        <w:top w:val="none" w:sz="0" w:space="0" w:color="auto"/>
        <w:left w:val="none" w:sz="0" w:space="0" w:color="auto"/>
        <w:bottom w:val="none" w:sz="0" w:space="0" w:color="auto"/>
        <w:right w:val="none" w:sz="0" w:space="0" w:color="auto"/>
      </w:divBdr>
      <w:divsChild>
        <w:div w:id="109931583">
          <w:marLeft w:val="0"/>
          <w:marRight w:val="0"/>
          <w:marTop w:val="0"/>
          <w:marBottom w:val="0"/>
          <w:divBdr>
            <w:top w:val="none" w:sz="0" w:space="0" w:color="auto"/>
            <w:left w:val="none" w:sz="0" w:space="0" w:color="auto"/>
            <w:bottom w:val="none" w:sz="0" w:space="0" w:color="auto"/>
            <w:right w:val="none" w:sz="0" w:space="0" w:color="auto"/>
          </w:divBdr>
        </w:div>
        <w:div w:id="175266337">
          <w:marLeft w:val="0"/>
          <w:marRight w:val="0"/>
          <w:marTop w:val="0"/>
          <w:marBottom w:val="0"/>
          <w:divBdr>
            <w:top w:val="none" w:sz="0" w:space="0" w:color="auto"/>
            <w:left w:val="none" w:sz="0" w:space="0" w:color="auto"/>
            <w:bottom w:val="none" w:sz="0" w:space="0" w:color="auto"/>
            <w:right w:val="none" w:sz="0" w:space="0" w:color="auto"/>
          </w:divBdr>
        </w:div>
        <w:div w:id="202254101">
          <w:marLeft w:val="0"/>
          <w:marRight w:val="0"/>
          <w:marTop w:val="0"/>
          <w:marBottom w:val="0"/>
          <w:divBdr>
            <w:top w:val="none" w:sz="0" w:space="0" w:color="auto"/>
            <w:left w:val="none" w:sz="0" w:space="0" w:color="auto"/>
            <w:bottom w:val="none" w:sz="0" w:space="0" w:color="auto"/>
            <w:right w:val="none" w:sz="0" w:space="0" w:color="auto"/>
          </w:divBdr>
        </w:div>
        <w:div w:id="244538661">
          <w:marLeft w:val="0"/>
          <w:marRight w:val="0"/>
          <w:marTop w:val="0"/>
          <w:marBottom w:val="0"/>
          <w:divBdr>
            <w:top w:val="none" w:sz="0" w:space="0" w:color="auto"/>
            <w:left w:val="none" w:sz="0" w:space="0" w:color="auto"/>
            <w:bottom w:val="none" w:sz="0" w:space="0" w:color="auto"/>
            <w:right w:val="none" w:sz="0" w:space="0" w:color="auto"/>
          </w:divBdr>
        </w:div>
        <w:div w:id="644314664">
          <w:marLeft w:val="0"/>
          <w:marRight w:val="0"/>
          <w:marTop w:val="0"/>
          <w:marBottom w:val="0"/>
          <w:divBdr>
            <w:top w:val="none" w:sz="0" w:space="0" w:color="auto"/>
            <w:left w:val="none" w:sz="0" w:space="0" w:color="auto"/>
            <w:bottom w:val="none" w:sz="0" w:space="0" w:color="auto"/>
            <w:right w:val="none" w:sz="0" w:space="0" w:color="auto"/>
          </w:divBdr>
        </w:div>
        <w:div w:id="1097287735">
          <w:marLeft w:val="0"/>
          <w:marRight w:val="0"/>
          <w:marTop w:val="0"/>
          <w:marBottom w:val="0"/>
          <w:divBdr>
            <w:top w:val="none" w:sz="0" w:space="0" w:color="auto"/>
            <w:left w:val="none" w:sz="0" w:space="0" w:color="auto"/>
            <w:bottom w:val="none" w:sz="0" w:space="0" w:color="auto"/>
            <w:right w:val="none" w:sz="0" w:space="0" w:color="auto"/>
          </w:divBdr>
        </w:div>
        <w:div w:id="1772240600">
          <w:marLeft w:val="0"/>
          <w:marRight w:val="0"/>
          <w:marTop w:val="0"/>
          <w:marBottom w:val="0"/>
          <w:divBdr>
            <w:top w:val="none" w:sz="0" w:space="0" w:color="auto"/>
            <w:left w:val="none" w:sz="0" w:space="0" w:color="auto"/>
            <w:bottom w:val="none" w:sz="0" w:space="0" w:color="auto"/>
            <w:right w:val="none" w:sz="0" w:space="0" w:color="auto"/>
          </w:divBdr>
        </w:div>
      </w:divsChild>
    </w:div>
    <w:div w:id="1433894350">
      <w:bodyDiv w:val="1"/>
      <w:marLeft w:val="0"/>
      <w:marRight w:val="0"/>
      <w:marTop w:val="0"/>
      <w:marBottom w:val="0"/>
      <w:divBdr>
        <w:top w:val="none" w:sz="0" w:space="0" w:color="auto"/>
        <w:left w:val="none" w:sz="0" w:space="0" w:color="auto"/>
        <w:bottom w:val="none" w:sz="0" w:space="0" w:color="auto"/>
        <w:right w:val="none" w:sz="0" w:space="0" w:color="auto"/>
      </w:divBdr>
    </w:div>
    <w:div w:id="1441140451">
      <w:bodyDiv w:val="1"/>
      <w:marLeft w:val="0"/>
      <w:marRight w:val="0"/>
      <w:marTop w:val="0"/>
      <w:marBottom w:val="0"/>
      <w:divBdr>
        <w:top w:val="none" w:sz="0" w:space="0" w:color="auto"/>
        <w:left w:val="none" w:sz="0" w:space="0" w:color="auto"/>
        <w:bottom w:val="none" w:sz="0" w:space="0" w:color="auto"/>
        <w:right w:val="none" w:sz="0" w:space="0" w:color="auto"/>
      </w:divBdr>
      <w:divsChild>
        <w:div w:id="113182745">
          <w:marLeft w:val="0"/>
          <w:marRight w:val="0"/>
          <w:marTop w:val="0"/>
          <w:marBottom w:val="0"/>
          <w:divBdr>
            <w:top w:val="none" w:sz="0" w:space="0" w:color="auto"/>
            <w:left w:val="none" w:sz="0" w:space="0" w:color="auto"/>
            <w:bottom w:val="none" w:sz="0" w:space="0" w:color="auto"/>
            <w:right w:val="none" w:sz="0" w:space="0" w:color="auto"/>
          </w:divBdr>
        </w:div>
        <w:div w:id="282658111">
          <w:marLeft w:val="0"/>
          <w:marRight w:val="0"/>
          <w:marTop w:val="0"/>
          <w:marBottom w:val="0"/>
          <w:divBdr>
            <w:top w:val="none" w:sz="0" w:space="0" w:color="auto"/>
            <w:left w:val="none" w:sz="0" w:space="0" w:color="auto"/>
            <w:bottom w:val="none" w:sz="0" w:space="0" w:color="auto"/>
            <w:right w:val="none" w:sz="0" w:space="0" w:color="auto"/>
          </w:divBdr>
        </w:div>
        <w:div w:id="513619382">
          <w:marLeft w:val="0"/>
          <w:marRight w:val="0"/>
          <w:marTop w:val="0"/>
          <w:marBottom w:val="0"/>
          <w:divBdr>
            <w:top w:val="none" w:sz="0" w:space="0" w:color="auto"/>
            <w:left w:val="none" w:sz="0" w:space="0" w:color="auto"/>
            <w:bottom w:val="none" w:sz="0" w:space="0" w:color="auto"/>
            <w:right w:val="none" w:sz="0" w:space="0" w:color="auto"/>
          </w:divBdr>
        </w:div>
        <w:div w:id="636450643">
          <w:marLeft w:val="0"/>
          <w:marRight w:val="0"/>
          <w:marTop w:val="0"/>
          <w:marBottom w:val="0"/>
          <w:divBdr>
            <w:top w:val="none" w:sz="0" w:space="0" w:color="auto"/>
            <w:left w:val="none" w:sz="0" w:space="0" w:color="auto"/>
            <w:bottom w:val="none" w:sz="0" w:space="0" w:color="auto"/>
            <w:right w:val="none" w:sz="0" w:space="0" w:color="auto"/>
          </w:divBdr>
        </w:div>
        <w:div w:id="674303168">
          <w:marLeft w:val="0"/>
          <w:marRight w:val="0"/>
          <w:marTop w:val="0"/>
          <w:marBottom w:val="0"/>
          <w:divBdr>
            <w:top w:val="none" w:sz="0" w:space="0" w:color="auto"/>
            <w:left w:val="none" w:sz="0" w:space="0" w:color="auto"/>
            <w:bottom w:val="none" w:sz="0" w:space="0" w:color="auto"/>
            <w:right w:val="none" w:sz="0" w:space="0" w:color="auto"/>
          </w:divBdr>
        </w:div>
        <w:div w:id="741023577">
          <w:marLeft w:val="0"/>
          <w:marRight w:val="0"/>
          <w:marTop w:val="0"/>
          <w:marBottom w:val="0"/>
          <w:divBdr>
            <w:top w:val="none" w:sz="0" w:space="0" w:color="auto"/>
            <w:left w:val="none" w:sz="0" w:space="0" w:color="auto"/>
            <w:bottom w:val="none" w:sz="0" w:space="0" w:color="auto"/>
            <w:right w:val="none" w:sz="0" w:space="0" w:color="auto"/>
          </w:divBdr>
        </w:div>
        <w:div w:id="825558123">
          <w:marLeft w:val="0"/>
          <w:marRight w:val="0"/>
          <w:marTop w:val="0"/>
          <w:marBottom w:val="0"/>
          <w:divBdr>
            <w:top w:val="none" w:sz="0" w:space="0" w:color="auto"/>
            <w:left w:val="none" w:sz="0" w:space="0" w:color="auto"/>
            <w:bottom w:val="none" w:sz="0" w:space="0" w:color="auto"/>
            <w:right w:val="none" w:sz="0" w:space="0" w:color="auto"/>
          </w:divBdr>
        </w:div>
        <w:div w:id="829910651">
          <w:marLeft w:val="0"/>
          <w:marRight w:val="0"/>
          <w:marTop w:val="0"/>
          <w:marBottom w:val="0"/>
          <w:divBdr>
            <w:top w:val="none" w:sz="0" w:space="0" w:color="auto"/>
            <w:left w:val="none" w:sz="0" w:space="0" w:color="auto"/>
            <w:bottom w:val="none" w:sz="0" w:space="0" w:color="auto"/>
            <w:right w:val="none" w:sz="0" w:space="0" w:color="auto"/>
          </w:divBdr>
        </w:div>
        <w:div w:id="1028678791">
          <w:marLeft w:val="0"/>
          <w:marRight w:val="0"/>
          <w:marTop w:val="0"/>
          <w:marBottom w:val="0"/>
          <w:divBdr>
            <w:top w:val="none" w:sz="0" w:space="0" w:color="auto"/>
            <w:left w:val="none" w:sz="0" w:space="0" w:color="auto"/>
            <w:bottom w:val="none" w:sz="0" w:space="0" w:color="auto"/>
            <w:right w:val="none" w:sz="0" w:space="0" w:color="auto"/>
          </w:divBdr>
        </w:div>
        <w:div w:id="1183007485">
          <w:marLeft w:val="0"/>
          <w:marRight w:val="0"/>
          <w:marTop w:val="0"/>
          <w:marBottom w:val="0"/>
          <w:divBdr>
            <w:top w:val="none" w:sz="0" w:space="0" w:color="auto"/>
            <w:left w:val="none" w:sz="0" w:space="0" w:color="auto"/>
            <w:bottom w:val="none" w:sz="0" w:space="0" w:color="auto"/>
            <w:right w:val="none" w:sz="0" w:space="0" w:color="auto"/>
          </w:divBdr>
        </w:div>
        <w:div w:id="1354528953">
          <w:marLeft w:val="0"/>
          <w:marRight w:val="0"/>
          <w:marTop w:val="0"/>
          <w:marBottom w:val="0"/>
          <w:divBdr>
            <w:top w:val="none" w:sz="0" w:space="0" w:color="auto"/>
            <w:left w:val="none" w:sz="0" w:space="0" w:color="auto"/>
            <w:bottom w:val="none" w:sz="0" w:space="0" w:color="auto"/>
            <w:right w:val="none" w:sz="0" w:space="0" w:color="auto"/>
          </w:divBdr>
        </w:div>
        <w:div w:id="1696349306">
          <w:marLeft w:val="0"/>
          <w:marRight w:val="0"/>
          <w:marTop w:val="0"/>
          <w:marBottom w:val="0"/>
          <w:divBdr>
            <w:top w:val="none" w:sz="0" w:space="0" w:color="auto"/>
            <w:left w:val="none" w:sz="0" w:space="0" w:color="auto"/>
            <w:bottom w:val="none" w:sz="0" w:space="0" w:color="auto"/>
            <w:right w:val="none" w:sz="0" w:space="0" w:color="auto"/>
          </w:divBdr>
        </w:div>
        <w:div w:id="1771705972">
          <w:marLeft w:val="0"/>
          <w:marRight w:val="0"/>
          <w:marTop w:val="0"/>
          <w:marBottom w:val="0"/>
          <w:divBdr>
            <w:top w:val="none" w:sz="0" w:space="0" w:color="auto"/>
            <w:left w:val="none" w:sz="0" w:space="0" w:color="auto"/>
            <w:bottom w:val="none" w:sz="0" w:space="0" w:color="auto"/>
            <w:right w:val="none" w:sz="0" w:space="0" w:color="auto"/>
          </w:divBdr>
        </w:div>
        <w:div w:id="1833183498">
          <w:marLeft w:val="0"/>
          <w:marRight w:val="0"/>
          <w:marTop w:val="0"/>
          <w:marBottom w:val="0"/>
          <w:divBdr>
            <w:top w:val="none" w:sz="0" w:space="0" w:color="auto"/>
            <w:left w:val="none" w:sz="0" w:space="0" w:color="auto"/>
            <w:bottom w:val="none" w:sz="0" w:space="0" w:color="auto"/>
            <w:right w:val="none" w:sz="0" w:space="0" w:color="auto"/>
          </w:divBdr>
        </w:div>
        <w:div w:id="1886521244">
          <w:marLeft w:val="0"/>
          <w:marRight w:val="0"/>
          <w:marTop w:val="0"/>
          <w:marBottom w:val="0"/>
          <w:divBdr>
            <w:top w:val="none" w:sz="0" w:space="0" w:color="auto"/>
            <w:left w:val="none" w:sz="0" w:space="0" w:color="auto"/>
            <w:bottom w:val="none" w:sz="0" w:space="0" w:color="auto"/>
            <w:right w:val="none" w:sz="0" w:space="0" w:color="auto"/>
          </w:divBdr>
        </w:div>
        <w:div w:id="2001498222">
          <w:marLeft w:val="0"/>
          <w:marRight w:val="0"/>
          <w:marTop w:val="0"/>
          <w:marBottom w:val="0"/>
          <w:divBdr>
            <w:top w:val="none" w:sz="0" w:space="0" w:color="auto"/>
            <w:left w:val="none" w:sz="0" w:space="0" w:color="auto"/>
            <w:bottom w:val="none" w:sz="0" w:space="0" w:color="auto"/>
            <w:right w:val="none" w:sz="0" w:space="0" w:color="auto"/>
          </w:divBdr>
        </w:div>
        <w:div w:id="2073456956">
          <w:marLeft w:val="0"/>
          <w:marRight w:val="0"/>
          <w:marTop w:val="0"/>
          <w:marBottom w:val="0"/>
          <w:divBdr>
            <w:top w:val="none" w:sz="0" w:space="0" w:color="auto"/>
            <w:left w:val="none" w:sz="0" w:space="0" w:color="auto"/>
            <w:bottom w:val="none" w:sz="0" w:space="0" w:color="auto"/>
            <w:right w:val="none" w:sz="0" w:space="0" w:color="auto"/>
          </w:divBdr>
        </w:div>
      </w:divsChild>
    </w:div>
    <w:div w:id="1447845151">
      <w:bodyDiv w:val="1"/>
      <w:marLeft w:val="0"/>
      <w:marRight w:val="0"/>
      <w:marTop w:val="0"/>
      <w:marBottom w:val="0"/>
      <w:divBdr>
        <w:top w:val="none" w:sz="0" w:space="0" w:color="auto"/>
        <w:left w:val="none" w:sz="0" w:space="0" w:color="auto"/>
        <w:bottom w:val="none" w:sz="0" w:space="0" w:color="auto"/>
        <w:right w:val="none" w:sz="0" w:space="0" w:color="auto"/>
      </w:divBdr>
      <w:divsChild>
        <w:div w:id="62222813">
          <w:marLeft w:val="0"/>
          <w:marRight w:val="0"/>
          <w:marTop w:val="0"/>
          <w:marBottom w:val="0"/>
          <w:divBdr>
            <w:top w:val="none" w:sz="0" w:space="0" w:color="auto"/>
            <w:left w:val="none" w:sz="0" w:space="0" w:color="auto"/>
            <w:bottom w:val="none" w:sz="0" w:space="0" w:color="auto"/>
            <w:right w:val="none" w:sz="0" w:space="0" w:color="auto"/>
          </w:divBdr>
        </w:div>
        <w:div w:id="1386564776">
          <w:marLeft w:val="0"/>
          <w:marRight w:val="0"/>
          <w:marTop w:val="0"/>
          <w:marBottom w:val="0"/>
          <w:divBdr>
            <w:top w:val="none" w:sz="0" w:space="0" w:color="auto"/>
            <w:left w:val="none" w:sz="0" w:space="0" w:color="auto"/>
            <w:bottom w:val="none" w:sz="0" w:space="0" w:color="auto"/>
            <w:right w:val="none" w:sz="0" w:space="0" w:color="auto"/>
          </w:divBdr>
        </w:div>
        <w:div w:id="1569726072">
          <w:marLeft w:val="0"/>
          <w:marRight w:val="0"/>
          <w:marTop w:val="0"/>
          <w:marBottom w:val="0"/>
          <w:divBdr>
            <w:top w:val="none" w:sz="0" w:space="0" w:color="auto"/>
            <w:left w:val="none" w:sz="0" w:space="0" w:color="auto"/>
            <w:bottom w:val="none" w:sz="0" w:space="0" w:color="auto"/>
            <w:right w:val="none" w:sz="0" w:space="0" w:color="auto"/>
          </w:divBdr>
        </w:div>
        <w:div w:id="1967000379">
          <w:marLeft w:val="0"/>
          <w:marRight w:val="0"/>
          <w:marTop w:val="0"/>
          <w:marBottom w:val="0"/>
          <w:divBdr>
            <w:top w:val="none" w:sz="0" w:space="0" w:color="auto"/>
            <w:left w:val="none" w:sz="0" w:space="0" w:color="auto"/>
            <w:bottom w:val="none" w:sz="0" w:space="0" w:color="auto"/>
            <w:right w:val="none" w:sz="0" w:space="0" w:color="auto"/>
          </w:divBdr>
        </w:div>
      </w:divsChild>
    </w:div>
    <w:div w:id="1447851595">
      <w:bodyDiv w:val="1"/>
      <w:marLeft w:val="0"/>
      <w:marRight w:val="0"/>
      <w:marTop w:val="0"/>
      <w:marBottom w:val="0"/>
      <w:divBdr>
        <w:top w:val="none" w:sz="0" w:space="0" w:color="auto"/>
        <w:left w:val="none" w:sz="0" w:space="0" w:color="auto"/>
        <w:bottom w:val="none" w:sz="0" w:space="0" w:color="auto"/>
        <w:right w:val="none" w:sz="0" w:space="0" w:color="auto"/>
      </w:divBdr>
      <w:divsChild>
        <w:div w:id="163519776">
          <w:marLeft w:val="0"/>
          <w:marRight w:val="0"/>
          <w:marTop w:val="0"/>
          <w:marBottom w:val="0"/>
          <w:divBdr>
            <w:top w:val="none" w:sz="0" w:space="0" w:color="auto"/>
            <w:left w:val="none" w:sz="0" w:space="0" w:color="auto"/>
            <w:bottom w:val="none" w:sz="0" w:space="0" w:color="auto"/>
            <w:right w:val="none" w:sz="0" w:space="0" w:color="auto"/>
          </w:divBdr>
        </w:div>
        <w:div w:id="795023967">
          <w:marLeft w:val="0"/>
          <w:marRight w:val="0"/>
          <w:marTop w:val="0"/>
          <w:marBottom w:val="0"/>
          <w:divBdr>
            <w:top w:val="none" w:sz="0" w:space="0" w:color="auto"/>
            <w:left w:val="none" w:sz="0" w:space="0" w:color="auto"/>
            <w:bottom w:val="none" w:sz="0" w:space="0" w:color="auto"/>
            <w:right w:val="none" w:sz="0" w:space="0" w:color="auto"/>
          </w:divBdr>
        </w:div>
        <w:div w:id="883296273">
          <w:marLeft w:val="0"/>
          <w:marRight w:val="0"/>
          <w:marTop w:val="0"/>
          <w:marBottom w:val="0"/>
          <w:divBdr>
            <w:top w:val="none" w:sz="0" w:space="0" w:color="auto"/>
            <w:left w:val="none" w:sz="0" w:space="0" w:color="auto"/>
            <w:bottom w:val="none" w:sz="0" w:space="0" w:color="auto"/>
            <w:right w:val="none" w:sz="0" w:space="0" w:color="auto"/>
          </w:divBdr>
        </w:div>
        <w:div w:id="1067731146">
          <w:marLeft w:val="0"/>
          <w:marRight w:val="0"/>
          <w:marTop w:val="0"/>
          <w:marBottom w:val="0"/>
          <w:divBdr>
            <w:top w:val="none" w:sz="0" w:space="0" w:color="auto"/>
            <w:left w:val="none" w:sz="0" w:space="0" w:color="auto"/>
            <w:bottom w:val="none" w:sz="0" w:space="0" w:color="auto"/>
            <w:right w:val="none" w:sz="0" w:space="0" w:color="auto"/>
          </w:divBdr>
        </w:div>
        <w:div w:id="1852799616">
          <w:marLeft w:val="0"/>
          <w:marRight w:val="0"/>
          <w:marTop w:val="0"/>
          <w:marBottom w:val="0"/>
          <w:divBdr>
            <w:top w:val="none" w:sz="0" w:space="0" w:color="auto"/>
            <w:left w:val="none" w:sz="0" w:space="0" w:color="auto"/>
            <w:bottom w:val="none" w:sz="0" w:space="0" w:color="auto"/>
            <w:right w:val="none" w:sz="0" w:space="0" w:color="auto"/>
          </w:divBdr>
        </w:div>
        <w:div w:id="1927760840">
          <w:marLeft w:val="0"/>
          <w:marRight w:val="0"/>
          <w:marTop w:val="0"/>
          <w:marBottom w:val="0"/>
          <w:divBdr>
            <w:top w:val="none" w:sz="0" w:space="0" w:color="auto"/>
            <w:left w:val="none" w:sz="0" w:space="0" w:color="auto"/>
            <w:bottom w:val="none" w:sz="0" w:space="0" w:color="auto"/>
            <w:right w:val="none" w:sz="0" w:space="0" w:color="auto"/>
          </w:divBdr>
        </w:div>
      </w:divsChild>
    </w:div>
    <w:div w:id="1465923002">
      <w:bodyDiv w:val="1"/>
      <w:marLeft w:val="0"/>
      <w:marRight w:val="0"/>
      <w:marTop w:val="0"/>
      <w:marBottom w:val="0"/>
      <w:divBdr>
        <w:top w:val="none" w:sz="0" w:space="0" w:color="auto"/>
        <w:left w:val="none" w:sz="0" w:space="0" w:color="auto"/>
        <w:bottom w:val="none" w:sz="0" w:space="0" w:color="auto"/>
        <w:right w:val="none" w:sz="0" w:space="0" w:color="auto"/>
      </w:divBdr>
      <w:divsChild>
        <w:div w:id="355621933">
          <w:marLeft w:val="0"/>
          <w:marRight w:val="0"/>
          <w:marTop w:val="0"/>
          <w:marBottom w:val="0"/>
          <w:divBdr>
            <w:top w:val="none" w:sz="0" w:space="0" w:color="auto"/>
            <w:left w:val="none" w:sz="0" w:space="0" w:color="auto"/>
            <w:bottom w:val="none" w:sz="0" w:space="0" w:color="auto"/>
            <w:right w:val="none" w:sz="0" w:space="0" w:color="auto"/>
          </w:divBdr>
          <w:divsChild>
            <w:div w:id="5490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8501">
      <w:bodyDiv w:val="1"/>
      <w:marLeft w:val="0"/>
      <w:marRight w:val="0"/>
      <w:marTop w:val="0"/>
      <w:marBottom w:val="0"/>
      <w:divBdr>
        <w:top w:val="none" w:sz="0" w:space="0" w:color="auto"/>
        <w:left w:val="none" w:sz="0" w:space="0" w:color="auto"/>
        <w:bottom w:val="none" w:sz="0" w:space="0" w:color="auto"/>
        <w:right w:val="none" w:sz="0" w:space="0" w:color="auto"/>
      </w:divBdr>
      <w:divsChild>
        <w:div w:id="115026647">
          <w:marLeft w:val="0"/>
          <w:marRight w:val="0"/>
          <w:marTop w:val="0"/>
          <w:marBottom w:val="0"/>
          <w:divBdr>
            <w:top w:val="none" w:sz="0" w:space="0" w:color="auto"/>
            <w:left w:val="none" w:sz="0" w:space="0" w:color="auto"/>
            <w:bottom w:val="none" w:sz="0" w:space="0" w:color="auto"/>
            <w:right w:val="none" w:sz="0" w:space="0" w:color="auto"/>
          </w:divBdr>
        </w:div>
        <w:div w:id="123473350">
          <w:marLeft w:val="0"/>
          <w:marRight w:val="0"/>
          <w:marTop w:val="0"/>
          <w:marBottom w:val="0"/>
          <w:divBdr>
            <w:top w:val="none" w:sz="0" w:space="0" w:color="auto"/>
            <w:left w:val="none" w:sz="0" w:space="0" w:color="auto"/>
            <w:bottom w:val="none" w:sz="0" w:space="0" w:color="auto"/>
            <w:right w:val="none" w:sz="0" w:space="0" w:color="auto"/>
          </w:divBdr>
        </w:div>
        <w:div w:id="225533574">
          <w:marLeft w:val="0"/>
          <w:marRight w:val="0"/>
          <w:marTop w:val="0"/>
          <w:marBottom w:val="0"/>
          <w:divBdr>
            <w:top w:val="none" w:sz="0" w:space="0" w:color="auto"/>
            <w:left w:val="none" w:sz="0" w:space="0" w:color="auto"/>
            <w:bottom w:val="none" w:sz="0" w:space="0" w:color="auto"/>
            <w:right w:val="none" w:sz="0" w:space="0" w:color="auto"/>
          </w:divBdr>
        </w:div>
        <w:div w:id="321782087">
          <w:marLeft w:val="0"/>
          <w:marRight w:val="0"/>
          <w:marTop w:val="0"/>
          <w:marBottom w:val="0"/>
          <w:divBdr>
            <w:top w:val="none" w:sz="0" w:space="0" w:color="auto"/>
            <w:left w:val="none" w:sz="0" w:space="0" w:color="auto"/>
            <w:bottom w:val="none" w:sz="0" w:space="0" w:color="auto"/>
            <w:right w:val="none" w:sz="0" w:space="0" w:color="auto"/>
          </w:divBdr>
        </w:div>
        <w:div w:id="361592242">
          <w:marLeft w:val="0"/>
          <w:marRight w:val="0"/>
          <w:marTop w:val="0"/>
          <w:marBottom w:val="0"/>
          <w:divBdr>
            <w:top w:val="none" w:sz="0" w:space="0" w:color="auto"/>
            <w:left w:val="none" w:sz="0" w:space="0" w:color="auto"/>
            <w:bottom w:val="none" w:sz="0" w:space="0" w:color="auto"/>
            <w:right w:val="none" w:sz="0" w:space="0" w:color="auto"/>
          </w:divBdr>
        </w:div>
        <w:div w:id="401802750">
          <w:marLeft w:val="0"/>
          <w:marRight w:val="0"/>
          <w:marTop w:val="0"/>
          <w:marBottom w:val="0"/>
          <w:divBdr>
            <w:top w:val="none" w:sz="0" w:space="0" w:color="auto"/>
            <w:left w:val="none" w:sz="0" w:space="0" w:color="auto"/>
            <w:bottom w:val="none" w:sz="0" w:space="0" w:color="auto"/>
            <w:right w:val="none" w:sz="0" w:space="0" w:color="auto"/>
          </w:divBdr>
        </w:div>
        <w:div w:id="1092160843">
          <w:marLeft w:val="0"/>
          <w:marRight w:val="0"/>
          <w:marTop w:val="0"/>
          <w:marBottom w:val="0"/>
          <w:divBdr>
            <w:top w:val="none" w:sz="0" w:space="0" w:color="auto"/>
            <w:left w:val="none" w:sz="0" w:space="0" w:color="auto"/>
            <w:bottom w:val="none" w:sz="0" w:space="0" w:color="auto"/>
            <w:right w:val="none" w:sz="0" w:space="0" w:color="auto"/>
          </w:divBdr>
        </w:div>
        <w:div w:id="1097869115">
          <w:marLeft w:val="0"/>
          <w:marRight w:val="0"/>
          <w:marTop w:val="0"/>
          <w:marBottom w:val="0"/>
          <w:divBdr>
            <w:top w:val="none" w:sz="0" w:space="0" w:color="auto"/>
            <w:left w:val="none" w:sz="0" w:space="0" w:color="auto"/>
            <w:bottom w:val="none" w:sz="0" w:space="0" w:color="auto"/>
            <w:right w:val="none" w:sz="0" w:space="0" w:color="auto"/>
          </w:divBdr>
        </w:div>
        <w:div w:id="1340891520">
          <w:marLeft w:val="0"/>
          <w:marRight w:val="0"/>
          <w:marTop w:val="0"/>
          <w:marBottom w:val="0"/>
          <w:divBdr>
            <w:top w:val="none" w:sz="0" w:space="0" w:color="auto"/>
            <w:left w:val="none" w:sz="0" w:space="0" w:color="auto"/>
            <w:bottom w:val="none" w:sz="0" w:space="0" w:color="auto"/>
            <w:right w:val="none" w:sz="0" w:space="0" w:color="auto"/>
          </w:divBdr>
        </w:div>
        <w:div w:id="1477840832">
          <w:marLeft w:val="0"/>
          <w:marRight w:val="0"/>
          <w:marTop w:val="0"/>
          <w:marBottom w:val="0"/>
          <w:divBdr>
            <w:top w:val="none" w:sz="0" w:space="0" w:color="auto"/>
            <w:left w:val="none" w:sz="0" w:space="0" w:color="auto"/>
            <w:bottom w:val="none" w:sz="0" w:space="0" w:color="auto"/>
            <w:right w:val="none" w:sz="0" w:space="0" w:color="auto"/>
          </w:divBdr>
        </w:div>
        <w:div w:id="1485970549">
          <w:marLeft w:val="0"/>
          <w:marRight w:val="0"/>
          <w:marTop w:val="0"/>
          <w:marBottom w:val="0"/>
          <w:divBdr>
            <w:top w:val="none" w:sz="0" w:space="0" w:color="auto"/>
            <w:left w:val="none" w:sz="0" w:space="0" w:color="auto"/>
            <w:bottom w:val="none" w:sz="0" w:space="0" w:color="auto"/>
            <w:right w:val="none" w:sz="0" w:space="0" w:color="auto"/>
          </w:divBdr>
        </w:div>
        <w:div w:id="1805151187">
          <w:marLeft w:val="0"/>
          <w:marRight w:val="0"/>
          <w:marTop w:val="0"/>
          <w:marBottom w:val="0"/>
          <w:divBdr>
            <w:top w:val="none" w:sz="0" w:space="0" w:color="auto"/>
            <w:left w:val="none" w:sz="0" w:space="0" w:color="auto"/>
            <w:bottom w:val="none" w:sz="0" w:space="0" w:color="auto"/>
            <w:right w:val="none" w:sz="0" w:space="0" w:color="auto"/>
          </w:divBdr>
        </w:div>
        <w:div w:id="1835219771">
          <w:marLeft w:val="0"/>
          <w:marRight w:val="0"/>
          <w:marTop w:val="0"/>
          <w:marBottom w:val="0"/>
          <w:divBdr>
            <w:top w:val="none" w:sz="0" w:space="0" w:color="auto"/>
            <w:left w:val="none" w:sz="0" w:space="0" w:color="auto"/>
            <w:bottom w:val="none" w:sz="0" w:space="0" w:color="auto"/>
            <w:right w:val="none" w:sz="0" w:space="0" w:color="auto"/>
          </w:divBdr>
        </w:div>
      </w:divsChild>
    </w:div>
    <w:div w:id="1504784344">
      <w:bodyDiv w:val="1"/>
      <w:marLeft w:val="0"/>
      <w:marRight w:val="0"/>
      <w:marTop w:val="0"/>
      <w:marBottom w:val="0"/>
      <w:divBdr>
        <w:top w:val="none" w:sz="0" w:space="0" w:color="auto"/>
        <w:left w:val="none" w:sz="0" w:space="0" w:color="auto"/>
        <w:bottom w:val="none" w:sz="0" w:space="0" w:color="auto"/>
        <w:right w:val="none" w:sz="0" w:space="0" w:color="auto"/>
      </w:divBdr>
      <w:divsChild>
        <w:div w:id="31422579">
          <w:marLeft w:val="0"/>
          <w:marRight w:val="0"/>
          <w:marTop w:val="0"/>
          <w:marBottom w:val="0"/>
          <w:divBdr>
            <w:top w:val="none" w:sz="0" w:space="0" w:color="auto"/>
            <w:left w:val="none" w:sz="0" w:space="0" w:color="auto"/>
            <w:bottom w:val="none" w:sz="0" w:space="0" w:color="auto"/>
            <w:right w:val="none" w:sz="0" w:space="0" w:color="auto"/>
          </w:divBdr>
        </w:div>
        <w:div w:id="145359760">
          <w:marLeft w:val="0"/>
          <w:marRight w:val="0"/>
          <w:marTop w:val="0"/>
          <w:marBottom w:val="0"/>
          <w:divBdr>
            <w:top w:val="none" w:sz="0" w:space="0" w:color="auto"/>
            <w:left w:val="none" w:sz="0" w:space="0" w:color="auto"/>
            <w:bottom w:val="none" w:sz="0" w:space="0" w:color="auto"/>
            <w:right w:val="none" w:sz="0" w:space="0" w:color="auto"/>
          </w:divBdr>
        </w:div>
        <w:div w:id="523636463">
          <w:marLeft w:val="0"/>
          <w:marRight w:val="0"/>
          <w:marTop w:val="0"/>
          <w:marBottom w:val="0"/>
          <w:divBdr>
            <w:top w:val="none" w:sz="0" w:space="0" w:color="auto"/>
            <w:left w:val="none" w:sz="0" w:space="0" w:color="auto"/>
            <w:bottom w:val="none" w:sz="0" w:space="0" w:color="auto"/>
            <w:right w:val="none" w:sz="0" w:space="0" w:color="auto"/>
          </w:divBdr>
        </w:div>
        <w:div w:id="533424470">
          <w:marLeft w:val="0"/>
          <w:marRight w:val="0"/>
          <w:marTop w:val="0"/>
          <w:marBottom w:val="0"/>
          <w:divBdr>
            <w:top w:val="none" w:sz="0" w:space="0" w:color="auto"/>
            <w:left w:val="none" w:sz="0" w:space="0" w:color="auto"/>
            <w:bottom w:val="none" w:sz="0" w:space="0" w:color="auto"/>
            <w:right w:val="none" w:sz="0" w:space="0" w:color="auto"/>
          </w:divBdr>
        </w:div>
        <w:div w:id="774440815">
          <w:marLeft w:val="0"/>
          <w:marRight w:val="0"/>
          <w:marTop w:val="0"/>
          <w:marBottom w:val="0"/>
          <w:divBdr>
            <w:top w:val="none" w:sz="0" w:space="0" w:color="auto"/>
            <w:left w:val="none" w:sz="0" w:space="0" w:color="auto"/>
            <w:bottom w:val="none" w:sz="0" w:space="0" w:color="auto"/>
            <w:right w:val="none" w:sz="0" w:space="0" w:color="auto"/>
          </w:divBdr>
        </w:div>
        <w:div w:id="923226356">
          <w:marLeft w:val="0"/>
          <w:marRight w:val="0"/>
          <w:marTop w:val="0"/>
          <w:marBottom w:val="0"/>
          <w:divBdr>
            <w:top w:val="none" w:sz="0" w:space="0" w:color="auto"/>
            <w:left w:val="none" w:sz="0" w:space="0" w:color="auto"/>
            <w:bottom w:val="none" w:sz="0" w:space="0" w:color="auto"/>
            <w:right w:val="none" w:sz="0" w:space="0" w:color="auto"/>
          </w:divBdr>
        </w:div>
        <w:div w:id="981349757">
          <w:marLeft w:val="0"/>
          <w:marRight w:val="0"/>
          <w:marTop w:val="0"/>
          <w:marBottom w:val="0"/>
          <w:divBdr>
            <w:top w:val="none" w:sz="0" w:space="0" w:color="auto"/>
            <w:left w:val="none" w:sz="0" w:space="0" w:color="auto"/>
            <w:bottom w:val="none" w:sz="0" w:space="0" w:color="auto"/>
            <w:right w:val="none" w:sz="0" w:space="0" w:color="auto"/>
          </w:divBdr>
        </w:div>
        <w:div w:id="1032800206">
          <w:marLeft w:val="0"/>
          <w:marRight w:val="0"/>
          <w:marTop w:val="0"/>
          <w:marBottom w:val="0"/>
          <w:divBdr>
            <w:top w:val="none" w:sz="0" w:space="0" w:color="auto"/>
            <w:left w:val="none" w:sz="0" w:space="0" w:color="auto"/>
            <w:bottom w:val="none" w:sz="0" w:space="0" w:color="auto"/>
            <w:right w:val="none" w:sz="0" w:space="0" w:color="auto"/>
          </w:divBdr>
        </w:div>
        <w:div w:id="1184394440">
          <w:marLeft w:val="0"/>
          <w:marRight w:val="0"/>
          <w:marTop w:val="0"/>
          <w:marBottom w:val="0"/>
          <w:divBdr>
            <w:top w:val="none" w:sz="0" w:space="0" w:color="auto"/>
            <w:left w:val="none" w:sz="0" w:space="0" w:color="auto"/>
            <w:bottom w:val="none" w:sz="0" w:space="0" w:color="auto"/>
            <w:right w:val="none" w:sz="0" w:space="0" w:color="auto"/>
          </w:divBdr>
        </w:div>
        <w:div w:id="1321807224">
          <w:marLeft w:val="0"/>
          <w:marRight w:val="0"/>
          <w:marTop w:val="0"/>
          <w:marBottom w:val="0"/>
          <w:divBdr>
            <w:top w:val="none" w:sz="0" w:space="0" w:color="auto"/>
            <w:left w:val="none" w:sz="0" w:space="0" w:color="auto"/>
            <w:bottom w:val="none" w:sz="0" w:space="0" w:color="auto"/>
            <w:right w:val="none" w:sz="0" w:space="0" w:color="auto"/>
          </w:divBdr>
        </w:div>
        <w:div w:id="1340964029">
          <w:marLeft w:val="0"/>
          <w:marRight w:val="0"/>
          <w:marTop w:val="0"/>
          <w:marBottom w:val="0"/>
          <w:divBdr>
            <w:top w:val="none" w:sz="0" w:space="0" w:color="auto"/>
            <w:left w:val="none" w:sz="0" w:space="0" w:color="auto"/>
            <w:bottom w:val="none" w:sz="0" w:space="0" w:color="auto"/>
            <w:right w:val="none" w:sz="0" w:space="0" w:color="auto"/>
          </w:divBdr>
        </w:div>
        <w:div w:id="1644575291">
          <w:marLeft w:val="0"/>
          <w:marRight w:val="0"/>
          <w:marTop w:val="0"/>
          <w:marBottom w:val="0"/>
          <w:divBdr>
            <w:top w:val="none" w:sz="0" w:space="0" w:color="auto"/>
            <w:left w:val="none" w:sz="0" w:space="0" w:color="auto"/>
            <w:bottom w:val="none" w:sz="0" w:space="0" w:color="auto"/>
            <w:right w:val="none" w:sz="0" w:space="0" w:color="auto"/>
          </w:divBdr>
        </w:div>
        <w:div w:id="1792698711">
          <w:marLeft w:val="0"/>
          <w:marRight w:val="0"/>
          <w:marTop w:val="0"/>
          <w:marBottom w:val="0"/>
          <w:divBdr>
            <w:top w:val="none" w:sz="0" w:space="0" w:color="auto"/>
            <w:left w:val="none" w:sz="0" w:space="0" w:color="auto"/>
            <w:bottom w:val="none" w:sz="0" w:space="0" w:color="auto"/>
            <w:right w:val="none" w:sz="0" w:space="0" w:color="auto"/>
          </w:divBdr>
        </w:div>
        <w:div w:id="2005275122">
          <w:marLeft w:val="0"/>
          <w:marRight w:val="0"/>
          <w:marTop w:val="0"/>
          <w:marBottom w:val="0"/>
          <w:divBdr>
            <w:top w:val="none" w:sz="0" w:space="0" w:color="auto"/>
            <w:left w:val="none" w:sz="0" w:space="0" w:color="auto"/>
            <w:bottom w:val="none" w:sz="0" w:space="0" w:color="auto"/>
            <w:right w:val="none" w:sz="0" w:space="0" w:color="auto"/>
          </w:divBdr>
        </w:div>
        <w:div w:id="2042395964">
          <w:marLeft w:val="0"/>
          <w:marRight w:val="0"/>
          <w:marTop w:val="0"/>
          <w:marBottom w:val="0"/>
          <w:divBdr>
            <w:top w:val="none" w:sz="0" w:space="0" w:color="auto"/>
            <w:left w:val="none" w:sz="0" w:space="0" w:color="auto"/>
            <w:bottom w:val="none" w:sz="0" w:space="0" w:color="auto"/>
            <w:right w:val="none" w:sz="0" w:space="0" w:color="auto"/>
          </w:divBdr>
        </w:div>
        <w:div w:id="2105487984">
          <w:marLeft w:val="0"/>
          <w:marRight w:val="0"/>
          <w:marTop w:val="0"/>
          <w:marBottom w:val="0"/>
          <w:divBdr>
            <w:top w:val="none" w:sz="0" w:space="0" w:color="auto"/>
            <w:left w:val="none" w:sz="0" w:space="0" w:color="auto"/>
            <w:bottom w:val="none" w:sz="0" w:space="0" w:color="auto"/>
            <w:right w:val="none" w:sz="0" w:space="0" w:color="auto"/>
          </w:divBdr>
        </w:div>
        <w:div w:id="2144224669">
          <w:marLeft w:val="0"/>
          <w:marRight w:val="0"/>
          <w:marTop w:val="0"/>
          <w:marBottom w:val="0"/>
          <w:divBdr>
            <w:top w:val="none" w:sz="0" w:space="0" w:color="auto"/>
            <w:left w:val="none" w:sz="0" w:space="0" w:color="auto"/>
            <w:bottom w:val="none" w:sz="0" w:space="0" w:color="auto"/>
            <w:right w:val="none" w:sz="0" w:space="0" w:color="auto"/>
          </w:divBdr>
        </w:div>
      </w:divsChild>
    </w:div>
    <w:div w:id="1514296371">
      <w:bodyDiv w:val="1"/>
      <w:marLeft w:val="0"/>
      <w:marRight w:val="0"/>
      <w:marTop w:val="0"/>
      <w:marBottom w:val="0"/>
      <w:divBdr>
        <w:top w:val="none" w:sz="0" w:space="0" w:color="auto"/>
        <w:left w:val="none" w:sz="0" w:space="0" w:color="auto"/>
        <w:bottom w:val="none" w:sz="0" w:space="0" w:color="auto"/>
        <w:right w:val="none" w:sz="0" w:space="0" w:color="auto"/>
      </w:divBdr>
      <w:divsChild>
        <w:div w:id="1265649998">
          <w:marLeft w:val="0"/>
          <w:marRight w:val="0"/>
          <w:marTop w:val="0"/>
          <w:marBottom w:val="0"/>
          <w:divBdr>
            <w:top w:val="none" w:sz="0" w:space="0" w:color="auto"/>
            <w:left w:val="none" w:sz="0" w:space="0" w:color="auto"/>
            <w:bottom w:val="none" w:sz="0" w:space="0" w:color="auto"/>
            <w:right w:val="none" w:sz="0" w:space="0" w:color="auto"/>
          </w:divBdr>
          <w:divsChild>
            <w:div w:id="11384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2785">
      <w:bodyDiv w:val="1"/>
      <w:marLeft w:val="0"/>
      <w:marRight w:val="0"/>
      <w:marTop w:val="0"/>
      <w:marBottom w:val="0"/>
      <w:divBdr>
        <w:top w:val="none" w:sz="0" w:space="0" w:color="auto"/>
        <w:left w:val="none" w:sz="0" w:space="0" w:color="auto"/>
        <w:bottom w:val="none" w:sz="0" w:space="0" w:color="auto"/>
        <w:right w:val="none" w:sz="0" w:space="0" w:color="auto"/>
      </w:divBdr>
    </w:div>
    <w:div w:id="1516068424">
      <w:bodyDiv w:val="1"/>
      <w:marLeft w:val="0"/>
      <w:marRight w:val="0"/>
      <w:marTop w:val="0"/>
      <w:marBottom w:val="0"/>
      <w:divBdr>
        <w:top w:val="none" w:sz="0" w:space="0" w:color="auto"/>
        <w:left w:val="none" w:sz="0" w:space="0" w:color="auto"/>
        <w:bottom w:val="none" w:sz="0" w:space="0" w:color="auto"/>
        <w:right w:val="none" w:sz="0" w:space="0" w:color="auto"/>
      </w:divBdr>
      <w:divsChild>
        <w:div w:id="318313692">
          <w:marLeft w:val="0"/>
          <w:marRight w:val="0"/>
          <w:marTop w:val="0"/>
          <w:marBottom w:val="0"/>
          <w:divBdr>
            <w:top w:val="none" w:sz="0" w:space="0" w:color="auto"/>
            <w:left w:val="none" w:sz="0" w:space="0" w:color="auto"/>
            <w:bottom w:val="none" w:sz="0" w:space="0" w:color="auto"/>
            <w:right w:val="none" w:sz="0" w:space="0" w:color="auto"/>
          </w:divBdr>
          <w:divsChild>
            <w:div w:id="1145506961">
              <w:marLeft w:val="0"/>
              <w:marRight w:val="0"/>
              <w:marTop w:val="0"/>
              <w:marBottom w:val="0"/>
              <w:divBdr>
                <w:top w:val="none" w:sz="0" w:space="0" w:color="auto"/>
                <w:left w:val="none" w:sz="0" w:space="0" w:color="auto"/>
                <w:bottom w:val="none" w:sz="0" w:space="0" w:color="auto"/>
                <w:right w:val="none" w:sz="0" w:space="0" w:color="auto"/>
              </w:divBdr>
              <w:divsChild>
                <w:div w:id="6015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57">
          <w:marLeft w:val="0"/>
          <w:marRight w:val="0"/>
          <w:marTop w:val="0"/>
          <w:marBottom w:val="0"/>
          <w:divBdr>
            <w:top w:val="none" w:sz="0" w:space="0" w:color="auto"/>
            <w:left w:val="none" w:sz="0" w:space="0" w:color="auto"/>
            <w:bottom w:val="none" w:sz="0" w:space="0" w:color="auto"/>
            <w:right w:val="none" w:sz="0" w:space="0" w:color="auto"/>
          </w:divBdr>
          <w:divsChild>
            <w:div w:id="7004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31897">
      <w:bodyDiv w:val="1"/>
      <w:marLeft w:val="0"/>
      <w:marRight w:val="0"/>
      <w:marTop w:val="0"/>
      <w:marBottom w:val="0"/>
      <w:divBdr>
        <w:top w:val="none" w:sz="0" w:space="0" w:color="auto"/>
        <w:left w:val="none" w:sz="0" w:space="0" w:color="auto"/>
        <w:bottom w:val="none" w:sz="0" w:space="0" w:color="auto"/>
        <w:right w:val="none" w:sz="0" w:space="0" w:color="auto"/>
      </w:divBdr>
      <w:divsChild>
        <w:div w:id="42340127">
          <w:marLeft w:val="0"/>
          <w:marRight w:val="0"/>
          <w:marTop w:val="0"/>
          <w:marBottom w:val="0"/>
          <w:divBdr>
            <w:top w:val="none" w:sz="0" w:space="0" w:color="auto"/>
            <w:left w:val="none" w:sz="0" w:space="0" w:color="auto"/>
            <w:bottom w:val="none" w:sz="0" w:space="0" w:color="auto"/>
            <w:right w:val="none" w:sz="0" w:space="0" w:color="auto"/>
          </w:divBdr>
        </w:div>
        <w:div w:id="547030956">
          <w:marLeft w:val="0"/>
          <w:marRight w:val="0"/>
          <w:marTop w:val="0"/>
          <w:marBottom w:val="0"/>
          <w:divBdr>
            <w:top w:val="none" w:sz="0" w:space="0" w:color="auto"/>
            <w:left w:val="none" w:sz="0" w:space="0" w:color="auto"/>
            <w:bottom w:val="none" w:sz="0" w:space="0" w:color="auto"/>
            <w:right w:val="none" w:sz="0" w:space="0" w:color="auto"/>
          </w:divBdr>
        </w:div>
        <w:div w:id="928269153">
          <w:marLeft w:val="0"/>
          <w:marRight w:val="0"/>
          <w:marTop w:val="0"/>
          <w:marBottom w:val="0"/>
          <w:divBdr>
            <w:top w:val="none" w:sz="0" w:space="0" w:color="auto"/>
            <w:left w:val="none" w:sz="0" w:space="0" w:color="auto"/>
            <w:bottom w:val="none" w:sz="0" w:space="0" w:color="auto"/>
            <w:right w:val="none" w:sz="0" w:space="0" w:color="auto"/>
          </w:divBdr>
        </w:div>
      </w:divsChild>
    </w:div>
    <w:div w:id="1534534208">
      <w:bodyDiv w:val="1"/>
      <w:marLeft w:val="0"/>
      <w:marRight w:val="0"/>
      <w:marTop w:val="0"/>
      <w:marBottom w:val="0"/>
      <w:divBdr>
        <w:top w:val="none" w:sz="0" w:space="0" w:color="auto"/>
        <w:left w:val="none" w:sz="0" w:space="0" w:color="auto"/>
        <w:bottom w:val="none" w:sz="0" w:space="0" w:color="auto"/>
        <w:right w:val="none" w:sz="0" w:space="0" w:color="auto"/>
      </w:divBdr>
      <w:divsChild>
        <w:div w:id="211235345">
          <w:marLeft w:val="0"/>
          <w:marRight w:val="0"/>
          <w:marTop w:val="0"/>
          <w:marBottom w:val="0"/>
          <w:divBdr>
            <w:top w:val="none" w:sz="0" w:space="0" w:color="auto"/>
            <w:left w:val="none" w:sz="0" w:space="0" w:color="auto"/>
            <w:bottom w:val="none" w:sz="0" w:space="0" w:color="auto"/>
            <w:right w:val="none" w:sz="0" w:space="0" w:color="auto"/>
          </w:divBdr>
        </w:div>
        <w:div w:id="581179800">
          <w:marLeft w:val="0"/>
          <w:marRight w:val="0"/>
          <w:marTop w:val="0"/>
          <w:marBottom w:val="0"/>
          <w:divBdr>
            <w:top w:val="none" w:sz="0" w:space="0" w:color="auto"/>
            <w:left w:val="none" w:sz="0" w:space="0" w:color="auto"/>
            <w:bottom w:val="none" w:sz="0" w:space="0" w:color="auto"/>
            <w:right w:val="none" w:sz="0" w:space="0" w:color="auto"/>
          </w:divBdr>
        </w:div>
        <w:div w:id="745037673">
          <w:marLeft w:val="0"/>
          <w:marRight w:val="0"/>
          <w:marTop w:val="0"/>
          <w:marBottom w:val="0"/>
          <w:divBdr>
            <w:top w:val="none" w:sz="0" w:space="0" w:color="auto"/>
            <w:left w:val="none" w:sz="0" w:space="0" w:color="auto"/>
            <w:bottom w:val="none" w:sz="0" w:space="0" w:color="auto"/>
            <w:right w:val="none" w:sz="0" w:space="0" w:color="auto"/>
          </w:divBdr>
        </w:div>
        <w:div w:id="745996551">
          <w:marLeft w:val="0"/>
          <w:marRight w:val="0"/>
          <w:marTop w:val="0"/>
          <w:marBottom w:val="0"/>
          <w:divBdr>
            <w:top w:val="none" w:sz="0" w:space="0" w:color="auto"/>
            <w:left w:val="none" w:sz="0" w:space="0" w:color="auto"/>
            <w:bottom w:val="none" w:sz="0" w:space="0" w:color="auto"/>
            <w:right w:val="none" w:sz="0" w:space="0" w:color="auto"/>
          </w:divBdr>
        </w:div>
        <w:div w:id="1013653524">
          <w:marLeft w:val="0"/>
          <w:marRight w:val="0"/>
          <w:marTop w:val="0"/>
          <w:marBottom w:val="0"/>
          <w:divBdr>
            <w:top w:val="none" w:sz="0" w:space="0" w:color="auto"/>
            <w:left w:val="none" w:sz="0" w:space="0" w:color="auto"/>
            <w:bottom w:val="none" w:sz="0" w:space="0" w:color="auto"/>
            <w:right w:val="none" w:sz="0" w:space="0" w:color="auto"/>
          </w:divBdr>
        </w:div>
        <w:div w:id="1148739465">
          <w:marLeft w:val="0"/>
          <w:marRight w:val="0"/>
          <w:marTop w:val="0"/>
          <w:marBottom w:val="0"/>
          <w:divBdr>
            <w:top w:val="none" w:sz="0" w:space="0" w:color="auto"/>
            <w:left w:val="none" w:sz="0" w:space="0" w:color="auto"/>
            <w:bottom w:val="none" w:sz="0" w:space="0" w:color="auto"/>
            <w:right w:val="none" w:sz="0" w:space="0" w:color="auto"/>
          </w:divBdr>
        </w:div>
        <w:div w:id="1150367760">
          <w:marLeft w:val="0"/>
          <w:marRight w:val="0"/>
          <w:marTop w:val="0"/>
          <w:marBottom w:val="0"/>
          <w:divBdr>
            <w:top w:val="none" w:sz="0" w:space="0" w:color="auto"/>
            <w:left w:val="none" w:sz="0" w:space="0" w:color="auto"/>
            <w:bottom w:val="none" w:sz="0" w:space="0" w:color="auto"/>
            <w:right w:val="none" w:sz="0" w:space="0" w:color="auto"/>
          </w:divBdr>
        </w:div>
        <w:div w:id="1305509084">
          <w:marLeft w:val="0"/>
          <w:marRight w:val="0"/>
          <w:marTop w:val="0"/>
          <w:marBottom w:val="0"/>
          <w:divBdr>
            <w:top w:val="none" w:sz="0" w:space="0" w:color="auto"/>
            <w:left w:val="none" w:sz="0" w:space="0" w:color="auto"/>
            <w:bottom w:val="none" w:sz="0" w:space="0" w:color="auto"/>
            <w:right w:val="none" w:sz="0" w:space="0" w:color="auto"/>
          </w:divBdr>
        </w:div>
        <w:div w:id="1430200938">
          <w:marLeft w:val="0"/>
          <w:marRight w:val="0"/>
          <w:marTop w:val="0"/>
          <w:marBottom w:val="0"/>
          <w:divBdr>
            <w:top w:val="none" w:sz="0" w:space="0" w:color="auto"/>
            <w:left w:val="none" w:sz="0" w:space="0" w:color="auto"/>
            <w:bottom w:val="none" w:sz="0" w:space="0" w:color="auto"/>
            <w:right w:val="none" w:sz="0" w:space="0" w:color="auto"/>
          </w:divBdr>
        </w:div>
        <w:div w:id="1455171542">
          <w:marLeft w:val="0"/>
          <w:marRight w:val="0"/>
          <w:marTop w:val="0"/>
          <w:marBottom w:val="0"/>
          <w:divBdr>
            <w:top w:val="none" w:sz="0" w:space="0" w:color="auto"/>
            <w:left w:val="none" w:sz="0" w:space="0" w:color="auto"/>
            <w:bottom w:val="none" w:sz="0" w:space="0" w:color="auto"/>
            <w:right w:val="none" w:sz="0" w:space="0" w:color="auto"/>
          </w:divBdr>
        </w:div>
        <w:div w:id="1551267602">
          <w:marLeft w:val="0"/>
          <w:marRight w:val="0"/>
          <w:marTop w:val="0"/>
          <w:marBottom w:val="0"/>
          <w:divBdr>
            <w:top w:val="none" w:sz="0" w:space="0" w:color="auto"/>
            <w:left w:val="none" w:sz="0" w:space="0" w:color="auto"/>
            <w:bottom w:val="none" w:sz="0" w:space="0" w:color="auto"/>
            <w:right w:val="none" w:sz="0" w:space="0" w:color="auto"/>
          </w:divBdr>
        </w:div>
        <w:div w:id="1940604121">
          <w:marLeft w:val="0"/>
          <w:marRight w:val="0"/>
          <w:marTop w:val="0"/>
          <w:marBottom w:val="0"/>
          <w:divBdr>
            <w:top w:val="none" w:sz="0" w:space="0" w:color="auto"/>
            <w:left w:val="none" w:sz="0" w:space="0" w:color="auto"/>
            <w:bottom w:val="none" w:sz="0" w:space="0" w:color="auto"/>
            <w:right w:val="none" w:sz="0" w:space="0" w:color="auto"/>
          </w:divBdr>
        </w:div>
        <w:div w:id="2091198682">
          <w:marLeft w:val="0"/>
          <w:marRight w:val="0"/>
          <w:marTop w:val="0"/>
          <w:marBottom w:val="0"/>
          <w:divBdr>
            <w:top w:val="none" w:sz="0" w:space="0" w:color="auto"/>
            <w:left w:val="none" w:sz="0" w:space="0" w:color="auto"/>
            <w:bottom w:val="none" w:sz="0" w:space="0" w:color="auto"/>
            <w:right w:val="none" w:sz="0" w:space="0" w:color="auto"/>
          </w:divBdr>
        </w:div>
      </w:divsChild>
    </w:div>
    <w:div w:id="1560633721">
      <w:bodyDiv w:val="1"/>
      <w:marLeft w:val="0"/>
      <w:marRight w:val="0"/>
      <w:marTop w:val="0"/>
      <w:marBottom w:val="0"/>
      <w:divBdr>
        <w:top w:val="none" w:sz="0" w:space="0" w:color="auto"/>
        <w:left w:val="none" w:sz="0" w:space="0" w:color="auto"/>
        <w:bottom w:val="none" w:sz="0" w:space="0" w:color="auto"/>
        <w:right w:val="none" w:sz="0" w:space="0" w:color="auto"/>
      </w:divBdr>
      <w:divsChild>
        <w:div w:id="2046443090">
          <w:marLeft w:val="0"/>
          <w:marRight w:val="0"/>
          <w:marTop w:val="0"/>
          <w:marBottom w:val="0"/>
          <w:divBdr>
            <w:top w:val="none" w:sz="0" w:space="0" w:color="auto"/>
            <w:left w:val="none" w:sz="0" w:space="0" w:color="auto"/>
            <w:bottom w:val="none" w:sz="0" w:space="0" w:color="auto"/>
            <w:right w:val="none" w:sz="0" w:space="0" w:color="auto"/>
          </w:divBdr>
        </w:div>
      </w:divsChild>
    </w:div>
    <w:div w:id="1565678595">
      <w:bodyDiv w:val="1"/>
      <w:marLeft w:val="0"/>
      <w:marRight w:val="0"/>
      <w:marTop w:val="0"/>
      <w:marBottom w:val="0"/>
      <w:divBdr>
        <w:top w:val="none" w:sz="0" w:space="0" w:color="auto"/>
        <w:left w:val="none" w:sz="0" w:space="0" w:color="auto"/>
        <w:bottom w:val="none" w:sz="0" w:space="0" w:color="auto"/>
        <w:right w:val="none" w:sz="0" w:space="0" w:color="auto"/>
      </w:divBdr>
    </w:div>
    <w:div w:id="1571384652">
      <w:bodyDiv w:val="1"/>
      <w:marLeft w:val="0"/>
      <w:marRight w:val="0"/>
      <w:marTop w:val="0"/>
      <w:marBottom w:val="0"/>
      <w:divBdr>
        <w:top w:val="none" w:sz="0" w:space="0" w:color="auto"/>
        <w:left w:val="none" w:sz="0" w:space="0" w:color="auto"/>
        <w:bottom w:val="none" w:sz="0" w:space="0" w:color="auto"/>
        <w:right w:val="none" w:sz="0" w:space="0" w:color="auto"/>
      </w:divBdr>
      <w:divsChild>
        <w:div w:id="469176013">
          <w:marLeft w:val="0"/>
          <w:marRight w:val="0"/>
          <w:marTop w:val="0"/>
          <w:marBottom w:val="0"/>
          <w:divBdr>
            <w:top w:val="none" w:sz="0" w:space="0" w:color="auto"/>
            <w:left w:val="none" w:sz="0" w:space="0" w:color="auto"/>
            <w:bottom w:val="none" w:sz="0" w:space="0" w:color="auto"/>
            <w:right w:val="none" w:sz="0" w:space="0" w:color="auto"/>
          </w:divBdr>
        </w:div>
        <w:div w:id="523128582">
          <w:marLeft w:val="0"/>
          <w:marRight w:val="0"/>
          <w:marTop w:val="0"/>
          <w:marBottom w:val="0"/>
          <w:divBdr>
            <w:top w:val="none" w:sz="0" w:space="0" w:color="auto"/>
            <w:left w:val="none" w:sz="0" w:space="0" w:color="auto"/>
            <w:bottom w:val="none" w:sz="0" w:space="0" w:color="auto"/>
            <w:right w:val="none" w:sz="0" w:space="0" w:color="auto"/>
          </w:divBdr>
        </w:div>
        <w:div w:id="571427756">
          <w:marLeft w:val="0"/>
          <w:marRight w:val="0"/>
          <w:marTop w:val="0"/>
          <w:marBottom w:val="0"/>
          <w:divBdr>
            <w:top w:val="none" w:sz="0" w:space="0" w:color="auto"/>
            <w:left w:val="none" w:sz="0" w:space="0" w:color="auto"/>
            <w:bottom w:val="none" w:sz="0" w:space="0" w:color="auto"/>
            <w:right w:val="none" w:sz="0" w:space="0" w:color="auto"/>
          </w:divBdr>
        </w:div>
        <w:div w:id="783963517">
          <w:marLeft w:val="0"/>
          <w:marRight w:val="0"/>
          <w:marTop w:val="0"/>
          <w:marBottom w:val="0"/>
          <w:divBdr>
            <w:top w:val="none" w:sz="0" w:space="0" w:color="auto"/>
            <w:left w:val="none" w:sz="0" w:space="0" w:color="auto"/>
            <w:bottom w:val="none" w:sz="0" w:space="0" w:color="auto"/>
            <w:right w:val="none" w:sz="0" w:space="0" w:color="auto"/>
          </w:divBdr>
        </w:div>
        <w:div w:id="816873402">
          <w:marLeft w:val="0"/>
          <w:marRight w:val="0"/>
          <w:marTop w:val="0"/>
          <w:marBottom w:val="0"/>
          <w:divBdr>
            <w:top w:val="none" w:sz="0" w:space="0" w:color="auto"/>
            <w:left w:val="none" w:sz="0" w:space="0" w:color="auto"/>
            <w:bottom w:val="none" w:sz="0" w:space="0" w:color="auto"/>
            <w:right w:val="none" w:sz="0" w:space="0" w:color="auto"/>
          </w:divBdr>
        </w:div>
        <w:div w:id="1256406216">
          <w:marLeft w:val="0"/>
          <w:marRight w:val="0"/>
          <w:marTop w:val="0"/>
          <w:marBottom w:val="0"/>
          <w:divBdr>
            <w:top w:val="none" w:sz="0" w:space="0" w:color="auto"/>
            <w:left w:val="none" w:sz="0" w:space="0" w:color="auto"/>
            <w:bottom w:val="none" w:sz="0" w:space="0" w:color="auto"/>
            <w:right w:val="none" w:sz="0" w:space="0" w:color="auto"/>
          </w:divBdr>
        </w:div>
        <w:div w:id="1768647579">
          <w:marLeft w:val="0"/>
          <w:marRight w:val="0"/>
          <w:marTop w:val="0"/>
          <w:marBottom w:val="0"/>
          <w:divBdr>
            <w:top w:val="none" w:sz="0" w:space="0" w:color="auto"/>
            <w:left w:val="none" w:sz="0" w:space="0" w:color="auto"/>
            <w:bottom w:val="none" w:sz="0" w:space="0" w:color="auto"/>
            <w:right w:val="none" w:sz="0" w:space="0" w:color="auto"/>
          </w:divBdr>
        </w:div>
      </w:divsChild>
    </w:div>
    <w:div w:id="1600213988">
      <w:bodyDiv w:val="1"/>
      <w:marLeft w:val="0"/>
      <w:marRight w:val="0"/>
      <w:marTop w:val="0"/>
      <w:marBottom w:val="0"/>
      <w:divBdr>
        <w:top w:val="none" w:sz="0" w:space="0" w:color="auto"/>
        <w:left w:val="none" w:sz="0" w:space="0" w:color="auto"/>
        <w:bottom w:val="none" w:sz="0" w:space="0" w:color="auto"/>
        <w:right w:val="none" w:sz="0" w:space="0" w:color="auto"/>
      </w:divBdr>
      <w:divsChild>
        <w:div w:id="672027577">
          <w:marLeft w:val="0"/>
          <w:marRight w:val="0"/>
          <w:marTop w:val="0"/>
          <w:marBottom w:val="0"/>
          <w:divBdr>
            <w:top w:val="none" w:sz="0" w:space="0" w:color="auto"/>
            <w:left w:val="none" w:sz="0" w:space="0" w:color="auto"/>
            <w:bottom w:val="none" w:sz="0" w:space="0" w:color="auto"/>
            <w:right w:val="none" w:sz="0" w:space="0" w:color="auto"/>
          </w:divBdr>
        </w:div>
        <w:div w:id="1875845381">
          <w:marLeft w:val="0"/>
          <w:marRight w:val="0"/>
          <w:marTop w:val="0"/>
          <w:marBottom w:val="0"/>
          <w:divBdr>
            <w:top w:val="none" w:sz="0" w:space="0" w:color="auto"/>
            <w:left w:val="none" w:sz="0" w:space="0" w:color="auto"/>
            <w:bottom w:val="none" w:sz="0" w:space="0" w:color="auto"/>
            <w:right w:val="none" w:sz="0" w:space="0" w:color="auto"/>
          </w:divBdr>
        </w:div>
        <w:div w:id="1967077658">
          <w:marLeft w:val="0"/>
          <w:marRight w:val="0"/>
          <w:marTop w:val="0"/>
          <w:marBottom w:val="0"/>
          <w:divBdr>
            <w:top w:val="none" w:sz="0" w:space="0" w:color="auto"/>
            <w:left w:val="none" w:sz="0" w:space="0" w:color="auto"/>
            <w:bottom w:val="none" w:sz="0" w:space="0" w:color="auto"/>
            <w:right w:val="none" w:sz="0" w:space="0" w:color="auto"/>
          </w:divBdr>
        </w:div>
        <w:div w:id="2052882053">
          <w:marLeft w:val="0"/>
          <w:marRight w:val="0"/>
          <w:marTop w:val="0"/>
          <w:marBottom w:val="0"/>
          <w:divBdr>
            <w:top w:val="none" w:sz="0" w:space="0" w:color="auto"/>
            <w:left w:val="none" w:sz="0" w:space="0" w:color="auto"/>
            <w:bottom w:val="none" w:sz="0" w:space="0" w:color="auto"/>
            <w:right w:val="none" w:sz="0" w:space="0" w:color="auto"/>
          </w:divBdr>
        </w:div>
      </w:divsChild>
    </w:div>
    <w:div w:id="1609579095">
      <w:bodyDiv w:val="1"/>
      <w:marLeft w:val="0"/>
      <w:marRight w:val="0"/>
      <w:marTop w:val="0"/>
      <w:marBottom w:val="0"/>
      <w:divBdr>
        <w:top w:val="none" w:sz="0" w:space="0" w:color="auto"/>
        <w:left w:val="none" w:sz="0" w:space="0" w:color="auto"/>
        <w:bottom w:val="none" w:sz="0" w:space="0" w:color="auto"/>
        <w:right w:val="none" w:sz="0" w:space="0" w:color="auto"/>
      </w:divBdr>
      <w:divsChild>
        <w:div w:id="1666270">
          <w:marLeft w:val="0"/>
          <w:marRight w:val="0"/>
          <w:marTop w:val="0"/>
          <w:marBottom w:val="0"/>
          <w:divBdr>
            <w:top w:val="none" w:sz="0" w:space="0" w:color="auto"/>
            <w:left w:val="none" w:sz="0" w:space="0" w:color="auto"/>
            <w:bottom w:val="none" w:sz="0" w:space="0" w:color="auto"/>
            <w:right w:val="none" w:sz="0" w:space="0" w:color="auto"/>
          </w:divBdr>
        </w:div>
        <w:div w:id="457140317">
          <w:marLeft w:val="0"/>
          <w:marRight w:val="0"/>
          <w:marTop w:val="0"/>
          <w:marBottom w:val="0"/>
          <w:divBdr>
            <w:top w:val="none" w:sz="0" w:space="0" w:color="auto"/>
            <w:left w:val="none" w:sz="0" w:space="0" w:color="auto"/>
            <w:bottom w:val="none" w:sz="0" w:space="0" w:color="auto"/>
            <w:right w:val="none" w:sz="0" w:space="0" w:color="auto"/>
          </w:divBdr>
        </w:div>
        <w:div w:id="923104006">
          <w:marLeft w:val="0"/>
          <w:marRight w:val="0"/>
          <w:marTop w:val="0"/>
          <w:marBottom w:val="0"/>
          <w:divBdr>
            <w:top w:val="none" w:sz="0" w:space="0" w:color="auto"/>
            <w:left w:val="none" w:sz="0" w:space="0" w:color="auto"/>
            <w:bottom w:val="none" w:sz="0" w:space="0" w:color="auto"/>
            <w:right w:val="none" w:sz="0" w:space="0" w:color="auto"/>
          </w:divBdr>
        </w:div>
        <w:div w:id="1509366762">
          <w:marLeft w:val="0"/>
          <w:marRight w:val="0"/>
          <w:marTop w:val="0"/>
          <w:marBottom w:val="0"/>
          <w:divBdr>
            <w:top w:val="none" w:sz="0" w:space="0" w:color="auto"/>
            <w:left w:val="none" w:sz="0" w:space="0" w:color="auto"/>
            <w:bottom w:val="none" w:sz="0" w:space="0" w:color="auto"/>
            <w:right w:val="none" w:sz="0" w:space="0" w:color="auto"/>
          </w:divBdr>
        </w:div>
        <w:div w:id="1736855327">
          <w:marLeft w:val="0"/>
          <w:marRight w:val="0"/>
          <w:marTop w:val="0"/>
          <w:marBottom w:val="0"/>
          <w:divBdr>
            <w:top w:val="none" w:sz="0" w:space="0" w:color="auto"/>
            <w:left w:val="none" w:sz="0" w:space="0" w:color="auto"/>
            <w:bottom w:val="none" w:sz="0" w:space="0" w:color="auto"/>
            <w:right w:val="none" w:sz="0" w:space="0" w:color="auto"/>
          </w:divBdr>
        </w:div>
        <w:div w:id="1836021699">
          <w:marLeft w:val="0"/>
          <w:marRight w:val="0"/>
          <w:marTop w:val="0"/>
          <w:marBottom w:val="0"/>
          <w:divBdr>
            <w:top w:val="none" w:sz="0" w:space="0" w:color="auto"/>
            <w:left w:val="none" w:sz="0" w:space="0" w:color="auto"/>
            <w:bottom w:val="none" w:sz="0" w:space="0" w:color="auto"/>
            <w:right w:val="none" w:sz="0" w:space="0" w:color="auto"/>
          </w:divBdr>
        </w:div>
      </w:divsChild>
    </w:div>
    <w:div w:id="1612781053">
      <w:bodyDiv w:val="1"/>
      <w:marLeft w:val="0"/>
      <w:marRight w:val="0"/>
      <w:marTop w:val="0"/>
      <w:marBottom w:val="0"/>
      <w:divBdr>
        <w:top w:val="none" w:sz="0" w:space="0" w:color="auto"/>
        <w:left w:val="none" w:sz="0" w:space="0" w:color="auto"/>
        <w:bottom w:val="none" w:sz="0" w:space="0" w:color="auto"/>
        <w:right w:val="none" w:sz="0" w:space="0" w:color="auto"/>
      </w:divBdr>
      <w:divsChild>
        <w:div w:id="1324160485">
          <w:marLeft w:val="0"/>
          <w:marRight w:val="0"/>
          <w:marTop w:val="0"/>
          <w:marBottom w:val="0"/>
          <w:divBdr>
            <w:top w:val="none" w:sz="0" w:space="0" w:color="auto"/>
            <w:left w:val="none" w:sz="0" w:space="0" w:color="auto"/>
            <w:bottom w:val="none" w:sz="0" w:space="0" w:color="auto"/>
            <w:right w:val="none" w:sz="0" w:space="0" w:color="auto"/>
          </w:divBdr>
        </w:div>
        <w:div w:id="1852790415">
          <w:marLeft w:val="0"/>
          <w:marRight w:val="0"/>
          <w:marTop w:val="0"/>
          <w:marBottom w:val="0"/>
          <w:divBdr>
            <w:top w:val="none" w:sz="0" w:space="0" w:color="auto"/>
            <w:left w:val="none" w:sz="0" w:space="0" w:color="auto"/>
            <w:bottom w:val="none" w:sz="0" w:space="0" w:color="auto"/>
            <w:right w:val="none" w:sz="0" w:space="0" w:color="auto"/>
          </w:divBdr>
        </w:div>
        <w:div w:id="1860897268">
          <w:marLeft w:val="0"/>
          <w:marRight w:val="0"/>
          <w:marTop w:val="0"/>
          <w:marBottom w:val="0"/>
          <w:divBdr>
            <w:top w:val="none" w:sz="0" w:space="0" w:color="auto"/>
            <w:left w:val="none" w:sz="0" w:space="0" w:color="auto"/>
            <w:bottom w:val="none" w:sz="0" w:space="0" w:color="auto"/>
            <w:right w:val="none" w:sz="0" w:space="0" w:color="auto"/>
          </w:divBdr>
        </w:div>
      </w:divsChild>
    </w:div>
    <w:div w:id="1641762496">
      <w:bodyDiv w:val="1"/>
      <w:marLeft w:val="0"/>
      <w:marRight w:val="0"/>
      <w:marTop w:val="0"/>
      <w:marBottom w:val="0"/>
      <w:divBdr>
        <w:top w:val="none" w:sz="0" w:space="0" w:color="auto"/>
        <w:left w:val="none" w:sz="0" w:space="0" w:color="auto"/>
        <w:bottom w:val="none" w:sz="0" w:space="0" w:color="auto"/>
        <w:right w:val="none" w:sz="0" w:space="0" w:color="auto"/>
      </w:divBdr>
    </w:div>
    <w:div w:id="1645770350">
      <w:bodyDiv w:val="1"/>
      <w:marLeft w:val="0"/>
      <w:marRight w:val="0"/>
      <w:marTop w:val="0"/>
      <w:marBottom w:val="0"/>
      <w:divBdr>
        <w:top w:val="none" w:sz="0" w:space="0" w:color="auto"/>
        <w:left w:val="none" w:sz="0" w:space="0" w:color="auto"/>
        <w:bottom w:val="none" w:sz="0" w:space="0" w:color="auto"/>
        <w:right w:val="none" w:sz="0" w:space="0" w:color="auto"/>
      </w:divBdr>
      <w:divsChild>
        <w:div w:id="27030096">
          <w:marLeft w:val="0"/>
          <w:marRight w:val="0"/>
          <w:marTop w:val="0"/>
          <w:marBottom w:val="0"/>
          <w:divBdr>
            <w:top w:val="none" w:sz="0" w:space="0" w:color="auto"/>
            <w:left w:val="none" w:sz="0" w:space="0" w:color="auto"/>
            <w:bottom w:val="none" w:sz="0" w:space="0" w:color="auto"/>
            <w:right w:val="none" w:sz="0" w:space="0" w:color="auto"/>
          </w:divBdr>
        </w:div>
        <w:div w:id="111900928">
          <w:marLeft w:val="0"/>
          <w:marRight w:val="0"/>
          <w:marTop w:val="0"/>
          <w:marBottom w:val="0"/>
          <w:divBdr>
            <w:top w:val="none" w:sz="0" w:space="0" w:color="auto"/>
            <w:left w:val="none" w:sz="0" w:space="0" w:color="auto"/>
            <w:bottom w:val="none" w:sz="0" w:space="0" w:color="auto"/>
            <w:right w:val="none" w:sz="0" w:space="0" w:color="auto"/>
          </w:divBdr>
        </w:div>
        <w:div w:id="308092779">
          <w:marLeft w:val="0"/>
          <w:marRight w:val="0"/>
          <w:marTop w:val="0"/>
          <w:marBottom w:val="0"/>
          <w:divBdr>
            <w:top w:val="none" w:sz="0" w:space="0" w:color="auto"/>
            <w:left w:val="none" w:sz="0" w:space="0" w:color="auto"/>
            <w:bottom w:val="none" w:sz="0" w:space="0" w:color="auto"/>
            <w:right w:val="none" w:sz="0" w:space="0" w:color="auto"/>
          </w:divBdr>
        </w:div>
        <w:div w:id="602038207">
          <w:marLeft w:val="0"/>
          <w:marRight w:val="0"/>
          <w:marTop w:val="0"/>
          <w:marBottom w:val="0"/>
          <w:divBdr>
            <w:top w:val="none" w:sz="0" w:space="0" w:color="auto"/>
            <w:left w:val="none" w:sz="0" w:space="0" w:color="auto"/>
            <w:bottom w:val="none" w:sz="0" w:space="0" w:color="auto"/>
            <w:right w:val="none" w:sz="0" w:space="0" w:color="auto"/>
          </w:divBdr>
        </w:div>
        <w:div w:id="708455913">
          <w:marLeft w:val="0"/>
          <w:marRight w:val="0"/>
          <w:marTop w:val="0"/>
          <w:marBottom w:val="0"/>
          <w:divBdr>
            <w:top w:val="none" w:sz="0" w:space="0" w:color="auto"/>
            <w:left w:val="none" w:sz="0" w:space="0" w:color="auto"/>
            <w:bottom w:val="none" w:sz="0" w:space="0" w:color="auto"/>
            <w:right w:val="none" w:sz="0" w:space="0" w:color="auto"/>
          </w:divBdr>
        </w:div>
        <w:div w:id="773788797">
          <w:marLeft w:val="0"/>
          <w:marRight w:val="0"/>
          <w:marTop w:val="0"/>
          <w:marBottom w:val="0"/>
          <w:divBdr>
            <w:top w:val="none" w:sz="0" w:space="0" w:color="auto"/>
            <w:left w:val="none" w:sz="0" w:space="0" w:color="auto"/>
            <w:bottom w:val="none" w:sz="0" w:space="0" w:color="auto"/>
            <w:right w:val="none" w:sz="0" w:space="0" w:color="auto"/>
          </w:divBdr>
        </w:div>
        <w:div w:id="794643143">
          <w:marLeft w:val="0"/>
          <w:marRight w:val="0"/>
          <w:marTop w:val="0"/>
          <w:marBottom w:val="0"/>
          <w:divBdr>
            <w:top w:val="none" w:sz="0" w:space="0" w:color="auto"/>
            <w:left w:val="none" w:sz="0" w:space="0" w:color="auto"/>
            <w:bottom w:val="none" w:sz="0" w:space="0" w:color="auto"/>
            <w:right w:val="none" w:sz="0" w:space="0" w:color="auto"/>
          </w:divBdr>
        </w:div>
        <w:div w:id="1168180436">
          <w:marLeft w:val="0"/>
          <w:marRight w:val="0"/>
          <w:marTop w:val="0"/>
          <w:marBottom w:val="0"/>
          <w:divBdr>
            <w:top w:val="none" w:sz="0" w:space="0" w:color="auto"/>
            <w:left w:val="none" w:sz="0" w:space="0" w:color="auto"/>
            <w:bottom w:val="none" w:sz="0" w:space="0" w:color="auto"/>
            <w:right w:val="none" w:sz="0" w:space="0" w:color="auto"/>
          </w:divBdr>
        </w:div>
        <w:div w:id="1210843732">
          <w:marLeft w:val="0"/>
          <w:marRight w:val="0"/>
          <w:marTop w:val="0"/>
          <w:marBottom w:val="0"/>
          <w:divBdr>
            <w:top w:val="none" w:sz="0" w:space="0" w:color="auto"/>
            <w:left w:val="none" w:sz="0" w:space="0" w:color="auto"/>
            <w:bottom w:val="none" w:sz="0" w:space="0" w:color="auto"/>
            <w:right w:val="none" w:sz="0" w:space="0" w:color="auto"/>
          </w:divBdr>
        </w:div>
        <w:div w:id="1387294038">
          <w:marLeft w:val="0"/>
          <w:marRight w:val="0"/>
          <w:marTop w:val="0"/>
          <w:marBottom w:val="0"/>
          <w:divBdr>
            <w:top w:val="none" w:sz="0" w:space="0" w:color="auto"/>
            <w:left w:val="none" w:sz="0" w:space="0" w:color="auto"/>
            <w:bottom w:val="none" w:sz="0" w:space="0" w:color="auto"/>
            <w:right w:val="none" w:sz="0" w:space="0" w:color="auto"/>
          </w:divBdr>
        </w:div>
        <w:div w:id="1439177461">
          <w:marLeft w:val="0"/>
          <w:marRight w:val="0"/>
          <w:marTop w:val="0"/>
          <w:marBottom w:val="0"/>
          <w:divBdr>
            <w:top w:val="none" w:sz="0" w:space="0" w:color="auto"/>
            <w:left w:val="none" w:sz="0" w:space="0" w:color="auto"/>
            <w:bottom w:val="none" w:sz="0" w:space="0" w:color="auto"/>
            <w:right w:val="none" w:sz="0" w:space="0" w:color="auto"/>
          </w:divBdr>
        </w:div>
        <w:div w:id="1531605445">
          <w:marLeft w:val="0"/>
          <w:marRight w:val="0"/>
          <w:marTop w:val="0"/>
          <w:marBottom w:val="0"/>
          <w:divBdr>
            <w:top w:val="none" w:sz="0" w:space="0" w:color="auto"/>
            <w:left w:val="none" w:sz="0" w:space="0" w:color="auto"/>
            <w:bottom w:val="none" w:sz="0" w:space="0" w:color="auto"/>
            <w:right w:val="none" w:sz="0" w:space="0" w:color="auto"/>
          </w:divBdr>
        </w:div>
        <w:div w:id="2111701568">
          <w:marLeft w:val="0"/>
          <w:marRight w:val="0"/>
          <w:marTop w:val="0"/>
          <w:marBottom w:val="0"/>
          <w:divBdr>
            <w:top w:val="none" w:sz="0" w:space="0" w:color="auto"/>
            <w:left w:val="none" w:sz="0" w:space="0" w:color="auto"/>
            <w:bottom w:val="none" w:sz="0" w:space="0" w:color="auto"/>
            <w:right w:val="none" w:sz="0" w:space="0" w:color="auto"/>
          </w:divBdr>
        </w:div>
      </w:divsChild>
    </w:div>
    <w:div w:id="1648969061">
      <w:bodyDiv w:val="1"/>
      <w:marLeft w:val="0"/>
      <w:marRight w:val="0"/>
      <w:marTop w:val="0"/>
      <w:marBottom w:val="0"/>
      <w:divBdr>
        <w:top w:val="none" w:sz="0" w:space="0" w:color="auto"/>
        <w:left w:val="none" w:sz="0" w:space="0" w:color="auto"/>
        <w:bottom w:val="none" w:sz="0" w:space="0" w:color="auto"/>
        <w:right w:val="none" w:sz="0" w:space="0" w:color="auto"/>
      </w:divBdr>
      <w:divsChild>
        <w:div w:id="654382109">
          <w:marLeft w:val="0"/>
          <w:marRight w:val="0"/>
          <w:marTop w:val="0"/>
          <w:marBottom w:val="0"/>
          <w:divBdr>
            <w:top w:val="none" w:sz="0" w:space="0" w:color="auto"/>
            <w:left w:val="none" w:sz="0" w:space="0" w:color="auto"/>
            <w:bottom w:val="none" w:sz="0" w:space="0" w:color="auto"/>
            <w:right w:val="none" w:sz="0" w:space="0" w:color="auto"/>
          </w:divBdr>
          <w:divsChild>
            <w:div w:id="1381708611">
              <w:marLeft w:val="0"/>
              <w:marRight w:val="0"/>
              <w:marTop w:val="0"/>
              <w:marBottom w:val="0"/>
              <w:divBdr>
                <w:top w:val="none" w:sz="0" w:space="0" w:color="auto"/>
                <w:left w:val="none" w:sz="0" w:space="0" w:color="auto"/>
                <w:bottom w:val="none" w:sz="0" w:space="0" w:color="auto"/>
                <w:right w:val="none" w:sz="0" w:space="0" w:color="auto"/>
              </w:divBdr>
            </w:div>
          </w:divsChild>
        </w:div>
        <w:div w:id="1614895733">
          <w:marLeft w:val="0"/>
          <w:marRight w:val="0"/>
          <w:marTop w:val="0"/>
          <w:marBottom w:val="0"/>
          <w:divBdr>
            <w:top w:val="none" w:sz="0" w:space="0" w:color="auto"/>
            <w:left w:val="none" w:sz="0" w:space="0" w:color="auto"/>
            <w:bottom w:val="none" w:sz="0" w:space="0" w:color="auto"/>
            <w:right w:val="none" w:sz="0" w:space="0" w:color="auto"/>
          </w:divBdr>
          <w:divsChild>
            <w:div w:id="1921405907">
              <w:marLeft w:val="0"/>
              <w:marRight w:val="0"/>
              <w:marTop w:val="0"/>
              <w:marBottom w:val="0"/>
              <w:divBdr>
                <w:top w:val="none" w:sz="0" w:space="0" w:color="auto"/>
                <w:left w:val="none" w:sz="0" w:space="0" w:color="auto"/>
                <w:bottom w:val="none" w:sz="0" w:space="0" w:color="auto"/>
                <w:right w:val="none" w:sz="0" w:space="0" w:color="auto"/>
              </w:divBdr>
              <w:divsChild>
                <w:div w:id="145201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34758">
      <w:bodyDiv w:val="1"/>
      <w:marLeft w:val="0"/>
      <w:marRight w:val="0"/>
      <w:marTop w:val="0"/>
      <w:marBottom w:val="0"/>
      <w:divBdr>
        <w:top w:val="none" w:sz="0" w:space="0" w:color="auto"/>
        <w:left w:val="none" w:sz="0" w:space="0" w:color="auto"/>
        <w:bottom w:val="none" w:sz="0" w:space="0" w:color="auto"/>
        <w:right w:val="none" w:sz="0" w:space="0" w:color="auto"/>
      </w:divBdr>
      <w:divsChild>
        <w:div w:id="1799958220">
          <w:marLeft w:val="0"/>
          <w:marRight w:val="0"/>
          <w:marTop w:val="0"/>
          <w:marBottom w:val="0"/>
          <w:divBdr>
            <w:top w:val="none" w:sz="0" w:space="0" w:color="auto"/>
            <w:left w:val="none" w:sz="0" w:space="0" w:color="auto"/>
            <w:bottom w:val="none" w:sz="0" w:space="0" w:color="auto"/>
            <w:right w:val="none" w:sz="0" w:space="0" w:color="auto"/>
          </w:divBdr>
          <w:divsChild>
            <w:div w:id="1083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5873">
      <w:bodyDiv w:val="1"/>
      <w:marLeft w:val="0"/>
      <w:marRight w:val="0"/>
      <w:marTop w:val="0"/>
      <w:marBottom w:val="0"/>
      <w:divBdr>
        <w:top w:val="none" w:sz="0" w:space="0" w:color="auto"/>
        <w:left w:val="none" w:sz="0" w:space="0" w:color="auto"/>
        <w:bottom w:val="none" w:sz="0" w:space="0" w:color="auto"/>
        <w:right w:val="none" w:sz="0" w:space="0" w:color="auto"/>
      </w:divBdr>
      <w:divsChild>
        <w:div w:id="1289507978">
          <w:marLeft w:val="0"/>
          <w:marRight w:val="0"/>
          <w:marTop w:val="0"/>
          <w:marBottom w:val="0"/>
          <w:divBdr>
            <w:top w:val="none" w:sz="0" w:space="0" w:color="auto"/>
            <w:left w:val="none" w:sz="0" w:space="0" w:color="auto"/>
            <w:bottom w:val="none" w:sz="0" w:space="0" w:color="auto"/>
            <w:right w:val="none" w:sz="0" w:space="0" w:color="auto"/>
          </w:divBdr>
          <w:divsChild>
            <w:div w:id="16851504">
              <w:marLeft w:val="0"/>
              <w:marRight w:val="0"/>
              <w:marTop w:val="0"/>
              <w:marBottom w:val="0"/>
              <w:divBdr>
                <w:top w:val="none" w:sz="0" w:space="0" w:color="auto"/>
                <w:left w:val="none" w:sz="0" w:space="0" w:color="auto"/>
                <w:bottom w:val="none" w:sz="0" w:space="0" w:color="auto"/>
                <w:right w:val="none" w:sz="0" w:space="0" w:color="auto"/>
              </w:divBdr>
            </w:div>
            <w:div w:id="56828876">
              <w:marLeft w:val="0"/>
              <w:marRight w:val="0"/>
              <w:marTop w:val="0"/>
              <w:marBottom w:val="0"/>
              <w:divBdr>
                <w:top w:val="none" w:sz="0" w:space="0" w:color="auto"/>
                <w:left w:val="none" w:sz="0" w:space="0" w:color="auto"/>
                <w:bottom w:val="none" w:sz="0" w:space="0" w:color="auto"/>
                <w:right w:val="none" w:sz="0" w:space="0" w:color="auto"/>
              </w:divBdr>
            </w:div>
            <w:div w:id="90204431">
              <w:marLeft w:val="0"/>
              <w:marRight w:val="0"/>
              <w:marTop w:val="0"/>
              <w:marBottom w:val="0"/>
              <w:divBdr>
                <w:top w:val="none" w:sz="0" w:space="0" w:color="auto"/>
                <w:left w:val="none" w:sz="0" w:space="0" w:color="auto"/>
                <w:bottom w:val="none" w:sz="0" w:space="0" w:color="auto"/>
                <w:right w:val="none" w:sz="0" w:space="0" w:color="auto"/>
              </w:divBdr>
            </w:div>
            <w:div w:id="182869122">
              <w:marLeft w:val="0"/>
              <w:marRight w:val="0"/>
              <w:marTop w:val="0"/>
              <w:marBottom w:val="0"/>
              <w:divBdr>
                <w:top w:val="none" w:sz="0" w:space="0" w:color="auto"/>
                <w:left w:val="none" w:sz="0" w:space="0" w:color="auto"/>
                <w:bottom w:val="none" w:sz="0" w:space="0" w:color="auto"/>
                <w:right w:val="none" w:sz="0" w:space="0" w:color="auto"/>
              </w:divBdr>
            </w:div>
            <w:div w:id="208609001">
              <w:marLeft w:val="0"/>
              <w:marRight w:val="0"/>
              <w:marTop w:val="0"/>
              <w:marBottom w:val="0"/>
              <w:divBdr>
                <w:top w:val="none" w:sz="0" w:space="0" w:color="auto"/>
                <w:left w:val="none" w:sz="0" w:space="0" w:color="auto"/>
                <w:bottom w:val="none" w:sz="0" w:space="0" w:color="auto"/>
                <w:right w:val="none" w:sz="0" w:space="0" w:color="auto"/>
              </w:divBdr>
            </w:div>
            <w:div w:id="268856502">
              <w:marLeft w:val="0"/>
              <w:marRight w:val="0"/>
              <w:marTop w:val="0"/>
              <w:marBottom w:val="0"/>
              <w:divBdr>
                <w:top w:val="none" w:sz="0" w:space="0" w:color="auto"/>
                <w:left w:val="none" w:sz="0" w:space="0" w:color="auto"/>
                <w:bottom w:val="none" w:sz="0" w:space="0" w:color="auto"/>
                <w:right w:val="none" w:sz="0" w:space="0" w:color="auto"/>
              </w:divBdr>
            </w:div>
            <w:div w:id="296380343">
              <w:marLeft w:val="0"/>
              <w:marRight w:val="0"/>
              <w:marTop w:val="0"/>
              <w:marBottom w:val="0"/>
              <w:divBdr>
                <w:top w:val="none" w:sz="0" w:space="0" w:color="auto"/>
                <w:left w:val="none" w:sz="0" w:space="0" w:color="auto"/>
                <w:bottom w:val="none" w:sz="0" w:space="0" w:color="auto"/>
                <w:right w:val="none" w:sz="0" w:space="0" w:color="auto"/>
              </w:divBdr>
            </w:div>
            <w:div w:id="301883486">
              <w:marLeft w:val="0"/>
              <w:marRight w:val="0"/>
              <w:marTop w:val="0"/>
              <w:marBottom w:val="0"/>
              <w:divBdr>
                <w:top w:val="none" w:sz="0" w:space="0" w:color="auto"/>
                <w:left w:val="none" w:sz="0" w:space="0" w:color="auto"/>
                <w:bottom w:val="none" w:sz="0" w:space="0" w:color="auto"/>
                <w:right w:val="none" w:sz="0" w:space="0" w:color="auto"/>
              </w:divBdr>
            </w:div>
            <w:div w:id="322852148">
              <w:marLeft w:val="0"/>
              <w:marRight w:val="0"/>
              <w:marTop w:val="0"/>
              <w:marBottom w:val="0"/>
              <w:divBdr>
                <w:top w:val="none" w:sz="0" w:space="0" w:color="auto"/>
                <w:left w:val="none" w:sz="0" w:space="0" w:color="auto"/>
                <w:bottom w:val="none" w:sz="0" w:space="0" w:color="auto"/>
                <w:right w:val="none" w:sz="0" w:space="0" w:color="auto"/>
              </w:divBdr>
            </w:div>
            <w:div w:id="376319696">
              <w:marLeft w:val="0"/>
              <w:marRight w:val="0"/>
              <w:marTop w:val="0"/>
              <w:marBottom w:val="0"/>
              <w:divBdr>
                <w:top w:val="none" w:sz="0" w:space="0" w:color="auto"/>
                <w:left w:val="none" w:sz="0" w:space="0" w:color="auto"/>
                <w:bottom w:val="none" w:sz="0" w:space="0" w:color="auto"/>
                <w:right w:val="none" w:sz="0" w:space="0" w:color="auto"/>
              </w:divBdr>
            </w:div>
            <w:div w:id="407928007">
              <w:marLeft w:val="0"/>
              <w:marRight w:val="0"/>
              <w:marTop w:val="0"/>
              <w:marBottom w:val="0"/>
              <w:divBdr>
                <w:top w:val="none" w:sz="0" w:space="0" w:color="auto"/>
                <w:left w:val="none" w:sz="0" w:space="0" w:color="auto"/>
                <w:bottom w:val="none" w:sz="0" w:space="0" w:color="auto"/>
                <w:right w:val="none" w:sz="0" w:space="0" w:color="auto"/>
              </w:divBdr>
            </w:div>
            <w:div w:id="425661475">
              <w:marLeft w:val="0"/>
              <w:marRight w:val="0"/>
              <w:marTop w:val="0"/>
              <w:marBottom w:val="0"/>
              <w:divBdr>
                <w:top w:val="none" w:sz="0" w:space="0" w:color="auto"/>
                <w:left w:val="none" w:sz="0" w:space="0" w:color="auto"/>
                <w:bottom w:val="none" w:sz="0" w:space="0" w:color="auto"/>
                <w:right w:val="none" w:sz="0" w:space="0" w:color="auto"/>
              </w:divBdr>
            </w:div>
            <w:div w:id="476459529">
              <w:marLeft w:val="0"/>
              <w:marRight w:val="0"/>
              <w:marTop w:val="0"/>
              <w:marBottom w:val="0"/>
              <w:divBdr>
                <w:top w:val="none" w:sz="0" w:space="0" w:color="auto"/>
                <w:left w:val="none" w:sz="0" w:space="0" w:color="auto"/>
                <w:bottom w:val="none" w:sz="0" w:space="0" w:color="auto"/>
                <w:right w:val="none" w:sz="0" w:space="0" w:color="auto"/>
              </w:divBdr>
            </w:div>
            <w:div w:id="502860831">
              <w:marLeft w:val="0"/>
              <w:marRight w:val="0"/>
              <w:marTop w:val="0"/>
              <w:marBottom w:val="0"/>
              <w:divBdr>
                <w:top w:val="none" w:sz="0" w:space="0" w:color="auto"/>
                <w:left w:val="none" w:sz="0" w:space="0" w:color="auto"/>
                <w:bottom w:val="none" w:sz="0" w:space="0" w:color="auto"/>
                <w:right w:val="none" w:sz="0" w:space="0" w:color="auto"/>
              </w:divBdr>
            </w:div>
            <w:div w:id="519785516">
              <w:marLeft w:val="0"/>
              <w:marRight w:val="0"/>
              <w:marTop w:val="0"/>
              <w:marBottom w:val="0"/>
              <w:divBdr>
                <w:top w:val="none" w:sz="0" w:space="0" w:color="auto"/>
                <w:left w:val="none" w:sz="0" w:space="0" w:color="auto"/>
                <w:bottom w:val="none" w:sz="0" w:space="0" w:color="auto"/>
                <w:right w:val="none" w:sz="0" w:space="0" w:color="auto"/>
              </w:divBdr>
            </w:div>
            <w:div w:id="530919261">
              <w:marLeft w:val="0"/>
              <w:marRight w:val="0"/>
              <w:marTop w:val="0"/>
              <w:marBottom w:val="0"/>
              <w:divBdr>
                <w:top w:val="none" w:sz="0" w:space="0" w:color="auto"/>
                <w:left w:val="none" w:sz="0" w:space="0" w:color="auto"/>
                <w:bottom w:val="none" w:sz="0" w:space="0" w:color="auto"/>
                <w:right w:val="none" w:sz="0" w:space="0" w:color="auto"/>
              </w:divBdr>
            </w:div>
            <w:div w:id="566184453">
              <w:marLeft w:val="0"/>
              <w:marRight w:val="0"/>
              <w:marTop w:val="0"/>
              <w:marBottom w:val="0"/>
              <w:divBdr>
                <w:top w:val="none" w:sz="0" w:space="0" w:color="auto"/>
                <w:left w:val="none" w:sz="0" w:space="0" w:color="auto"/>
                <w:bottom w:val="none" w:sz="0" w:space="0" w:color="auto"/>
                <w:right w:val="none" w:sz="0" w:space="0" w:color="auto"/>
              </w:divBdr>
            </w:div>
            <w:div w:id="591282031">
              <w:marLeft w:val="0"/>
              <w:marRight w:val="0"/>
              <w:marTop w:val="0"/>
              <w:marBottom w:val="0"/>
              <w:divBdr>
                <w:top w:val="none" w:sz="0" w:space="0" w:color="auto"/>
                <w:left w:val="none" w:sz="0" w:space="0" w:color="auto"/>
                <w:bottom w:val="none" w:sz="0" w:space="0" w:color="auto"/>
                <w:right w:val="none" w:sz="0" w:space="0" w:color="auto"/>
              </w:divBdr>
            </w:div>
            <w:div w:id="604925415">
              <w:marLeft w:val="0"/>
              <w:marRight w:val="0"/>
              <w:marTop w:val="0"/>
              <w:marBottom w:val="0"/>
              <w:divBdr>
                <w:top w:val="none" w:sz="0" w:space="0" w:color="auto"/>
                <w:left w:val="none" w:sz="0" w:space="0" w:color="auto"/>
                <w:bottom w:val="none" w:sz="0" w:space="0" w:color="auto"/>
                <w:right w:val="none" w:sz="0" w:space="0" w:color="auto"/>
              </w:divBdr>
            </w:div>
            <w:div w:id="613248200">
              <w:marLeft w:val="0"/>
              <w:marRight w:val="0"/>
              <w:marTop w:val="0"/>
              <w:marBottom w:val="0"/>
              <w:divBdr>
                <w:top w:val="none" w:sz="0" w:space="0" w:color="auto"/>
                <w:left w:val="none" w:sz="0" w:space="0" w:color="auto"/>
                <w:bottom w:val="none" w:sz="0" w:space="0" w:color="auto"/>
                <w:right w:val="none" w:sz="0" w:space="0" w:color="auto"/>
              </w:divBdr>
            </w:div>
            <w:div w:id="669602443">
              <w:marLeft w:val="0"/>
              <w:marRight w:val="0"/>
              <w:marTop w:val="0"/>
              <w:marBottom w:val="0"/>
              <w:divBdr>
                <w:top w:val="none" w:sz="0" w:space="0" w:color="auto"/>
                <w:left w:val="none" w:sz="0" w:space="0" w:color="auto"/>
                <w:bottom w:val="none" w:sz="0" w:space="0" w:color="auto"/>
                <w:right w:val="none" w:sz="0" w:space="0" w:color="auto"/>
              </w:divBdr>
            </w:div>
            <w:div w:id="680739097">
              <w:marLeft w:val="0"/>
              <w:marRight w:val="0"/>
              <w:marTop w:val="0"/>
              <w:marBottom w:val="0"/>
              <w:divBdr>
                <w:top w:val="none" w:sz="0" w:space="0" w:color="auto"/>
                <w:left w:val="none" w:sz="0" w:space="0" w:color="auto"/>
                <w:bottom w:val="none" w:sz="0" w:space="0" w:color="auto"/>
                <w:right w:val="none" w:sz="0" w:space="0" w:color="auto"/>
              </w:divBdr>
            </w:div>
            <w:div w:id="740056235">
              <w:marLeft w:val="0"/>
              <w:marRight w:val="0"/>
              <w:marTop w:val="0"/>
              <w:marBottom w:val="0"/>
              <w:divBdr>
                <w:top w:val="none" w:sz="0" w:space="0" w:color="auto"/>
                <w:left w:val="none" w:sz="0" w:space="0" w:color="auto"/>
                <w:bottom w:val="none" w:sz="0" w:space="0" w:color="auto"/>
                <w:right w:val="none" w:sz="0" w:space="0" w:color="auto"/>
              </w:divBdr>
            </w:div>
            <w:div w:id="749500996">
              <w:marLeft w:val="0"/>
              <w:marRight w:val="0"/>
              <w:marTop w:val="0"/>
              <w:marBottom w:val="0"/>
              <w:divBdr>
                <w:top w:val="none" w:sz="0" w:space="0" w:color="auto"/>
                <w:left w:val="none" w:sz="0" w:space="0" w:color="auto"/>
                <w:bottom w:val="none" w:sz="0" w:space="0" w:color="auto"/>
                <w:right w:val="none" w:sz="0" w:space="0" w:color="auto"/>
              </w:divBdr>
            </w:div>
            <w:div w:id="758596640">
              <w:marLeft w:val="0"/>
              <w:marRight w:val="0"/>
              <w:marTop w:val="0"/>
              <w:marBottom w:val="0"/>
              <w:divBdr>
                <w:top w:val="none" w:sz="0" w:space="0" w:color="auto"/>
                <w:left w:val="none" w:sz="0" w:space="0" w:color="auto"/>
                <w:bottom w:val="none" w:sz="0" w:space="0" w:color="auto"/>
                <w:right w:val="none" w:sz="0" w:space="0" w:color="auto"/>
              </w:divBdr>
            </w:div>
            <w:div w:id="862131554">
              <w:marLeft w:val="0"/>
              <w:marRight w:val="0"/>
              <w:marTop w:val="0"/>
              <w:marBottom w:val="0"/>
              <w:divBdr>
                <w:top w:val="none" w:sz="0" w:space="0" w:color="auto"/>
                <w:left w:val="none" w:sz="0" w:space="0" w:color="auto"/>
                <w:bottom w:val="none" w:sz="0" w:space="0" w:color="auto"/>
                <w:right w:val="none" w:sz="0" w:space="0" w:color="auto"/>
              </w:divBdr>
            </w:div>
            <w:div w:id="921261333">
              <w:marLeft w:val="0"/>
              <w:marRight w:val="0"/>
              <w:marTop w:val="0"/>
              <w:marBottom w:val="0"/>
              <w:divBdr>
                <w:top w:val="none" w:sz="0" w:space="0" w:color="auto"/>
                <w:left w:val="none" w:sz="0" w:space="0" w:color="auto"/>
                <w:bottom w:val="none" w:sz="0" w:space="0" w:color="auto"/>
                <w:right w:val="none" w:sz="0" w:space="0" w:color="auto"/>
              </w:divBdr>
            </w:div>
            <w:div w:id="950891224">
              <w:marLeft w:val="0"/>
              <w:marRight w:val="0"/>
              <w:marTop w:val="0"/>
              <w:marBottom w:val="0"/>
              <w:divBdr>
                <w:top w:val="none" w:sz="0" w:space="0" w:color="auto"/>
                <w:left w:val="none" w:sz="0" w:space="0" w:color="auto"/>
                <w:bottom w:val="none" w:sz="0" w:space="0" w:color="auto"/>
                <w:right w:val="none" w:sz="0" w:space="0" w:color="auto"/>
              </w:divBdr>
            </w:div>
            <w:div w:id="972096452">
              <w:marLeft w:val="0"/>
              <w:marRight w:val="0"/>
              <w:marTop w:val="0"/>
              <w:marBottom w:val="0"/>
              <w:divBdr>
                <w:top w:val="none" w:sz="0" w:space="0" w:color="auto"/>
                <w:left w:val="none" w:sz="0" w:space="0" w:color="auto"/>
                <w:bottom w:val="none" w:sz="0" w:space="0" w:color="auto"/>
                <w:right w:val="none" w:sz="0" w:space="0" w:color="auto"/>
              </w:divBdr>
            </w:div>
            <w:div w:id="991521065">
              <w:marLeft w:val="0"/>
              <w:marRight w:val="0"/>
              <w:marTop w:val="0"/>
              <w:marBottom w:val="0"/>
              <w:divBdr>
                <w:top w:val="none" w:sz="0" w:space="0" w:color="auto"/>
                <w:left w:val="none" w:sz="0" w:space="0" w:color="auto"/>
                <w:bottom w:val="none" w:sz="0" w:space="0" w:color="auto"/>
                <w:right w:val="none" w:sz="0" w:space="0" w:color="auto"/>
              </w:divBdr>
            </w:div>
            <w:div w:id="993097777">
              <w:marLeft w:val="0"/>
              <w:marRight w:val="0"/>
              <w:marTop w:val="0"/>
              <w:marBottom w:val="0"/>
              <w:divBdr>
                <w:top w:val="none" w:sz="0" w:space="0" w:color="auto"/>
                <w:left w:val="none" w:sz="0" w:space="0" w:color="auto"/>
                <w:bottom w:val="none" w:sz="0" w:space="0" w:color="auto"/>
                <w:right w:val="none" w:sz="0" w:space="0" w:color="auto"/>
              </w:divBdr>
            </w:div>
            <w:div w:id="1140612075">
              <w:marLeft w:val="0"/>
              <w:marRight w:val="0"/>
              <w:marTop w:val="0"/>
              <w:marBottom w:val="0"/>
              <w:divBdr>
                <w:top w:val="none" w:sz="0" w:space="0" w:color="auto"/>
                <w:left w:val="none" w:sz="0" w:space="0" w:color="auto"/>
                <w:bottom w:val="none" w:sz="0" w:space="0" w:color="auto"/>
                <w:right w:val="none" w:sz="0" w:space="0" w:color="auto"/>
              </w:divBdr>
            </w:div>
            <w:div w:id="1161969313">
              <w:marLeft w:val="0"/>
              <w:marRight w:val="0"/>
              <w:marTop w:val="0"/>
              <w:marBottom w:val="0"/>
              <w:divBdr>
                <w:top w:val="none" w:sz="0" w:space="0" w:color="auto"/>
                <w:left w:val="none" w:sz="0" w:space="0" w:color="auto"/>
                <w:bottom w:val="none" w:sz="0" w:space="0" w:color="auto"/>
                <w:right w:val="none" w:sz="0" w:space="0" w:color="auto"/>
              </w:divBdr>
            </w:div>
            <w:div w:id="1246573825">
              <w:marLeft w:val="0"/>
              <w:marRight w:val="0"/>
              <w:marTop w:val="0"/>
              <w:marBottom w:val="0"/>
              <w:divBdr>
                <w:top w:val="none" w:sz="0" w:space="0" w:color="auto"/>
                <w:left w:val="none" w:sz="0" w:space="0" w:color="auto"/>
                <w:bottom w:val="none" w:sz="0" w:space="0" w:color="auto"/>
                <w:right w:val="none" w:sz="0" w:space="0" w:color="auto"/>
              </w:divBdr>
            </w:div>
            <w:div w:id="1280258503">
              <w:marLeft w:val="0"/>
              <w:marRight w:val="0"/>
              <w:marTop w:val="0"/>
              <w:marBottom w:val="0"/>
              <w:divBdr>
                <w:top w:val="none" w:sz="0" w:space="0" w:color="auto"/>
                <w:left w:val="none" w:sz="0" w:space="0" w:color="auto"/>
                <w:bottom w:val="none" w:sz="0" w:space="0" w:color="auto"/>
                <w:right w:val="none" w:sz="0" w:space="0" w:color="auto"/>
              </w:divBdr>
            </w:div>
            <w:div w:id="1302732981">
              <w:marLeft w:val="0"/>
              <w:marRight w:val="0"/>
              <w:marTop w:val="0"/>
              <w:marBottom w:val="0"/>
              <w:divBdr>
                <w:top w:val="none" w:sz="0" w:space="0" w:color="auto"/>
                <w:left w:val="none" w:sz="0" w:space="0" w:color="auto"/>
                <w:bottom w:val="none" w:sz="0" w:space="0" w:color="auto"/>
                <w:right w:val="none" w:sz="0" w:space="0" w:color="auto"/>
              </w:divBdr>
            </w:div>
            <w:div w:id="1312520138">
              <w:marLeft w:val="0"/>
              <w:marRight w:val="0"/>
              <w:marTop w:val="0"/>
              <w:marBottom w:val="0"/>
              <w:divBdr>
                <w:top w:val="none" w:sz="0" w:space="0" w:color="auto"/>
                <w:left w:val="none" w:sz="0" w:space="0" w:color="auto"/>
                <w:bottom w:val="none" w:sz="0" w:space="0" w:color="auto"/>
                <w:right w:val="none" w:sz="0" w:space="0" w:color="auto"/>
              </w:divBdr>
            </w:div>
            <w:div w:id="1351224561">
              <w:marLeft w:val="0"/>
              <w:marRight w:val="0"/>
              <w:marTop w:val="0"/>
              <w:marBottom w:val="0"/>
              <w:divBdr>
                <w:top w:val="none" w:sz="0" w:space="0" w:color="auto"/>
                <w:left w:val="none" w:sz="0" w:space="0" w:color="auto"/>
                <w:bottom w:val="none" w:sz="0" w:space="0" w:color="auto"/>
                <w:right w:val="none" w:sz="0" w:space="0" w:color="auto"/>
              </w:divBdr>
            </w:div>
            <w:div w:id="1410729884">
              <w:marLeft w:val="0"/>
              <w:marRight w:val="0"/>
              <w:marTop w:val="0"/>
              <w:marBottom w:val="0"/>
              <w:divBdr>
                <w:top w:val="none" w:sz="0" w:space="0" w:color="auto"/>
                <w:left w:val="none" w:sz="0" w:space="0" w:color="auto"/>
                <w:bottom w:val="none" w:sz="0" w:space="0" w:color="auto"/>
                <w:right w:val="none" w:sz="0" w:space="0" w:color="auto"/>
              </w:divBdr>
            </w:div>
            <w:div w:id="1421945067">
              <w:marLeft w:val="0"/>
              <w:marRight w:val="0"/>
              <w:marTop w:val="0"/>
              <w:marBottom w:val="0"/>
              <w:divBdr>
                <w:top w:val="none" w:sz="0" w:space="0" w:color="auto"/>
                <w:left w:val="none" w:sz="0" w:space="0" w:color="auto"/>
                <w:bottom w:val="none" w:sz="0" w:space="0" w:color="auto"/>
                <w:right w:val="none" w:sz="0" w:space="0" w:color="auto"/>
              </w:divBdr>
            </w:div>
            <w:div w:id="1480345102">
              <w:marLeft w:val="0"/>
              <w:marRight w:val="0"/>
              <w:marTop w:val="0"/>
              <w:marBottom w:val="0"/>
              <w:divBdr>
                <w:top w:val="none" w:sz="0" w:space="0" w:color="auto"/>
                <w:left w:val="none" w:sz="0" w:space="0" w:color="auto"/>
                <w:bottom w:val="none" w:sz="0" w:space="0" w:color="auto"/>
                <w:right w:val="none" w:sz="0" w:space="0" w:color="auto"/>
              </w:divBdr>
            </w:div>
            <w:div w:id="1506943971">
              <w:marLeft w:val="0"/>
              <w:marRight w:val="0"/>
              <w:marTop w:val="0"/>
              <w:marBottom w:val="0"/>
              <w:divBdr>
                <w:top w:val="none" w:sz="0" w:space="0" w:color="auto"/>
                <w:left w:val="none" w:sz="0" w:space="0" w:color="auto"/>
                <w:bottom w:val="none" w:sz="0" w:space="0" w:color="auto"/>
                <w:right w:val="none" w:sz="0" w:space="0" w:color="auto"/>
              </w:divBdr>
            </w:div>
            <w:div w:id="1600871846">
              <w:marLeft w:val="0"/>
              <w:marRight w:val="0"/>
              <w:marTop w:val="0"/>
              <w:marBottom w:val="0"/>
              <w:divBdr>
                <w:top w:val="none" w:sz="0" w:space="0" w:color="auto"/>
                <w:left w:val="none" w:sz="0" w:space="0" w:color="auto"/>
                <w:bottom w:val="none" w:sz="0" w:space="0" w:color="auto"/>
                <w:right w:val="none" w:sz="0" w:space="0" w:color="auto"/>
              </w:divBdr>
            </w:div>
            <w:div w:id="1601986549">
              <w:marLeft w:val="0"/>
              <w:marRight w:val="0"/>
              <w:marTop w:val="0"/>
              <w:marBottom w:val="0"/>
              <w:divBdr>
                <w:top w:val="none" w:sz="0" w:space="0" w:color="auto"/>
                <w:left w:val="none" w:sz="0" w:space="0" w:color="auto"/>
                <w:bottom w:val="none" w:sz="0" w:space="0" w:color="auto"/>
                <w:right w:val="none" w:sz="0" w:space="0" w:color="auto"/>
              </w:divBdr>
            </w:div>
            <w:div w:id="1657341870">
              <w:marLeft w:val="0"/>
              <w:marRight w:val="0"/>
              <w:marTop w:val="0"/>
              <w:marBottom w:val="0"/>
              <w:divBdr>
                <w:top w:val="none" w:sz="0" w:space="0" w:color="auto"/>
                <w:left w:val="none" w:sz="0" w:space="0" w:color="auto"/>
                <w:bottom w:val="none" w:sz="0" w:space="0" w:color="auto"/>
                <w:right w:val="none" w:sz="0" w:space="0" w:color="auto"/>
              </w:divBdr>
            </w:div>
            <w:div w:id="1659262028">
              <w:marLeft w:val="0"/>
              <w:marRight w:val="0"/>
              <w:marTop w:val="0"/>
              <w:marBottom w:val="0"/>
              <w:divBdr>
                <w:top w:val="none" w:sz="0" w:space="0" w:color="auto"/>
                <w:left w:val="none" w:sz="0" w:space="0" w:color="auto"/>
                <w:bottom w:val="none" w:sz="0" w:space="0" w:color="auto"/>
                <w:right w:val="none" w:sz="0" w:space="0" w:color="auto"/>
              </w:divBdr>
            </w:div>
            <w:div w:id="1669675081">
              <w:marLeft w:val="0"/>
              <w:marRight w:val="0"/>
              <w:marTop w:val="0"/>
              <w:marBottom w:val="0"/>
              <w:divBdr>
                <w:top w:val="none" w:sz="0" w:space="0" w:color="auto"/>
                <w:left w:val="none" w:sz="0" w:space="0" w:color="auto"/>
                <w:bottom w:val="none" w:sz="0" w:space="0" w:color="auto"/>
                <w:right w:val="none" w:sz="0" w:space="0" w:color="auto"/>
              </w:divBdr>
            </w:div>
            <w:div w:id="1719206061">
              <w:marLeft w:val="0"/>
              <w:marRight w:val="0"/>
              <w:marTop w:val="0"/>
              <w:marBottom w:val="0"/>
              <w:divBdr>
                <w:top w:val="none" w:sz="0" w:space="0" w:color="auto"/>
                <w:left w:val="none" w:sz="0" w:space="0" w:color="auto"/>
                <w:bottom w:val="none" w:sz="0" w:space="0" w:color="auto"/>
                <w:right w:val="none" w:sz="0" w:space="0" w:color="auto"/>
              </w:divBdr>
            </w:div>
            <w:div w:id="1758938000">
              <w:marLeft w:val="0"/>
              <w:marRight w:val="0"/>
              <w:marTop w:val="0"/>
              <w:marBottom w:val="0"/>
              <w:divBdr>
                <w:top w:val="none" w:sz="0" w:space="0" w:color="auto"/>
                <w:left w:val="none" w:sz="0" w:space="0" w:color="auto"/>
                <w:bottom w:val="none" w:sz="0" w:space="0" w:color="auto"/>
                <w:right w:val="none" w:sz="0" w:space="0" w:color="auto"/>
              </w:divBdr>
            </w:div>
            <w:div w:id="1765028814">
              <w:marLeft w:val="0"/>
              <w:marRight w:val="0"/>
              <w:marTop w:val="0"/>
              <w:marBottom w:val="0"/>
              <w:divBdr>
                <w:top w:val="none" w:sz="0" w:space="0" w:color="auto"/>
                <w:left w:val="none" w:sz="0" w:space="0" w:color="auto"/>
                <w:bottom w:val="none" w:sz="0" w:space="0" w:color="auto"/>
                <w:right w:val="none" w:sz="0" w:space="0" w:color="auto"/>
              </w:divBdr>
            </w:div>
            <w:div w:id="1823497655">
              <w:marLeft w:val="0"/>
              <w:marRight w:val="0"/>
              <w:marTop w:val="0"/>
              <w:marBottom w:val="0"/>
              <w:divBdr>
                <w:top w:val="none" w:sz="0" w:space="0" w:color="auto"/>
                <w:left w:val="none" w:sz="0" w:space="0" w:color="auto"/>
                <w:bottom w:val="none" w:sz="0" w:space="0" w:color="auto"/>
                <w:right w:val="none" w:sz="0" w:space="0" w:color="auto"/>
              </w:divBdr>
            </w:div>
            <w:div w:id="1840343751">
              <w:marLeft w:val="0"/>
              <w:marRight w:val="0"/>
              <w:marTop w:val="0"/>
              <w:marBottom w:val="0"/>
              <w:divBdr>
                <w:top w:val="none" w:sz="0" w:space="0" w:color="auto"/>
                <w:left w:val="none" w:sz="0" w:space="0" w:color="auto"/>
                <w:bottom w:val="none" w:sz="0" w:space="0" w:color="auto"/>
                <w:right w:val="none" w:sz="0" w:space="0" w:color="auto"/>
              </w:divBdr>
            </w:div>
            <w:div w:id="1859389053">
              <w:marLeft w:val="0"/>
              <w:marRight w:val="0"/>
              <w:marTop w:val="0"/>
              <w:marBottom w:val="0"/>
              <w:divBdr>
                <w:top w:val="none" w:sz="0" w:space="0" w:color="auto"/>
                <w:left w:val="none" w:sz="0" w:space="0" w:color="auto"/>
                <w:bottom w:val="none" w:sz="0" w:space="0" w:color="auto"/>
                <w:right w:val="none" w:sz="0" w:space="0" w:color="auto"/>
              </w:divBdr>
            </w:div>
            <w:div w:id="1912159918">
              <w:marLeft w:val="0"/>
              <w:marRight w:val="0"/>
              <w:marTop w:val="0"/>
              <w:marBottom w:val="0"/>
              <w:divBdr>
                <w:top w:val="none" w:sz="0" w:space="0" w:color="auto"/>
                <w:left w:val="none" w:sz="0" w:space="0" w:color="auto"/>
                <w:bottom w:val="none" w:sz="0" w:space="0" w:color="auto"/>
                <w:right w:val="none" w:sz="0" w:space="0" w:color="auto"/>
              </w:divBdr>
            </w:div>
            <w:div w:id="1954703704">
              <w:marLeft w:val="0"/>
              <w:marRight w:val="0"/>
              <w:marTop w:val="0"/>
              <w:marBottom w:val="0"/>
              <w:divBdr>
                <w:top w:val="none" w:sz="0" w:space="0" w:color="auto"/>
                <w:left w:val="none" w:sz="0" w:space="0" w:color="auto"/>
                <w:bottom w:val="none" w:sz="0" w:space="0" w:color="auto"/>
                <w:right w:val="none" w:sz="0" w:space="0" w:color="auto"/>
              </w:divBdr>
            </w:div>
            <w:div w:id="2028868602">
              <w:marLeft w:val="0"/>
              <w:marRight w:val="0"/>
              <w:marTop w:val="0"/>
              <w:marBottom w:val="0"/>
              <w:divBdr>
                <w:top w:val="none" w:sz="0" w:space="0" w:color="auto"/>
                <w:left w:val="none" w:sz="0" w:space="0" w:color="auto"/>
                <w:bottom w:val="none" w:sz="0" w:space="0" w:color="auto"/>
                <w:right w:val="none" w:sz="0" w:space="0" w:color="auto"/>
              </w:divBdr>
            </w:div>
            <w:div w:id="2045641505">
              <w:marLeft w:val="0"/>
              <w:marRight w:val="0"/>
              <w:marTop w:val="0"/>
              <w:marBottom w:val="0"/>
              <w:divBdr>
                <w:top w:val="none" w:sz="0" w:space="0" w:color="auto"/>
                <w:left w:val="none" w:sz="0" w:space="0" w:color="auto"/>
                <w:bottom w:val="none" w:sz="0" w:space="0" w:color="auto"/>
                <w:right w:val="none" w:sz="0" w:space="0" w:color="auto"/>
              </w:divBdr>
            </w:div>
            <w:div w:id="2045786168">
              <w:marLeft w:val="0"/>
              <w:marRight w:val="0"/>
              <w:marTop w:val="0"/>
              <w:marBottom w:val="0"/>
              <w:divBdr>
                <w:top w:val="none" w:sz="0" w:space="0" w:color="auto"/>
                <w:left w:val="none" w:sz="0" w:space="0" w:color="auto"/>
                <w:bottom w:val="none" w:sz="0" w:space="0" w:color="auto"/>
                <w:right w:val="none" w:sz="0" w:space="0" w:color="auto"/>
              </w:divBdr>
            </w:div>
            <w:div w:id="2063941204">
              <w:marLeft w:val="0"/>
              <w:marRight w:val="0"/>
              <w:marTop w:val="0"/>
              <w:marBottom w:val="0"/>
              <w:divBdr>
                <w:top w:val="none" w:sz="0" w:space="0" w:color="auto"/>
                <w:left w:val="none" w:sz="0" w:space="0" w:color="auto"/>
                <w:bottom w:val="none" w:sz="0" w:space="0" w:color="auto"/>
                <w:right w:val="none" w:sz="0" w:space="0" w:color="auto"/>
              </w:divBdr>
            </w:div>
            <w:div w:id="2113627627">
              <w:marLeft w:val="0"/>
              <w:marRight w:val="0"/>
              <w:marTop w:val="0"/>
              <w:marBottom w:val="0"/>
              <w:divBdr>
                <w:top w:val="none" w:sz="0" w:space="0" w:color="auto"/>
                <w:left w:val="none" w:sz="0" w:space="0" w:color="auto"/>
                <w:bottom w:val="none" w:sz="0" w:space="0" w:color="auto"/>
                <w:right w:val="none" w:sz="0" w:space="0" w:color="auto"/>
              </w:divBdr>
            </w:div>
            <w:div w:id="2127039099">
              <w:marLeft w:val="0"/>
              <w:marRight w:val="0"/>
              <w:marTop w:val="0"/>
              <w:marBottom w:val="0"/>
              <w:divBdr>
                <w:top w:val="none" w:sz="0" w:space="0" w:color="auto"/>
                <w:left w:val="none" w:sz="0" w:space="0" w:color="auto"/>
                <w:bottom w:val="none" w:sz="0" w:space="0" w:color="auto"/>
                <w:right w:val="none" w:sz="0" w:space="0" w:color="auto"/>
              </w:divBdr>
            </w:div>
            <w:div w:id="2136408603">
              <w:marLeft w:val="0"/>
              <w:marRight w:val="0"/>
              <w:marTop w:val="0"/>
              <w:marBottom w:val="0"/>
              <w:divBdr>
                <w:top w:val="none" w:sz="0" w:space="0" w:color="auto"/>
                <w:left w:val="none" w:sz="0" w:space="0" w:color="auto"/>
                <w:bottom w:val="none" w:sz="0" w:space="0" w:color="auto"/>
                <w:right w:val="none" w:sz="0" w:space="0" w:color="auto"/>
              </w:divBdr>
            </w:div>
            <w:div w:id="21449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4128">
      <w:bodyDiv w:val="1"/>
      <w:marLeft w:val="0"/>
      <w:marRight w:val="0"/>
      <w:marTop w:val="0"/>
      <w:marBottom w:val="0"/>
      <w:divBdr>
        <w:top w:val="none" w:sz="0" w:space="0" w:color="auto"/>
        <w:left w:val="none" w:sz="0" w:space="0" w:color="auto"/>
        <w:bottom w:val="none" w:sz="0" w:space="0" w:color="auto"/>
        <w:right w:val="none" w:sz="0" w:space="0" w:color="auto"/>
      </w:divBdr>
      <w:divsChild>
        <w:div w:id="1978760033">
          <w:marLeft w:val="0"/>
          <w:marRight w:val="0"/>
          <w:marTop w:val="0"/>
          <w:marBottom w:val="0"/>
          <w:divBdr>
            <w:top w:val="none" w:sz="0" w:space="0" w:color="auto"/>
            <w:left w:val="none" w:sz="0" w:space="0" w:color="auto"/>
            <w:bottom w:val="none" w:sz="0" w:space="0" w:color="auto"/>
            <w:right w:val="none" w:sz="0" w:space="0" w:color="auto"/>
          </w:divBdr>
        </w:div>
      </w:divsChild>
    </w:div>
    <w:div w:id="1713844261">
      <w:bodyDiv w:val="1"/>
      <w:marLeft w:val="0"/>
      <w:marRight w:val="0"/>
      <w:marTop w:val="0"/>
      <w:marBottom w:val="0"/>
      <w:divBdr>
        <w:top w:val="none" w:sz="0" w:space="0" w:color="auto"/>
        <w:left w:val="none" w:sz="0" w:space="0" w:color="auto"/>
        <w:bottom w:val="none" w:sz="0" w:space="0" w:color="auto"/>
        <w:right w:val="none" w:sz="0" w:space="0" w:color="auto"/>
      </w:divBdr>
      <w:divsChild>
        <w:div w:id="122698584">
          <w:marLeft w:val="0"/>
          <w:marRight w:val="0"/>
          <w:marTop w:val="0"/>
          <w:marBottom w:val="0"/>
          <w:divBdr>
            <w:top w:val="none" w:sz="0" w:space="0" w:color="auto"/>
            <w:left w:val="none" w:sz="0" w:space="0" w:color="auto"/>
            <w:bottom w:val="none" w:sz="0" w:space="0" w:color="auto"/>
            <w:right w:val="none" w:sz="0" w:space="0" w:color="auto"/>
          </w:divBdr>
        </w:div>
        <w:div w:id="272782738">
          <w:marLeft w:val="0"/>
          <w:marRight w:val="0"/>
          <w:marTop w:val="0"/>
          <w:marBottom w:val="0"/>
          <w:divBdr>
            <w:top w:val="none" w:sz="0" w:space="0" w:color="auto"/>
            <w:left w:val="none" w:sz="0" w:space="0" w:color="auto"/>
            <w:bottom w:val="none" w:sz="0" w:space="0" w:color="auto"/>
            <w:right w:val="none" w:sz="0" w:space="0" w:color="auto"/>
          </w:divBdr>
        </w:div>
        <w:div w:id="367802626">
          <w:marLeft w:val="0"/>
          <w:marRight w:val="0"/>
          <w:marTop w:val="0"/>
          <w:marBottom w:val="0"/>
          <w:divBdr>
            <w:top w:val="none" w:sz="0" w:space="0" w:color="auto"/>
            <w:left w:val="none" w:sz="0" w:space="0" w:color="auto"/>
            <w:bottom w:val="none" w:sz="0" w:space="0" w:color="auto"/>
            <w:right w:val="none" w:sz="0" w:space="0" w:color="auto"/>
          </w:divBdr>
        </w:div>
        <w:div w:id="373775909">
          <w:marLeft w:val="0"/>
          <w:marRight w:val="0"/>
          <w:marTop w:val="0"/>
          <w:marBottom w:val="0"/>
          <w:divBdr>
            <w:top w:val="none" w:sz="0" w:space="0" w:color="auto"/>
            <w:left w:val="none" w:sz="0" w:space="0" w:color="auto"/>
            <w:bottom w:val="none" w:sz="0" w:space="0" w:color="auto"/>
            <w:right w:val="none" w:sz="0" w:space="0" w:color="auto"/>
          </w:divBdr>
        </w:div>
        <w:div w:id="570582870">
          <w:marLeft w:val="0"/>
          <w:marRight w:val="0"/>
          <w:marTop w:val="0"/>
          <w:marBottom w:val="0"/>
          <w:divBdr>
            <w:top w:val="none" w:sz="0" w:space="0" w:color="auto"/>
            <w:left w:val="none" w:sz="0" w:space="0" w:color="auto"/>
            <w:bottom w:val="none" w:sz="0" w:space="0" w:color="auto"/>
            <w:right w:val="none" w:sz="0" w:space="0" w:color="auto"/>
          </w:divBdr>
        </w:div>
        <w:div w:id="647588397">
          <w:marLeft w:val="0"/>
          <w:marRight w:val="0"/>
          <w:marTop w:val="0"/>
          <w:marBottom w:val="0"/>
          <w:divBdr>
            <w:top w:val="none" w:sz="0" w:space="0" w:color="auto"/>
            <w:left w:val="none" w:sz="0" w:space="0" w:color="auto"/>
            <w:bottom w:val="none" w:sz="0" w:space="0" w:color="auto"/>
            <w:right w:val="none" w:sz="0" w:space="0" w:color="auto"/>
          </w:divBdr>
        </w:div>
        <w:div w:id="815727008">
          <w:marLeft w:val="0"/>
          <w:marRight w:val="0"/>
          <w:marTop w:val="0"/>
          <w:marBottom w:val="0"/>
          <w:divBdr>
            <w:top w:val="none" w:sz="0" w:space="0" w:color="auto"/>
            <w:left w:val="none" w:sz="0" w:space="0" w:color="auto"/>
            <w:bottom w:val="none" w:sz="0" w:space="0" w:color="auto"/>
            <w:right w:val="none" w:sz="0" w:space="0" w:color="auto"/>
          </w:divBdr>
        </w:div>
        <w:div w:id="1148015663">
          <w:marLeft w:val="0"/>
          <w:marRight w:val="0"/>
          <w:marTop w:val="0"/>
          <w:marBottom w:val="0"/>
          <w:divBdr>
            <w:top w:val="none" w:sz="0" w:space="0" w:color="auto"/>
            <w:left w:val="none" w:sz="0" w:space="0" w:color="auto"/>
            <w:bottom w:val="none" w:sz="0" w:space="0" w:color="auto"/>
            <w:right w:val="none" w:sz="0" w:space="0" w:color="auto"/>
          </w:divBdr>
        </w:div>
        <w:div w:id="1219321615">
          <w:marLeft w:val="0"/>
          <w:marRight w:val="0"/>
          <w:marTop w:val="0"/>
          <w:marBottom w:val="0"/>
          <w:divBdr>
            <w:top w:val="none" w:sz="0" w:space="0" w:color="auto"/>
            <w:left w:val="none" w:sz="0" w:space="0" w:color="auto"/>
            <w:bottom w:val="none" w:sz="0" w:space="0" w:color="auto"/>
            <w:right w:val="none" w:sz="0" w:space="0" w:color="auto"/>
          </w:divBdr>
        </w:div>
        <w:div w:id="1224021805">
          <w:marLeft w:val="0"/>
          <w:marRight w:val="0"/>
          <w:marTop w:val="0"/>
          <w:marBottom w:val="0"/>
          <w:divBdr>
            <w:top w:val="none" w:sz="0" w:space="0" w:color="auto"/>
            <w:left w:val="none" w:sz="0" w:space="0" w:color="auto"/>
            <w:bottom w:val="none" w:sz="0" w:space="0" w:color="auto"/>
            <w:right w:val="none" w:sz="0" w:space="0" w:color="auto"/>
          </w:divBdr>
        </w:div>
        <w:div w:id="1441996205">
          <w:marLeft w:val="0"/>
          <w:marRight w:val="0"/>
          <w:marTop w:val="0"/>
          <w:marBottom w:val="0"/>
          <w:divBdr>
            <w:top w:val="none" w:sz="0" w:space="0" w:color="auto"/>
            <w:left w:val="none" w:sz="0" w:space="0" w:color="auto"/>
            <w:bottom w:val="none" w:sz="0" w:space="0" w:color="auto"/>
            <w:right w:val="none" w:sz="0" w:space="0" w:color="auto"/>
          </w:divBdr>
        </w:div>
        <w:div w:id="1525628424">
          <w:marLeft w:val="0"/>
          <w:marRight w:val="0"/>
          <w:marTop w:val="0"/>
          <w:marBottom w:val="0"/>
          <w:divBdr>
            <w:top w:val="none" w:sz="0" w:space="0" w:color="auto"/>
            <w:left w:val="none" w:sz="0" w:space="0" w:color="auto"/>
            <w:bottom w:val="none" w:sz="0" w:space="0" w:color="auto"/>
            <w:right w:val="none" w:sz="0" w:space="0" w:color="auto"/>
          </w:divBdr>
        </w:div>
        <w:div w:id="1647659863">
          <w:marLeft w:val="0"/>
          <w:marRight w:val="0"/>
          <w:marTop w:val="0"/>
          <w:marBottom w:val="0"/>
          <w:divBdr>
            <w:top w:val="none" w:sz="0" w:space="0" w:color="auto"/>
            <w:left w:val="none" w:sz="0" w:space="0" w:color="auto"/>
            <w:bottom w:val="none" w:sz="0" w:space="0" w:color="auto"/>
            <w:right w:val="none" w:sz="0" w:space="0" w:color="auto"/>
          </w:divBdr>
        </w:div>
        <w:div w:id="1765957179">
          <w:marLeft w:val="0"/>
          <w:marRight w:val="0"/>
          <w:marTop w:val="0"/>
          <w:marBottom w:val="0"/>
          <w:divBdr>
            <w:top w:val="none" w:sz="0" w:space="0" w:color="auto"/>
            <w:left w:val="none" w:sz="0" w:space="0" w:color="auto"/>
            <w:bottom w:val="none" w:sz="0" w:space="0" w:color="auto"/>
            <w:right w:val="none" w:sz="0" w:space="0" w:color="auto"/>
          </w:divBdr>
        </w:div>
        <w:div w:id="1892887313">
          <w:marLeft w:val="0"/>
          <w:marRight w:val="0"/>
          <w:marTop w:val="0"/>
          <w:marBottom w:val="0"/>
          <w:divBdr>
            <w:top w:val="none" w:sz="0" w:space="0" w:color="auto"/>
            <w:left w:val="none" w:sz="0" w:space="0" w:color="auto"/>
            <w:bottom w:val="none" w:sz="0" w:space="0" w:color="auto"/>
            <w:right w:val="none" w:sz="0" w:space="0" w:color="auto"/>
          </w:divBdr>
        </w:div>
        <w:div w:id="1920628132">
          <w:marLeft w:val="0"/>
          <w:marRight w:val="0"/>
          <w:marTop w:val="0"/>
          <w:marBottom w:val="0"/>
          <w:divBdr>
            <w:top w:val="none" w:sz="0" w:space="0" w:color="auto"/>
            <w:left w:val="none" w:sz="0" w:space="0" w:color="auto"/>
            <w:bottom w:val="none" w:sz="0" w:space="0" w:color="auto"/>
            <w:right w:val="none" w:sz="0" w:space="0" w:color="auto"/>
          </w:divBdr>
        </w:div>
        <w:div w:id="2052917885">
          <w:marLeft w:val="0"/>
          <w:marRight w:val="0"/>
          <w:marTop w:val="0"/>
          <w:marBottom w:val="0"/>
          <w:divBdr>
            <w:top w:val="none" w:sz="0" w:space="0" w:color="auto"/>
            <w:left w:val="none" w:sz="0" w:space="0" w:color="auto"/>
            <w:bottom w:val="none" w:sz="0" w:space="0" w:color="auto"/>
            <w:right w:val="none" w:sz="0" w:space="0" w:color="auto"/>
          </w:divBdr>
        </w:div>
      </w:divsChild>
    </w:div>
    <w:div w:id="1713849192">
      <w:bodyDiv w:val="1"/>
      <w:marLeft w:val="0"/>
      <w:marRight w:val="0"/>
      <w:marTop w:val="0"/>
      <w:marBottom w:val="0"/>
      <w:divBdr>
        <w:top w:val="none" w:sz="0" w:space="0" w:color="auto"/>
        <w:left w:val="none" w:sz="0" w:space="0" w:color="auto"/>
        <w:bottom w:val="none" w:sz="0" w:space="0" w:color="auto"/>
        <w:right w:val="none" w:sz="0" w:space="0" w:color="auto"/>
      </w:divBdr>
      <w:divsChild>
        <w:div w:id="46926117">
          <w:marLeft w:val="0"/>
          <w:marRight w:val="0"/>
          <w:marTop w:val="0"/>
          <w:marBottom w:val="0"/>
          <w:divBdr>
            <w:top w:val="none" w:sz="0" w:space="0" w:color="auto"/>
            <w:left w:val="none" w:sz="0" w:space="0" w:color="auto"/>
            <w:bottom w:val="none" w:sz="0" w:space="0" w:color="auto"/>
            <w:right w:val="none" w:sz="0" w:space="0" w:color="auto"/>
          </w:divBdr>
        </w:div>
        <w:div w:id="234584556">
          <w:marLeft w:val="0"/>
          <w:marRight w:val="0"/>
          <w:marTop w:val="0"/>
          <w:marBottom w:val="0"/>
          <w:divBdr>
            <w:top w:val="none" w:sz="0" w:space="0" w:color="auto"/>
            <w:left w:val="none" w:sz="0" w:space="0" w:color="auto"/>
            <w:bottom w:val="none" w:sz="0" w:space="0" w:color="auto"/>
            <w:right w:val="none" w:sz="0" w:space="0" w:color="auto"/>
          </w:divBdr>
        </w:div>
        <w:div w:id="237979472">
          <w:marLeft w:val="0"/>
          <w:marRight w:val="0"/>
          <w:marTop w:val="0"/>
          <w:marBottom w:val="0"/>
          <w:divBdr>
            <w:top w:val="none" w:sz="0" w:space="0" w:color="auto"/>
            <w:left w:val="none" w:sz="0" w:space="0" w:color="auto"/>
            <w:bottom w:val="none" w:sz="0" w:space="0" w:color="auto"/>
            <w:right w:val="none" w:sz="0" w:space="0" w:color="auto"/>
          </w:divBdr>
        </w:div>
        <w:div w:id="483350964">
          <w:marLeft w:val="0"/>
          <w:marRight w:val="0"/>
          <w:marTop w:val="0"/>
          <w:marBottom w:val="0"/>
          <w:divBdr>
            <w:top w:val="none" w:sz="0" w:space="0" w:color="auto"/>
            <w:left w:val="none" w:sz="0" w:space="0" w:color="auto"/>
            <w:bottom w:val="none" w:sz="0" w:space="0" w:color="auto"/>
            <w:right w:val="none" w:sz="0" w:space="0" w:color="auto"/>
          </w:divBdr>
        </w:div>
        <w:div w:id="668562385">
          <w:marLeft w:val="0"/>
          <w:marRight w:val="0"/>
          <w:marTop w:val="0"/>
          <w:marBottom w:val="0"/>
          <w:divBdr>
            <w:top w:val="none" w:sz="0" w:space="0" w:color="auto"/>
            <w:left w:val="none" w:sz="0" w:space="0" w:color="auto"/>
            <w:bottom w:val="none" w:sz="0" w:space="0" w:color="auto"/>
            <w:right w:val="none" w:sz="0" w:space="0" w:color="auto"/>
          </w:divBdr>
        </w:div>
        <w:div w:id="836071155">
          <w:marLeft w:val="0"/>
          <w:marRight w:val="0"/>
          <w:marTop w:val="0"/>
          <w:marBottom w:val="0"/>
          <w:divBdr>
            <w:top w:val="none" w:sz="0" w:space="0" w:color="auto"/>
            <w:left w:val="none" w:sz="0" w:space="0" w:color="auto"/>
            <w:bottom w:val="none" w:sz="0" w:space="0" w:color="auto"/>
            <w:right w:val="none" w:sz="0" w:space="0" w:color="auto"/>
          </w:divBdr>
        </w:div>
        <w:div w:id="1056972554">
          <w:marLeft w:val="0"/>
          <w:marRight w:val="0"/>
          <w:marTop w:val="0"/>
          <w:marBottom w:val="0"/>
          <w:divBdr>
            <w:top w:val="none" w:sz="0" w:space="0" w:color="auto"/>
            <w:left w:val="none" w:sz="0" w:space="0" w:color="auto"/>
            <w:bottom w:val="none" w:sz="0" w:space="0" w:color="auto"/>
            <w:right w:val="none" w:sz="0" w:space="0" w:color="auto"/>
          </w:divBdr>
        </w:div>
        <w:div w:id="1217593979">
          <w:marLeft w:val="0"/>
          <w:marRight w:val="0"/>
          <w:marTop w:val="0"/>
          <w:marBottom w:val="0"/>
          <w:divBdr>
            <w:top w:val="none" w:sz="0" w:space="0" w:color="auto"/>
            <w:left w:val="none" w:sz="0" w:space="0" w:color="auto"/>
            <w:bottom w:val="none" w:sz="0" w:space="0" w:color="auto"/>
            <w:right w:val="none" w:sz="0" w:space="0" w:color="auto"/>
          </w:divBdr>
        </w:div>
        <w:div w:id="1260942584">
          <w:marLeft w:val="0"/>
          <w:marRight w:val="0"/>
          <w:marTop w:val="0"/>
          <w:marBottom w:val="0"/>
          <w:divBdr>
            <w:top w:val="none" w:sz="0" w:space="0" w:color="auto"/>
            <w:left w:val="none" w:sz="0" w:space="0" w:color="auto"/>
            <w:bottom w:val="none" w:sz="0" w:space="0" w:color="auto"/>
            <w:right w:val="none" w:sz="0" w:space="0" w:color="auto"/>
          </w:divBdr>
        </w:div>
        <w:div w:id="1425222057">
          <w:marLeft w:val="0"/>
          <w:marRight w:val="0"/>
          <w:marTop w:val="0"/>
          <w:marBottom w:val="0"/>
          <w:divBdr>
            <w:top w:val="none" w:sz="0" w:space="0" w:color="auto"/>
            <w:left w:val="none" w:sz="0" w:space="0" w:color="auto"/>
            <w:bottom w:val="none" w:sz="0" w:space="0" w:color="auto"/>
            <w:right w:val="none" w:sz="0" w:space="0" w:color="auto"/>
          </w:divBdr>
        </w:div>
        <w:div w:id="1483691206">
          <w:marLeft w:val="0"/>
          <w:marRight w:val="0"/>
          <w:marTop w:val="0"/>
          <w:marBottom w:val="0"/>
          <w:divBdr>
            <w:top w:val="none" w:sz="0" w:space="0" w:color="auto"/>
            <w:left w:val="none" w:sz="0" w:space="0" w:color="auto"/>
            <w:bottom w:val="none" w:sz="0" w:space="0" w:color="auto"/>
            <w:right w:val="none" w:sz="0" w:space="0" w:color="auto"/>
          </w:divBdr>
        </w:div>
        <w:div w:id="1620212826">
          <w:marLeft w:val="0"/>
          <w:marRight w:val="0"/>
          <w:marTop w:val="0"/>
          <w:marBottom w:val="0"/>
          <w:divBdr>
            <w:top w:val="none" w:sz="0" w:space="0" w:color="auto"/>
            <w:left w:val="none" w:sz="0" w:space="0" w:color="auto"/>
            <w:bottom w:val="none" w:sz="0" w:space="0" w:color="auto"/>
            <w:right w:val="none" w:sz="0" w:space="0" w:color="auto"/>
          </w:divBdr>
        </w:div>
        <w:div w:id="1697383609">
          <w:marLeft w:val="0"/>
          <w:marRight w:val="0"/>
          <w:marTop w:val="0"/>
          <w:marBottom w:val="0"/>
          <w:divBdr>
            <w:top w:val="none" w:sz="0" w:space="0" w:color="auto"/>
            <w:left w:val="none" w:sz="0" w:space="0" w:color="auto"/>
            <w:bottom w:val="none" w:sz="0" w:space="0" w:color="auto"/>
            <w:right w:val="none" w:sz="0" w:space="0" w:color="auto"/>
          </w:divBdr>
        </w:div>
        <w:div w:id="1943999222">
          <w:marLeft w:val="0"/>
          <w:marRight w:val="0"/>
          <w:marTop w:val="0"/>
          <w:marBottom w:val="0"/>
          <w:divBdr>
            <w:top w:val="none" w:sz="0" w:space="0" w:color="auto"/>
            <w:left w:val="none" w:sz="0" w:space="0" w:color="auto"/>
            <w:bottom w:val="none" w:sz="0" w:space="0" w:color="auto"/>
            <w:right w:val="none" w:sz="0" w:space="0" w:color="auto"/>
          </w:divBdr>
        </w:div>
      </w:divsChild>
    </w:div>
    <w:div w:id="1721588827">
      <w:bodyDiv w:val="1"/>
      <w:marLeft w:val="0"/>
      <w:marRight w:val="0"/>
      <w:marTop w:val="0"/>
      <w:marBottom w:val="0"/>
      <w:divBdr>
        <w:top w:val="none" w:sz="0" w:space="0" w:color="auto"/>
        <w:left w:val="none" w:sz="0" w:space="0" w:color="auto"/>
        <w:bottom w:val="none" w:sz="0" w:space="0" w:color="auto"/>
        <w:right w:val="none" w:sz="0" w:space="0" w:color="auto"/>
      </w:divBdr>
      <w:divsChild>
        <w:div w:id="401223562">
          <w:marLeft w:val="0"/>
          <w:marRight w:val="0"/>
          <w:marTop w:val="0"/>
          <w:marBottom w:val="0"/>
          <w:divBdr>
            <w:top w:val="none" w:sz="0" w:space="0" w:color="auto"/>
            <w:left w:val="none" w:sz="0" w:space="0" w:color="auto"/>
            <w:bottom w:val="none" w:sz="0" w:space="0" w:color="auto"/>
            <w:right w:val="none" w:sz="0" w:space="0" w:color="auto"/>
          </w:divBdr>
        </w:div>
        <w:div w:id="1302803947">
          <w:marLeft w:val="0"/>
          <w:marRight w:val="0"/>
          <w:marTop w:val="0"/>
          <w:marBottom w:val="0"/>
          <w:divBdr>
            <w:top w:val="none" w:sz="0" w:space="0" w:color="auto"/>
            <w:left w:val="none" w:sz="0" w:space="0" w:color="auto"/>
            <w:bottom w:val="none" w:sz="0" w:space="0" w:color="auto"/>
            <w:right w:val="none" w:sz="0" w:space="0" w:color="auto"/>
          </w:divBdr>
        </w:div>
      </w:divsChild>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sChild>
        <w:div w:id="71973254">
          <w:marLeft w:val="0"/>
          <w:marRight w:val="0"/>
          <w:marTop w:val="0"/>
          <w:marBottom w:val="0"/>
          <w:divBdr>
            <w:top w:val="none" w:sz="0" w:space="0" w:color="auto"/>
            <w:left w:val="none" w:sz="0" w:space="0" w:color="auto"/>
            <w:bottom w:val="none" w:sz="0" w:space="0" w:color="auto"/>
            <w:right w:val="none" w:sz="0" w:space="0" w:color="auto"/>
          </w:divBdr>
        </w:div>
        <w:div w:id="201864532">
          <w:marLeft w:val="0"/>
          <w:marRight w:val="0"/>
          <w:marTop w:val="0"/>
          <w:marBottom w:val="0"/>
          <w:divBdr>
            <w:top w:val="none" w:sz="0" w:space="0" w:color="auto"/>
            <w:left w:val="none" w:sz="0" w:space="0" w:color="auto"/>
            <w:bottom w:val="none" w:sz="0" w:space="0" w:color="auto"/>
            <w:right w:val="none" w:sz="0" w:space="0" w:color="auto"/>
          </w:divBdr>
        </w:div>
        <w:div w:id="402223504">
          <w:marLeft w:val="0"/>
          <w:marRight w:val="0"/>
          <w:marTop w:val="0"/>
          <w:marBottom w:val="0"/>
          <w:divBdr>
            <w:top w:val="none" w:sz="0" w:space="0" w:color="auto"/>
            <w:left w:val="none" w:sz="0" w:space="0" w:color="auto"/>
            <w:bottom w:val="none" w:sz="0" w:space="0" w:color="auto"/>
            <w:right w:val="none" w:sz="0" w:space="0" w:color="auto"/>
          </w:divBdr>
        </w:div>
        <w:div w:id="971865677">
          <w:marLeft w:val="0"/>
          <w:marRight w:val="0"/>
          <w:marTop w:val="0"/>
          <w:marBottom w:val="0"/>
          <w:divBdr>
            <w:top w:val="none" w:sz="0" w:space="0" w:color="auto"/>
            <w:left w:val="none" w:sz="0" w:space="0" w:color="auto"/>
            <w:bottom w:val="none" w:sz="0" w:space="0" w:color="auto"/>
            <w:right w:val="none" w:sz="0" w:space="0" w:color="auto"/>
          </w:divBdr>
        </w:div>
        <w:div w:id="1517845495">
          <w:marLeft w:val="0"/>
          <w:marRight w:val="0"/>
          <w:marTop w:val="0"/>
          <w:marBottom w:val="0"/>
          <w:divBdr>
            <w:top w:val="none" w:sz="0" w:space="0" w:color="auto"/>
            <w:left w:val="none" w:sz="0" w:space="0" w:color="auto"/>
            <w:bottom w:val="none" w:sz="0" w:space="0" w:color="auto"/>
            <w:right w:val="none" w:sz="0" w:space="0" w:color="auto"/>
          </w:divBdr>
        </w:div>
        <w:div w:id="1605529608">
          <w:marLeft w:val="0"/>
          <w:marRight w:val="0"/>
          <w:marTop w:val="0"/>
          <w:marBottom w:val="0"/>
          <w:divBdr>
            <w:top w:val="none" w:sz="0" w:space="0" w:color="auto"/>
            <w:left w:val="none" w:sz="0" w:space="0" w:color="auto"/>
            <w:bottom w:val="none" w:sz="0" w:space="0" w:color="auto"/>
            <w:right w:val="none" w:sz="0" w:space="0" w:color="auto"/>
          </w:divBdr>
        </w:div>
        <w:div w:id="1744446835">
          <w:marLeft w:val="0"/>
          <w:marRight w:val="0"/>
          <w:marTop w:val="0"/>
          <w:marBottom w:val="0"/>
          <w:divBdr>
            <w:top w:val="none" w:sz="0" w:space="0" w:color="auto"/>
            <w:left w:val="none" w:sz="0" w:space="0" w:color="auto"/>
            <w:bottom w:val="none" w:sz="0" w:space="0" w:color="auto"/>
            <w:right w:val="none" w:sz="0" w:space="0" w:color="auto"/>
          </w:divBdr>
        </w:div>
      </w:divsChild>
    </w:div>
    <w:div w:id="1741370878">
      <w:bodyDiv w:val="1"/>
      <w:marLeft w:val="0"/>
      <w:marRight w:val="0"/>
      <w:marTop w:val="0"/>
      <w:marBottom w:val="0"/>
      <w:divBdr>
        <w:top w:val="none" w:sz="0" w:space="0" w:color="auto"/>
        <w:left w:val="none" w:sz="0" w:space="0" w:color="auto"/>
        <w:bottom w:val="none" w:sz="0" w:space="0" w:color="auto"/>
        <w:right w:val="none" w:sz="0" w:space="0" w:color="auto"/>
      </w:divBdr>
      <w:divsChild>
        <w:div w:id="157118854">
          <w:marLeft w:val="0"/>
          <w:marRight w:val="0"/>
          <w:marTop w:val="0"/>
          <w:marBottom w:val="0"/>
          <w:divBdr>
            <w:top w:val="none" w:sz="0" w:space="0" w:color="auto"/>
            <w:left w:val="none" w:sz="0" w:space="0" w:color="auto"/>
            <w:bottom w:val="none" w:sz="0" w:space="0" w:color="auto"/>
            <w:right w:val="none" w:sz="0" w:space="0" w:color="auto"/>
          </w:divBdr>
        </w:div>
        <w:div w:id="454493784">
          <w:marLeft w:val="0"/>
          <w:marRight w:val="0"/>
          <w:marTop w:val="0"/>
          <w:marBottom w:val="0"/>
          <w:divBdr>
            <w:top w:val="none" w:sz="0" w:space="0" w:color="auto"/>
            <w:left w:val="none" w:sz="0" w:space="0" w:color="auto"/>
            <w:bottom w:val="none" w:sz="0" w:space="0" w:color="auto"/>
            <w:right w:val="none" w:sz="0" w:space="0" w:color="auto"/>
          </w:divBdr>
        </w:div>
        <w:div w:id="1317803128">
          <w:marLeft w:val="0"/>
          <w:marRight w:val="0"/>
          <w:marTop w:val="0"/>
          <w:marBottom w:val="0"/>
          <w:divBdr>
            <w:top w:val="none" w:sz="0" w:space="0" w:color="auto"/>
            <w:left w:val="none" w:sz="0" w:space="0" w:color="auto"/>
            <w:bottom w:val="none" w:sz="0" w:space="0" w:color="auto"/>
            <w:right w:val="none" w:sz="0" w:space="0" w:color="auto"/>
          </w:divBdr>
        </w:div>
        <w:div w:id="1371878206">
          <w:marLeft w:val="0"/>
          <w:marRight w:val="0"/>
          <w:marTop w:val="0"/>
          <w:marBottom w:val="0"/>
          <w:divBdr>
            <w:top w:val="none" w:sz="0" w:space="0" w:color="auto"/>
            <w:left w:val="none" w:sz="0" w:space="0" w:color="auto"/>
            <w:bottom w:val="none" w:sz="0" w:space="0" w:color="auto"/>
            <w:right w:val="none" w:sz="0" w:space="0" w:color="auto"/>
          </w:divBdr>
        </w:div>
        <w:div w:id="1492134177">
          <w:marLeft w:val="0"/>
          <w:marRight w:val="0"/>
          <w:marTop w:val="0"/>
          <w:marBottom w:val="0"/>
          <w:divBdr>
            <w:top w:val="none" w:sz="0" w:space="0" w:color="auto"/>
            <w:left w:val="none" w:sz="0" w:space="0" w:color="auto"/>
            <w:bottom w:val="none" w:sz="0" w:space="0" w:color="auto"/>
            <w:right w:val="none" w:sz="0" w:space="0" w:color="auto"/>
          </w:divBdr>
        </w:div>
        <w:div w:id="1530921274">
          <w:marLeft w:val="0"/>
          <w:marRight w:val="0"/>
          <w:marTop w:val="0"/>
          <w:marBottom w:val="0"/>
          <w:divBdr>
            <w:top w:val="none" w:sz="0" w:space="0" w:color="auto"/>
            <w:left w:val="none" w:sz="0" w:space="0" w:color="auto"/>
            <w:bottom w:val="none" w:sz="0" w:space="0" w:color="auto"/>
            <w:right w:val="none" w:sz="0" w:space="0" w:color="auto"/>
          </w:divBdr>
        </w:div>
        <w:div w:id="1542815376">
          <w:marLeft w:val="0"/>
          <w:marRight w:val="0"/>
          <w:marTop w:val="0"/>
          <w:marBottom w:val="0"/>
          <w:divBdr>
            <w:top w:val="none" w:sz="0" w:space="0" w:color="auto"/>
            <w:left w:val="none" w:sz="0" w:space="0" w:color="auto"/>
            <w:bottom w:val="none" w:sz="0" w:space="0" w:color="auto"/>
            <w:right w:val="none" w:sz="0" w:space="0" w:color="auto"/>
          </w:divBdr>
        </w:div>
        <w:div w:id="1755012061">
          <w:marLeft w:val="0"/>
          <w:marRight w:val="0"/>
          <w:marTop w:val="0"/>
          <w:marBottom w:val="0"/>
          <w:divBdr>
            <w:top w:val="none" w:sz="0" w:space="0" w:color="auto"/>
            <w:left w:val="none" w:sz="0" w:space="0" w:color="auto"/>
            <w:bottom w:val="none" w:sz="0" w:space="0" w:color="auto"/>
            <w:right w:val="none" w:sz="0" w:space="0" w:color="auto"/>
          </w:divBdr>
        </w:div>
        <w:div w:id="2043892944">
          <w:marLeft w:val="0"/>
          <w:marRight w:val="0"/>
          <w:marTop w:val="0"/>
          <w:marBottom w:val="0"/>
          <w:divBdr>
            <w:top w:val="none" w:sz="0" w:space="0" w:color="auto"/>
            <w:left w:val="none" w:sz="0" w:space="0" w:color="auto"/>
            <w:bottom w:val="none" w:sz="0" w:space="0" w:color="auto"/>
            <w:right w:val="none" w:sz="0" w:space="0" w:color="auto"/>
          </w:divBdr>
        </w:div>
      </w:divsChild>
    </w:div>
    <w:div w:id="1748116885">
      <w:bodyDiv w:val="1"/>
      <w:marLeft w:val="0"/>
      <w:marRight w:val="0"/>
      <w:marTop w:val="0"/>
      <w:marBottom w:val="0"/>
      <w:divBdr>
        <w:top w:val="none" w:sz="0" w:space="0" w:color="auto"/>
        <w:left w:val="none" w:sz="0" w:space="0" w:color="auto"/>
        <w:bottom w:val="none" w:sz="0" w:space="0" w:color="auto"/>
        <w:right w:val="none" w:sz="0" w:space="0" w:color="auto"/>
      </w:divBdr>
      <w:divsChild>
        <w:div w:id="1249538042">
          <w:marLeft w:val="0"/>
          <w:marRight w:val="0"/>
          <w:marTop w:val="0"/>
          <w:marBottom w:val="0"/>
          <w:divBdr>
            <w:top w:val="none" w:sz="0" w:space="0" w:color="auto"/>
            <w:left w:val="none" w:sz="0" w:space="0" w:color="auto"/>
            <w:bottom w:val="none" w:sz="0" w:space="0" w:color="auto"/>
            <w:right w:val="none" w:sz="0" w:space="0" w:color="auto"/>
          </w:divBdr>
          <w:divsChild>
            <w:div w:id="686761058">
              <w:marLeft w:val="0"/>
              <w:marRight w:val="0"/>
              <w:marTop w:val="0"/>
              <w:marBottom w:val="0"/>
              <w:divBdr>
                <w:top w:val="none" w:sz="0" w:space="0" w:color="auto"/>
                <w:left w:val="none" w:sz="0" w:space="0" w:color="auto"/>
                <w:bottom w:val="none" w:sz="0" w:space="0" w:color="auto"/>
                <w:right w:val="none" w:sz="0" w:space="0" w:color="auto"/>
              </w:divBdr>
              <w:divsChild>
                <w:div w:id="5486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8326">
      <w:bodyDiv w:val="1"/>
      <w:marLeft w:val="0"/>
      <w:marRight w:val="0"/>
      <w:marTop w:val="0"/>
      <w:marBottom w:val="0"/>
      <w:divBdr>
        <w:top w:val="none" w:sz="0" w:space="0" w:color="auto"/>
        <w:left w:val="none" w:sz="0" w:space="0" w:color="auto"/>
        <w:bottom w:val="none" w:sz="0" w:space="0" w:color="auto"/>
        <w:right w:val="none" w:sz="0" w:space="0" w:color="auto"/>
      </w:divBdr>
    </w:div>
    <w:div w:id="1760834402">
      <w:bodyDiv w:val="1"/>
      <w:marLeft w:val="0"/>
      <w:marRight w:val="0"/>
      <w:marTop w:val="0"/>
      <w:marBottom w:val="0"/>
      <w:divBdr>
        <w:top w:val="none" w:sz="0" w:space="0" w:color="auto"/>
        <w:left w:val="none" w:sz="0" w:space="0" w:color="auto"/>
        <w:bottom w:val="none" w:sz="0" w:space="0" w:color="auto"/>
        <w:right w:val="none" w:sz="0" w:space="0" w:color="auto"/>
      </w:divBdr>
      <w:divsChild>
        <w:div w:id="714433579">
          <w:marLeft w:val="0"/>
          <w:marRight w:val="0"/>
          <w:marTop w:val="0"/>
          <w:marBottom w:val="0"/>
          <w:divBdr>
            <w:top w:val="none" w:sz="0" w:space="0" w:color="auto"/>
            <w:left w:val="none" w:sz="0" w:space="0" w:color="auto"/>
            <w:bottom w:val="none" w:sz="0" w:space="0" w:color="auto"/>
            <w:right w:val="none" w:sz="0" w:space="0" w:color="auto"/>
          </w:divBdr>
        </w:div>
        <w:div w:id="868688928">
          <w:marLeft w:val="0"/>
          <w:marRight w:val="0"/>
          <w:marTop w:val="0"/>
          <w:marBottom w:val="0"/>
          <w:divBdr>
            <w:top w:val="none" w:sz="0" w:space="0" w:color="auto"/>
            <w:left w:val="none" w:sz="0" w:space="0" w:color="auto"/>
            <w:bottom w:val="none" w:sz="0" w:space="0" w:color="auto"/>
            <w:right w:val="none" w:sz="0" w:space="0" w:color="auto"/>
          </w:divBdr>
        </w:div>
        <w:div w:id="1729837421">
          <w:marLeft w:val="0"/>
          <w:marRight w:val="0"/>
          <w:marTop w:val="0"/>
          <w:marBottom w:val="0"/>
          <w:divBdr>
            <w:top w:val="none" w:sz="0" w:space="0" w:color="auto"/>
            <w:left w:val="none" w:sz="0" w:space="0" w:color="auto"/>
            <w:bottom w:val="none" w:sz="0" w:space="0" w:color="auto"/>
            <w:right w:val="none" w:sz="0" w:space="0" w:color="auto"/>
          </w:divBdr>
        </w:div>
      </w:divsChild>
    </w:div>
    <w:div w:id="1765954262">
      <w:bodyDiv w:val="1"/>
      <w:marLeft w:val="0"/>
      <w:marRight w:val="0"/>
      <w:marTop w:val="0"/>
      <w:marBottom w:val="0"/>
      <w:divBdr>
        <w:top w:val="none" w:sz="0" w:space="0" w:color="auto"/>
        <w:left w:val="none" w:sz="0" w:space="0" w:color="auto"/>
        <w:bottom w:val="none" w:sz="0" w:space="0" w:color="auto"/>
        <w:right w:val="none" w:sz="0" w:space="0" w:color="auto"/>
      </w:divBdr>
      <w:divsChild>
        <w:div w:id="930548009">
          <w:marLeft w:val="0"/>
          <w:marRight w:val="0"/>
          <w:marTop w:val="0"/>
          <w:marBottom w:val="0"/>
          <w:divBdr>
            <w:top w:val="none" w:sz="0" w:space="0" w:color="auto"/>
            <w:left w:val="none" w:sz="0" w:space="0" w:color="auto"/>
            <w:bottom w:val="none" w:sz="0" w:space="0" w:color="auto"/>
            <w:right w:val="none" w:sz="0" w:space="0" w:color="auto"/>
          </w:divBdr>
        </w:div>
      </w:divsChild>
    </w:div>
    <w:div w:id="1775174315">
      <w:bodyDiv w:val="1"/>
      <w:marLeft w:val="0"/>
      <w:marRight w:val="0"/>
      <w:marTop w:val="0"/>
      <w:marBottom w:val="0"/>
      <w:divBdr>
        <w:top w:val="none" w:sz="0" w:space="0" w:color="auto"/>
        <w:left w:val="none" w:sz="0" w:space="0" w:color="auto"/>
        <w:bottom w:val="none" w:sz="0" w:space="0" w:color="auto"/>
        <w:right w:val="none" w:sz="0" w:space="0" w:color="auto"/>
      </w:divBdr>
    </w:div>
    <w:div w:id="1795639873">
      <w:bodyDiv w:val="1"/>
      <w:marLeft w:val="0"/>
      <w:marRight w:val="0"/>
      <w:marTop w:val="0"/>
      <w:marBottom w:val="0"/>
      <w:divBdr>
        <w:top w:val="none" w:sz="0" w:space="0" w:color="auto"/>
        <w:left w:val="none" w:sz="0" w:space="0" w:color="auto"/>
        <w:bottom w:val="none" w:sz="0" w:space="0" w:color="auto"/>
        <w:right w:val="none" w:sz="0" w:space="0" w:color="auto"/>
      </w:divBdr>
      <w:divsChild>
        <w:div w:id="1797260274">
          <w:marLeft w:val="0"/>
          <w:marRight w:val="0"/>
          <w:marTop w:val="0"/>
          <w:marBottom w:val="0"/>
          <w:divBdr>
            <w:top w:val="none" w:sz="0" w:space="0" w:color="auto"/>
            <w:left w:val="none" w:sz="0" w:space="0" w:color="auto"/>
            <w:bottom w:val="none" w:sz="0" w:space="0" w:color="auto"/>
            <w:right w:val="none" w:sz="0" w:space="0" w:color="auto"/>
          </w:divBdr>
          <w:divsChild>
            <w:div w:id="409042184">
              <w:marLeft w:val="0"/>
              <w:marRight w:val="0"/>
              <w:marTop w:val="0"/>
              <w:marBottom w:val="0"/>
              <w:divBdr>
                <w:top w:val="none" w:sz="0" w:space="0" w:color="auto"/>
                <w:left w:val="none" w:sz="0" w:space="0" w:color="auto"/>
                <w:bottom w:val="none" w:sz="0" w:space="0" w:color="auto"/>
                <w:right w:val="none" w:sz="0" w:space="0" w:color="auto"/>
              </w:divBdr>
            </w:div>
            <w:div w:id="936405295">
              <w:marLeft w:val="0"/>
              <w:marRight w:val="0"/>
              <w:marTop w:val="0"/>
              <w:marBottom w:val="0"/>
              <w:divBdr>
                <w:top w:val="none" w:sz="0" w:space="0" w:color="auto"/>
                <w:left w:val="none" w:sz="0" w:space="0" w:color="auto"/>
                <w:bottom w:val="none" w:sz="0" w:space="0" w:color="auto"/>
                <w:right w:val="none" w:sz="0" w:space="0" w:color="auto"/>
              </w:divBdr>
            </w:div>
            <w:div w:id="1398437078">
              <w:marLeft w:val="0"/>
              <w:marRight w:val="0"/>
              <w:marTop w:val="0"/>
              <w:marBottom w:val="0"/>
              <w:divBdr>
                <w:top w:val="none" w:sz="0" w:space="0" w:color="auto"/>
                <w:left w:val="none" w:sz="0" w:space="0" w:color="auto"/>
                <w:bottom w:val="none" w:sz="0" w:space="0" w:color="auto"/>
                <w:right w:val="none" w:sz="0" w:space="0" w:color="auto"/>
              </w:divBdr>
            </w:div>
            <w:div w:id="15859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9185">
      <w:bodyDiv w:val="1"/>
      <w:marLeft w:val="0"/>
      <w:marRight w:val="0"/>
      <w:marTop w:val="0"/>
      <w:marBottom w:val="0"/>
      <w:divBdr>
        <w:top w:val="none" w:sz="0" w:space="0" w:color="auto"/>
        <w:left w:val="none" w:sz="0" w:space="0" w:color="auto"/>
        <w:bottom w:val="none" w:sz="0" w:space="0" w:color="auto"/>
        <w:right w:val="none" w:sz="0" w:space="0" w:color="auto"/>
      </w:divBdr>
      <w:divsChild>
        <w:div w:id="499126176">
          <w:marLeft w:val="0"/>
          <w:marRight w:val="0"/>
          <w:marTop w:val="0"/>
          <w:marBottom w:val="0"/>
          <w:divBdr>
            <w:top w:val="none" w:sz="0" w:space="0" w:color="auto"/>
            <w:left w:val="none" w:sz="0" w:space="0" w:color="auto"/>
            <w:bottom w:val="none" w:sz="0" w:space="0" w:color="auto"/>
            <w:right w:val="none" w:sz="0" w:space="0" w:color="auto"/>
          </w:divBdr>
        </w:div>
        <w:div w:id="1143932442">
          <w:marLeft w:val="0"/>
          <w:marRight w:val="0"/>
          <w:marTop w:val="0"/>
          <w:marBottom w:val="0"/>
          <w:divBdr>
            <w:top w:val="none" w:sz="0" w:space="0" w:color="auto"/>
            <w:left w:val="none" w:sz="0" w:space="0" w:color="auto"/>
            <w:bottom w:val="none" w:sz="0" w:space="0" w:color="auto"/>
            <w:right w:val="none" w:sz="0" w:space="0" w:color="auto"/>
          </w:divBdr>
        </w:div>
        <w:div w:id="1817186343">
          <w:marLeft w:val="0"/>
          <w:marRight w:val="0"/>
          <w:marTop w:val="0"/>
          <w:marBottom w:val="0"/>
          <w:divBdr>
            <w:top w:val="none" w:sz="0" w:space="0" w:color="auto"/>
            <w:left w:val="none" w:sz="0" w:space="0" w:color="auto"/>
            <w:bottom w:val="none" w:sz="0" w:space="0" w:color="auto"/>
            <w:right w:val="none" w:sz="0" w:space="0" w:color="auto"/>
          </w:divBdr>
        </w:div>
      </w:divsChild>
    </w:div>
    <w:div w:id="1808938132">
      <w:bodyDiv w:val="1"/>
      <w:marLeft w:val="0"/>
      <w:marRight w:val="0"/>
      <w:marTop w:val="0"/>
      <w:marBottom w:val="0"/>
      <w:divBdr>
        <w:top w:val="none" w:sz="0" w:space="0" w:color="auto"/>
        <w:left w:val="none" w:sz="0" w:space="0" w:color="auto"/>
        <w:bottom w:val="none" w:sz="0" w:space="0" w:color="auto"/>
        <w:right w:val="none" w:sz="0" w:space="0" w:color="auto"/>
      </w:divBdr>
    </w:div>
    <w:div w:id="1820032902">
      <w:bodyDiv w:val="1"/>
      <w:marLeft w:val="0"/>
      <w:marRight w:val="0"/>
      <w:marTop w:val="0"/>
      <w:marBottom w:val="0"/>
      <w:divBdr>
        <w:top w:val="none" w:sz="0" w:space="0" w:color="auto"/>
        <w:left w:val="none" w:sz="0" w:space="0" w:color="auto"/>
        <w:bottom w:val="none" w:sz="0" w:space="0" w:color="auto"/>
        <w:right w:val="none" w:sz="0" w:space="0" w:color="auto"/>
      </w:divBdr>
      <w:divsChild>
        <w:div w:id="108088031">
          <w:marLeft w:val="0"/>
          <w:marRight w:val="0"/>
          <w:marTop w:val="0"/>
          <w:marBottom w:val="0"/>
          <w:divBdr>
            <w:top w:val="none" w:sz="0" w:space="0" w:color="auto"/>
            <w:left w:val="none" w:sz="0" w:space="0" w:color="auto"/>
            <w:bottom w:val="none" w:sz="0" w:space="0" w:color="auto"/>
            <w:right w:val="none" w:sz="0" w:space="0" w:color="auto"/>
          </w:divBdr>
        </w:div>
        <w:div w:id="868838137">
          <w:marLeft w:val="0"/>
          <w:marRight w:val="0"/>
          <w:marTop w:val="0"/>
          <w:marBottom w:val="0"/>
          <w:divBdr>
            <w:top w:val="none" w:sz="0" w:space="0" w:color="auto"/>
            <w:left w:val="none" w:sz="0" w:space="0" w:color="auto"/>
            <w:bottom w:val="none" w:sz="0" w:space="0" w:color="auto"/>
            <w:right w:val="none" w:sz="0" w:space="0" w:color="auto"/>
          </w:divBdr>
        </w:div>
        <w:div w:id="1016885277">
          <w:marLeft w:val="0"/>
          <w:marRight w:val="0"/>
          <w:marTop w:val="0"/>
          <w:marBottom w:val="0"/>
          <w:divBdr>
            <w:top w:val="none" w:sz="0" w:space="0" w:color="auto"/>
            <w:left w:val="none" w:sz="0" w:space="0" w:color="auto"/>
            <w:bottom w:val="none" w:sz="0" w:space="0" w:color="auto"/>
            <w:right w:val="none" w:sz="0" w:space="0" w:color="auto"/>
          </w:divBdr>
        </w:div>
      </w:divsChild>
    </w:div>
    <w:div w:id="1820342838">
      <w:bodyDiv w:val="1"/>
      <w:marLeft w:val="0"/>
      <w:marRight w:val="0"/>
      <w:marTop w:val="0"/>
      <w:marBottom w:val="0"/>
      <w:divBdr>
        <w:top w:val="none" w:sz="0" w:space="0" w:color="auto"/>
        <w:left w:val="none" w:sz="0" w:space="0" w:color="auto"/>
        <w:bottom w:val="none" w:sz="0" w:space="0" w:color="auto"/>
        <w:right w:val="none" w:sz="0" w:space="0" w:color="auto"/>
      </w:divBdr>
    </w:div>
    <w:div w:id="1821072527">
      <w:bodyDiv w:val="1"/>
      <w:marLeft w:val="0"/>
      <w:marRight w:val="0"/>
      <w:marTop w:val="0"/>
      <w:marBottom w:val="0"/>
      <w:divBdr>
        <w:top w:val="none" w:sz="0" w:space="0" w:color="auto"/>
        <w:left w:val="none" w:sz="0" w:space="0" w:color="auto"/>
        <w:bottom w:val="none" w:sz="0" w:space="0" w:color="auto"/>
        <w:right w:val="none" w:sz="0" w:space="0" w:color="auto"/>
      </w:divBdr>
      <w:divsChild>
        <w:div w:id="706683437">
          <w:marLeft w:val="0"/>
          <w:marRight w:val="0"/>
          <w:marTop w:val="0"/>
          <w:marBottom w:val="0"/>
          <w:divBdr>
            <w:top w:val="none" w:sz="0" w:space="0" w:color="auto"/>
            <w:left w:val="none" w:sz="0" w:space="0" w:color="auto"/>
            <w:bottom w:val="none" w:sz="0" w:space="0" w:color="auto"/>
            <w:right w:val="none" w:sz="0" w:space="0" w:color="auto"/>
          </w:divBdr>
        </w:div>
        <w:div w:id="831874908">
          <w:marLeft w:val="0"/>
          <w:marRight w:val="0"/>
          <w:marTop w:val="0"/>
          <w:marBottom w:val="0"/>
          <w:divBdr>
            <w:top w:val="none" w:sz="0" w:space="0" w:color="auto"/>
            <w:left w:val="none" w:sz="0" w:space="0" w:color="auto"/>
            <w:bottom w:val="none" w:sz="0" w:space="0" w:color="auto"/>
            <w:right w:val="none" w:sz="0" w:space="0" w:color="auto"/>
          </w:divBdr>
        </w:div>
        <w:div w:id="1902254666">
          <w:marLeft w:val="0"/>
          <w:marRight w:val="0"/>
          <w:marTop w:val="0"/>
          <w:marBottom w:val="0"/>
          <w:divBdr>
            <w:top w:val="none" w:sz="0" w:space="0" w:color="auto"/>
            <w:left w:val="none" w:sz="0" w:space="0" w:color="auto"/>
            <w:bottom w:val="none" w:sz="0" w:space="0" w:color="auto"/>
            <w:right w:val="none" w:sz="0" w:space="0" w:color="auto"/>
          </w:divBdr>
        </w:div>
      </w:divsChild>
    </w:div>
    <w:div w:id="1827933426">
      <w:bodyDiv w:val="1"/>
      <w:marLeft w:val="0"/>
      <w:marRight w:val="0"/>
      <w:marTop w:val="0"/>
      <w:marBottom w:val="0"/>
      <w:divBdr>
        <w:top w:val="none" w:sz="0" w:space="0" w:color="auto"/>
        <w:left w:val="none" w:sz="0" w:space="0" w:color="auto"/>
        <w:bottom w:val="none" w:sz="0" w:space="0" w:color="auto"/>
        <w:right w:val="none" w:sz="0" w:space="0" w:color="auto"/>
      </w:divBdr>
      <w:divsChild>
        <w:div w:id="75521187">
          <w:marLeft w:val="0"/>
          <w:marRight w:val="0"/>
          <w:marTop w:val="0"/>
          <w:marBottom w:val="0"/>
          <w:divBdr>
            <w:top w:val="none" w:sz="0" w:space="0" w:color="auto"/>
            <w:left w:val="none" w:sz="0" w:space="0" w:color="auto"/>
            <w:bottom w:val="none" w:sz="0" w:space="0" w:color="auto"/>
            <w:right w:val="none" w:sz="0" w:space="0" w:color="auto"/>
          </w:divBdr>
        </w:div>
        <w:div w:id="195896743">
          <w:marLeft w:val="0"/>
          <w:marRight w:val="0"/>
          <w:marTop w:val="0"/>
          <w:marBottom w:val="0"/>
          <w:divBdr>
            <w:top w:val="none" w:sz="0" w:space="0" w:color="auto"/>
            <w:left w:val="none" w:sz="0" w:space="0" w:color="auto"/>
            <w:bottom w:val="none" w:sz="0" w:space="0" w:color="auto"/>
            <w:right w:val="none" w:sz="0" w:space="0" w:color="auto"/>
          </w:divBdr>
        </w:div>
        <w:div w:id="294524825">
          <w:marLeft w:val="0"/>
          <w:marRight w:val="0"/>
          <w:marTop w:val="0"/>
          <w:marBottom w:val="0"/>
          <w:divBdr>
            <w:top w:val="none" w:sz="0" w:space="0" w:color="auto"/>
            <w:left w:val="none" w:sz="0" w:space="0" w:color="auto"/>
            <w:bottom w:val="none" w:sz="0" w:space="0" w:color="auto"/>
            <w:right w:val="none" w:sz="0" w:space="0" w:color="auto"/>
          </w:divBdr>
        </w:div>
        <w:div w:id="321936624">
          <w:marLeft w:val="0"/>
          <w:marRight w:val="0"/>
          <w:marTop w:val="0"/>
          <w:marBottom w:val="0"/>
          <w:divBdr>
            <w:top w:val="none" w:sz="0" w:space="0" w:color="auto"/>
            <w:left w:val="none" w:sz="0" w:space="0" w:color="auto"/>
            <w:bottom w:val="none" w:sz="0" w:space="0" w:color="auto"/>
            <w:right w:val="none" w:sz="0" w:space="0" w:color="auto"/>
          </w:divBdr>
        </w:div>
        <w:div w:id="1328099377">
          <w:marLeft w:val="0"/>
          <w:marRight w:val="0"/>
          <w:marTop w:val="0"/>
          <w:marBottom w:val="0"/>
          <w:divBdr>
            <w:top w:val="none" w:sz="0" w:space="0" w:color="auto"/>
            <w:left w:val="none" w:sz="0" w:space="0" w:color="auto"/>
            <w:bottom w:val="none" w:sz="0" w:space="0" w:color="auto"/>
            <w:right w:val="none" w:sz="0" w:space="0" w:color="auto"/>
          </w:divBdr>
        </w:div>
        <w:div w:id="1371219649">
          <w:marLeft w:val="0"/>
          <w:marRight w:val="0"/>
          <w:marTop w:val="0"/>
          <w:marBottom w:val="0"/>
          <w:divBdr>
            <w:top w:val="none" w:sz="0" w:space="0" w:color="auto"/>
            <w:left w:val="none" w:sz="0" w:space="0" w:color="auto"/>
            <w:bottom w:val="none" w:sz="0" w:space="0" w:color="auto"/>
            <w:right w:val="none" w:sz="0" w:space="0" w:color="auto"/>
          </w:divBdr>
        </w:div>
        <w:div w:id="1392733328">
          <w:marLeft w:val="0"/>
          <w:marRight w:val="0"/>
          <w:marTop w:val="0"/>
          <w:marBottom w:val="0"/>
          <w:divBdr>
            <w:top w:val="none" w:sz="0" w:space="0" w:color="auto"/>
            <w:left w:val="none" w:sz="0" w:space="0" w:color="auto"/>
            <w:bottom w:val="none" w:sz="0" w:space="0" w:color="auto"/>
            <w:right w:val="none" w:sz="0" w:space="0" w:color="auto"/>
          </w:divBdr>
        </w:div>
        <w:div w:id="1563980173">
          <w:marLeft w:val="0"/>
          <w:marRight w:val="0"/>
          <w:marTop w:val="0"/>
          <w:marBottom w:val="0"/>
          <w:divBdr>
            <w:top w:val="none" w:sz="0" w:space="0" w:color="auto"/>
            <w:left w:val="none" w:sz="0" w:space="0" w:color="auto"/>
            <w:bottom w:val="none" w:sz="0" w:space="0" w:color="auto"/>
            <w:right w:val="none" w:sz="0" w:space="0" w:color="auto"/>
          </w:divBdr>
        </w:div>
      </w:divsChild>
    </w:div>
    <w:div w:id="1831944296">
      <w:bodyDiv w:val="1"/>
      <w:marLeft w:val="0"/>
      <w:marRight w:val="0"/>
      <w:marTop w:val="0"/>
      <w:marBottom w:val="0"/>
      <w:divBdr>
        <w:top w:val="none" w:sz="0" w:space="0" w:color="auto"/>
        <w:left w:val="none" w:sz="0" w:space="0" w:color="auto"/>
        <w:bottom w:val="none" w:sz="0" w:space="0" w:color="auto"/>
        <w:right w:val="none" w:sz="0" w:space="0" w:color="auto"/>
      </w:divBdr>
      <w:divsChild>
        <w:div w:id="756485340">
          <w:marLeft w:val="0"/>
          <w:marRight w:val="0"/>
          <w:marTop w:val="0"/>
          <w:marBottom w:val="0"/>
          <w:divBdr>
            <w:top w:val="none" w:sz="0" w:space="0" w:color="auto"/>
            <w:left w:val="none" w:sz="0" w:space="0" w:color="auto"/>
            <w:bottom w:val="none" w:sz="0" w:space="0" w:color="auto"/>
            <w:right w:val="none" w:sz="0" w:space="0" w:color="auto"/>
          </w:divBdr>
          <w:divsChild>
            <w:div w:id="21243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3732">
      <w:bodyDiv w:val="1"/>
      <w:marLeft w:val="0"/>
      <w:marRight w:val="0"/>
      <w:marTop w:val="0"/>
      <w:marBottom w:val="0"/>
      <w:divBdr>
        <w:top w:val="none" w:sz="0" w:space="0" w:color="auto"/>
        <w:left w:val="none" w:sz="0" w:space="0" w:color="auto"/>
        <w:bottom w:val="none" w:sz="0" w:space="0" w:color="auto"/>
        <w:right w:val="none" w:sz="0" w:space="0" w:color="auto"/>
      </w:divBdr>
    </w:div>
    <w:div w:id="1839686499">
      <w:bodyDiv w:val="1"/>
      <w:marLeft w:val="0"/>
      <w:marRight w:val="0"/>
      <w:marTop w:val="0"/>
      <w:marBottom w:val="0"/>
      <w:divBdr>
        <w:top w:val="none" w:sz="0" w:space="0" w:color="auto"/>
        <w:left w:val="none" w:sz="0" w:space="0" w:color="auto"/>
        <w:bottom w:val="none" w:sz="0" w:space="0" w:color="auto"/>
        <w:right w:val="none" w:sz="0" w:space="0" w:color="auto"/>
      </w:divBdr>
      <w:divsChild>
        <w:div w:id="316690987">
          <w:marLeft w:val="0"/>
          <w:marRight w:val="0"/>
          <w:marTop w:val="0"/>
          <w:marBottom w:val="0"/>
          <w:divBdr>
            <w:top w:val="none" w:sz="0" w:space="0" w:color="auto"/>
            <w:left w:val="none" w:sz="0" w:space="0" w:color="auto"/>
            <w:bottom w:val="none" w:sz="0" w:space="0" w:color="auto"/>
            <w:right w:val="none" w:sz="0" w:space="0" w:color="auto"/>
          </w:divBdr>
        </w:div>
        <w:div w:id="1429042685">
          <w:marLeft w:val="0"/>
          <w:marRight w:val="0"/>
          <w:marTop w:val="0"/>
          <w:marBottom w:val="0"/>
          <w:divBdr>
            <w:top w:val="none" w:sz="0" w:space="0" w:color="auto"/>
            <w:left w:val="none" w:sz="0" w:space="0" w:color="auto"/>
            <w:bottom w:val="none" w:sz="0" w:space="0" w:color="auto"/>
            <w:right w:val="none" w:sz="0" w:space="0" w:color="auto"/>
          </w:divBdr>
        </w:div>
        <w:div w:id="1589342171">
          <w:marLeft w:val="0"/>
          <w:marRight w:val="0"/>
          <w:marTop w:val="0"/>
          <w:marBottom w:val="0"/>
          <w:divBdr>
            <w:top w:val="none" w:sz="0" w:space="0" w:color="auto"/>
            <w:left w:val="none" w:sz="0" w:space="0" w:color="auto"/>
            <w:bottom w:val="none" w:sz="0" w:space="0" w:color="auto"/>
            <w:right w:val="none" w:sz="0" w:space="0" w:color="auto"/>
          </w:divBdr>
        </w:div>
      </w:divsChild>
    </w:div>
    <w:div w:id="1839734320">
      <w:bodyDiv w:val="1"/>
      <w:marLeft w:val="0"/>
      <w:marRight w:val="0"/>
      <w:marTop w:val="0"/>
      <w:marBottom w:val="0"/>
      <w:divBdr>
        <w:top w:val="none" w:sz="0" w:space="0" w:color="auto"/>
        <w:left w:val="none" w:sz="0" w:space="0" w:color="auto"/>
        <w:bottom w:val="none" w:sz="0" w:space="0" w:color="auto"/>
        <w:right w:val="none" w:sz="0" w:space="0" w:color="auto"/>
      </w:divBdr>
      <w:divsChild>
        <w:div w:id="462431594">
          <w:marLeft w:val="0"/>
          <w:marRight w:val="0"/>
          <w:marTop w:val="0"/>
          <w:marBottom w:val="0"/>
          <w:divBdr>
            <w:top w:val="none" w:sz="0" w:space="0" w:color="auto"/>
            <w:left w:val="none" w:sz="0" w:space="0" w:color="auto"/>
            <w:bottom w:val="none" w:sz="0" w:space="0" w:color="auto"/>
            <w:right w:val="none" w:sz="0" w:space="0" w:color="auto"/>
          </w:divBdr>
        </w:div>
        <w:div w:id="621352038">
          <w:marLeft w:val="0"/>
          <w:marRight w:val="0"/>
          <w:marTop w:val="0"/>
          <w:marBottom w:val="0"/>
          <w:divBdr>
            <w:top w:val="none" w:sz="0" w:space="0" w:color="auto"/>
            <w:left w:val="none" w:sz="0" w:space="0" w:color="auto"/>
            <w:bottom w:val="none" w:sz="0" w:space="0" w:color="auto"/>
            <w:right w:val="none" w:sz="0" w:space="0" w:color="auto"/>
          </w:divBdr>
        </w:div>
        <w:div w:id="699086684">
          <w:marLeft w:val="0"/>
          <w:marRight w:val="0"/>
          <w:marTop w:val="0"/>
          <w:marBottom w:val="0"/>
          <w:divBdr>
            <w:top w:val="none" w:sz="0" w:space="0" w:color="auto"/>
            <w:left w:val="none" w:sz="0" w:space="0" w:color="auto"/>
            <w:bottom w:val="none" w:sz="0" w:space="0" w:color="auto"/>
            <w:right w:val="none" w:sz="0" w:space="0" w:color="auto"/>
          </w:divBdr>
        </w:div>
        <w:div w:id="763845658">
          <w:marLeft w:val="0"/>
          <w:marRight w:val="0"/>
          <w:marTop w:val="0"/>
          <w:marBottom w:val="0"/>
          <w:divBdr>
            <w:top w:val="none" w:sz="0" w:space="0" w:color="auto"/>
            <w:left w:val="none" w:sz="0" w:space="0" w:color="auto"/>
            <w:bottom w:val="none" w:sz="0" w:space="0" w:color="auto"/>
            <w:right w:val="none" w:sz="0" w:space="0" w:color="auto"/>
          </w:divBdr>
        </w:div>
        <w:div w:id="1242906854">
          <w:marLeft w:val="0"/>
          <w:marRight w:val="0"/>
          <w:marTop w:val="0"/>
          <w:marBottom w:val="0"/>
          <w:divBdr>
            <w:top w:val="none" w:sz="0" w:space="0" w:color="auto"/>
            <w:left w:val="none" w:sz="0" w:space="0" w:color="auto"/>
            <w:bottom w:val="none" w:sz="0" w:space="0" w:color="auto"/>
            <w:right w:val="none" w:sz="0" w:space="0" w:color="auto"/>
          </w:divBdr>
        </w:div>
        <w:div w:id="1307130154">
          <w:marLeft w:val="0"/>
          <w:marRight w:val="0"/>
          <w:marTop w:val="0"/>
          <w:marBottom w:val="0"/>
          <w:divBdr>
            <w:top w:val="none" w:sz="0" w:space="0" w:color="auto"/>
            <w:left w:val="none" w:sz="0" w:space="0" w:color="auto"/>
            <w:bottom w:val="none" w:sz="0" w:space="0" w:color="auto"/>
            <w:right w:val="none" w:sz="0" w:space="0" w:color="auto"/>
          </w:divBdr>
        </w:div>
        <w:div w:id="1356073104">
          <w:marLeft w:val="0"/>
          <w:marRight w:val="0"/>
          <w:marTop w:val="0"/>
          <w:marBottom w:val="0"/>
          <w:divBdr>
            <w:top w:val="none" w:sz="0" w:space="0" w:color="auto"/>
            <w:left w:val="none" w:sz="0" w:space="0" w:color="auto"/>
            <w:bottom w:val="none" w:sz="0" w:space="0" w:color="auto"/>
            <w:right w:val="none" w:sz="0" w:space="0" w:color="auto"/>
          </w:divBdr>
        </w:div>
        <w:div w:id="1472600614">
          <w:marLeft w:val="0"/>
          <w:marRight w:val="0"/>
          <w:marTop w:val="0"/>
          <w:marBottom w:val="0"/>
          <w:divBdr>
            <w:top w:val="none" w:sz="0" w:space="0" w:color="auto"/>
            <w:left w:val="none" w:sz="0" w:space="0" w:color="auto"/>
            <w:bottom w:val="none" w:sz="0" w:space="0" w:color="auto"/>
            <w:right w:val="none" w:sz="0" w:space="0" w:color="auto"/>
          </w:divBdr>
        </w:div>
        <w:div w:id="1679965778">
          <w:marLeft w:val="0"/>
          <w:marRight w:val="0"/>
          <w:marTop w:val="0"/>
          <w:marBottom w:val="0"/>
          <w:divBdr>
            <w:top w:val="none" w:sz="0" w:space="0" w:color="auto"/>
            <w:left w:val="none" w:sz="0" w:space="0" w:color="auto"/>
            <w:bottom w:val="none" w:sz="0" w:space="0" w:color="auto"/>
            <w:right w:val="none" w:sz="0" w:space="0" w:color="auto"/>
          </w:divBdr>
        </w:div>
        <w:div w:id="1840458047">
          <w:marLeft w:val="0"/>
          <w:marRight w:val="0"/>
          <w:marTop w:val="0"/>
          <w:marBottom w:val="0"/>
          <w:divBdr>
            <w:top w:val="none" w:sz="0" w:space="0" w:color="auto"/>
            <w:left w:val="none" w:sz="0" w:space="0" w:color="auto"/>
            <w:bottom w:val="none" w:sz="0" w:space="0" w:color="auto"/>
            <w:right w:val="none" w:sz="0" w:space="0" w:color="auto"/>
          </w:divBdr>
        </w:div>
        <w:div w:id="2067801551">
          <w:marLeft w:val="0"/>
          <w:marRight w:val="0"/>
          <w:marTop w:val="0"/>
          <w:marBottom w:val="0"/>
          <w:divBdr>
            <w:top w:val="none" w:sz="0" w:space="0" w:color="auto"/>
            <w:left w:val="none" w:sz="0" w:space="0" w:color="auto"/>
            <w:bottom w:val="none" w:sz="0" w:space="0" w:color="auto"/>
            <w:right w:val="none" w:sz="0" w:space="0" w:color="auto"/>
          </w:divBdr>
        </w:div>
      </w:divsChild>
    </w:div>
    <w:div w:id="1857500805">
      <w:bodyDiv w:val="1"/>
      <w:marLeft w:val="0"/>
      <w:marRight w:val="0"/>
      <w:marTop w:val="0"/>
      <w:marBottom w:val="0"/>
      <w:divBdr>
        <w:top w:val="none" w:sz="0" w:space="0" w:color="auto"/>
        <w:left w:val="none" w:sz="0" w:space="0" w:color="auto"/>
        <w:bottom w:val="none" w:sz="0" w:space="0" w:color="auto"/>
        <w:right w:val="none" w:sz="0" w:space="0" w:color="auto"/>
      </w:divBdr>
      <w:divsChild>
        <w:div w:id="30501828">
          <w:marLeft w:val="0"/>
          <w:marRight w:val="0"/>
          <w:marTop w:val="0"/>
          <w:marBottom w:val="0"/>
          <w:divBdr>
            <w:top w:val="none" w:sz="0" w:space="0" w:color="auto"/>
            <w:left w:val="none" w:sz="0" w:space="0" w:color="auto"/>
            <w:bottom w:val="none" w:sz="0" w:space="0" w:color="auto"/>
            <w:right w:val="none" w:sz="0" w:space="0" w:color="auto"/>
          </w:divBdr>
        </w:div>
        <w:div w:id="88090152">
          <w:marLeft w:val="0"/>
          <w:marRight w:val="0"/>
          <w:marTop w:val="0"/>
          <w:marBottom w:val="0"/>
          <w:divBdr>
            <w:top w:val="none" w:sz="0" w:space="0" w:color="auto"/>
            <w:left w:val="none" w:sz="0" w:space="0" w:color="auto"/>
            <w:bottom w:val="none" w:sz="0" w:space="0" w:color="auto"/>
            <w:right w:val="none" w:sz="0" w:space="0" w:color="auto"/>
          </w:divBdr>
        </w:div>
        <w:div w:id="174347471">
          <w:marLeft w:val="0"/>
          <w:marRight w:val="0"/>
          <w:marTop w:val="0"/>
          <w:marBottom w:val="0"/>
          <w:divBdr>
            <w:top w:val="none" w:sz="0" w:space="0" w:color="auto"/>
            <w:left w:val="none" w:sz="0" w:space="0" w:color="auto"/>
            <w:bottom w:val="none" w:sz="0" w:space="0" w:color="auto"/>
            <w:right w:val="none" w:sz="0" w:space="0" w:color="auto"/>
          </w:divBdr>
        </w:div>
        <w:div w:id="210314910">
          <w:marLeft w:val="0"/>
          <w:marRight w:val="0"/>
          <w:marTop w:val="0"/>
          <w:marBottom w:val="0"/>
          <w:divBdr>
            <w:top w:val="none" w:sz="0" w:space="0" w:color="auto"/>
            <w:left w:val="none" w:sz="0" w:space="0" w:color="auto"/>
            <w:bottom w:val="none" w:sz="0" w:space="0" w:color="auto"/>
            <w:right w:val="none" w:sz="0" w:space="0" w:color="auto"/>
          </w:divBdr>
        </w:div>
        <w:div w:id="500127146">
          <w:marLeft w:val="0"/>
          <w:marRight w:val="0"/>
          <w:marTop w:val="0"/>
          <w:marBottom w:val="0"/>
          <w:divBdr>
            <w:top w:val="none" w:sz="0" w:space="0" w:color="auto"/>
            <w:left w:val="none" w:sz="0" w:space="0" w:color="auto"/>
            <w:bottom w:val="none" w:sz="0" w:space="0" w:color="auto"/>
            <w:right w:val="none" w:sz="0" w:space="0" w:color="auto"/>
          </w:divBdr>
        </w:div>
        <w:div w:id="705526879">
          <w:marLeft w:val="0"/>
          <w:marRight w:val="0"/>
          <w:marTop w:val="0"/>
          <w:marBottom w:val="0"/>
          <w:divBdr>
            <w:top w:val="none" w:sz="0" w:space="0" w:color="auto"/>
            <w:left w:val="none" w:sz="0" w:space="0" w:color="auto"/>
            <w:bottom w:val="none" w:sz="0" w:space="0" w:color="auto"/>
            <w:right w:val="none" w:sz="0" w:space="0" w:color="auto"/>
          </w:divBdr>
        </w:div>
        <w:div w:id="1413433823">
          <w:marLeft w:val="0"/>
          <w:marRight w:val="0"/>
          <w:marTop w:val="0"/>
          <w:marBottom w:val="0"/>
          <w:divBdr>
            <w:top w:val="none" w:sz="0" w:space="0" w:color="auto"/>
            <w:left w:val="none" w:sz="0" w:space="0" w:color="auto"/>
            <w:bottom w:val="none" w:sz="0" w:space="0" w:color="auto"/>
            <w:right w:val="none" w:sz="0" w:space="0" w:color="auto"/>
          </w:divBdr>
        </w:div>
        <w:div w:id="1422141361">
          <w:marLeft w:val="0"/>
          <w:marRight w:val="0"/>
          <w:marTop w:val="0"/>
          <w:marBottom w:val="0"/>
          <w:divBdr>
            <w:top w:val="none" w:sz="0" w:space="0" w:color="auto"/>
            <w:left w:val="none" w:sz="0" w:space="0" w:color="auto"/>
            <w:bottom w:val="none" w:sz="0" w:space="0" w:color="auto"/>
            <w:right w:val="none" w:sz="0" w:space="0" w:color="auto"/>
          </w:divBdr>
        </w:div>
        <w:div w:id="1446345880">
          <w:marLeft w:val="0"/>
          <w:marRight w:val="0"/>
          <w:marTop w:val="0"/>
          <w:marBottom w:val="0"/>
          <w:divBdr>
            <w:top w:val="none" w:sz="0" w:space="0" w:color="auto"/>
            <w:left w:val="none" w:sz="0" w:space="0" w:color="auto"/>
            <w:bottom w:val="none" w:sz="0" w:space="0" w:color="auto"/>
            <w:right w:val="none" w:sz="0" w:space="0" w:color="auto"/>
          </w:divBdr>
        </w:div>
        <w:div w:id="1510370244">
          <w:marLeft w:val="0"/>
          <w:marRight w:val="0"/>
          <w:marTop w:val="0"/>
          <w:marBottom w:val="0"/>
          <w:divBdr>
            <w:top w:val="none" w:sz="0" w:space="0" w:color="auto"/>
            <w:left w:val="none" w:sz="0" w:space="0" w:color="auto"/>
            <w:bottom w:val="none" w:sz="0" w:space="0" w:color="auto"/>
            <w:right w:val="none" w:sz="0" w:space="0" w:color="auto"/>
          </w:divBdr>
        </w:div>
        <w:div w:id="1517961484">
          <w:marLeft w:val="0"/>
          <w:marRight w:val="0"/>
          <w:marTop w:val="0"/>
          <w:marBottom w:val="0"/>
          <w:divBdr>
            <w:top w:val="none" w:sz="0" w:space="0" w:color="auto"/>
            <w:left w:val="none" w:sz="0" w:space="0" w:color="auto"/>
            <w:bottom w:val="none" w:sz="0" w:space="0" w:color="auto"/>
            <w:right w:val="none" w:sz="0" w:space="0" w:color="auto"/>
          </w:divBdr>
        </w:div>
        <w:div w:id="1890650962">
          <w:marLeft w:val="0"/>
          <w:marRight w:val="0"/>
          <w:marTop w:val="0"/>
          <w:marBottom w:val="0"/>
          <w:divBdr>
            <w:top w:val="none" w:sz="0" w:space="0" w:color="auto"/>
            <w:left w:val="none" w:sz="0" w:space="0" w:color="auto"/>
            <w:bottom w:val="none" w:sz="0" w:space="0" w:color="auto"/>
            <w:right w:val="none" w:sz="0" w:space="0" w:color="auto"/>
          </w:divBdr>
        </w:div>
        <w:div w:id="1987858426">
          <w:marLeft w:val="0"/>
          <w:marRight w:val="0"/>
          <w:marTop w:val="0"/>
          <w:marBottom w:val="0"/>
          <w:divBdr>
            <w:top w:val="none" w:sz="0" w:space="0" w:color="auto"/>
            <w:left w:val="none" w:sz="0" w:space="0" w:color="auto"/>
            <w:bottom w:val="none" w:sz="0" w:space="0" w:color="auto"/>
            <w:right w:val="none" w:sz="0" w:space="0" w:color="auto"/>
          </w:divBdr>
        </w:div>
        <w:div w:id="2130464737">
          <w:marLeft w:val="0"/>
          <w:marRight w:val="0"/>
          <w:marTop w:val="0"/>
          <w:marBottom w:val="0"/>
          <w:divBdr>
            <w:top w:val="none" w:sz="0" w:space="0" w:color="auto"/>
            <w:left w:val="none" w:sz="0" w:space="0" w:color="auto"/>
            <w:bottom w:val="none" w:sz="0" w:space="0" w:color="auto"/>
            <w:right w:val="none" w:sz="0" w:space="0" w:color="auto"/>
          </w:divBdr>
        </w:div>
        <w:div w:id="2130734740">
          <w:marLeft w:val="0"/>
          <w:marRight w:val="0"/>
          <w:marTop w:val="0"/>
          <w:marBottom w:val="0"/>
          <w:divBdr>
            <w:top w:val="none" w:sz="0" w:space="0" w:color="auto"/>
            <w:left w:val="none" w:sz="0" w:space="0" w:color="auto"/>
            <w:bottom w:val="none" w:sz="0" w:space="0" w:color="auto"/>
            <w:right w:val="none" w:sz="0" w:space="0" w:color="auto"/>
          </w:divBdr>
        </w:div>
      </w:divsChild>
    </w:div>
    <w:div w:id="1867208134">
      <w:bodyDiv w:val="1"/>
      <w:marLeft w:val="0"/>
      <w:marRight w:val="0"/>
      <w:marTop w:val="0"/>
      <w:marBottom w:val="0"/>
      <w:divBdr>
        <w:top w:val="none" w:sz="0" w:space="0" w:color="auto"/>
        <w:left w:val="none" w:sz="0" w:space="0" w:color="auto"/>
        <w:bottom w:val="none" w:sz="0" w:space="0" w:color="auto"/>
        <w:right w:val="none" w:sz="0" w:space="0" w:color="auto"/>
      </w:divBdr>
      <w:divsChild>
        <w:div w:id="51582349">
          <w:marLeft w:val="0"/>
          <w:marRight w:val="0"/>
          <w:marTop w:val="0"/>
          <w:marBottom w:val="0"/>
          <w:divBdr>
            <w:top w:val="none" w:sz="0" w:space="0" w:color="auto"/>
            <w:left w:val="none" w:sz="0" w:space="0" w:color="auto"/>
            <w:bottom w:val="none" w:sz="0" w:space="0" w:color="auto"/>
            <w:right w:val="none" w:sz="0" w:space="0" w:color="auto"/>
          </w:divBdr>
        </w:div>
        <w:div w:id="82066894">
          <w:marLeft w:val="0"/>
          <w:marRight w:val="0"/>
          <w:marTop w:val="0"/>
          <w:marBottom w:val="0"/>
          <w:divBdr>
            <w:top w:val="none" w:sz="0" w:space="0" w:color="auto"/>
            <w:left w:val="none" w:sz="0" w:space="0" w:color="auto"/>
            <w:bottom w:val="none" w:sz="0" w:space="0" w:color="auto"/>
            <w:right w:val="none" w:sz="0" w:space="0" w:color="auto"/>
          </w:divBdr>
        </w:div>
        <w:div w:id="141852156">
          <w:marLeft w:val="0"/>
          <w:marRight w:val="0"/>
          <w:marTop w:val="0"/>
          <w:marBottom w:val="0"/>
          <w:divBdr>
            <w:top w:val="none" w:sz="0" w:space="0" w:color="auto"/>
            <w:left w:val="none" w:sz="0" w:space="0" w:color="auto"/>
            <w:bottom w:val="none" w:sz="0" w:space="0" w:color="auto"/>
            <w:right w:val="none" w:sz="0" w:space="0" w:color="auto"/>
          </w:divBdr>
        </w:div>
        <w:div w:id="214440174">
          <w:marLeft w:val="0"/>
          <w:marRight w:val="0"/>
          <w:marTop w:val="0"/>
          <w:marBottom w:val="0"/>
          <w:divBdr>
            <w:top w:val="none" w:sz="0" w:space="0" w:color="auto"/>
            <w:left w:val="none" w:sz="0" w:space="0" w:color="auto"/>
            <w:bottom w:val="none" w:sz="0" w:space="0" w:color="auto"/>
            <w:right w:val="none" w:sz="0" w:space="0" w:color="auto"/>
          </w:divBdr>
        </w:div>
        <w:div w:id="302927464">
          <w:marLeft w:val="0"/>
          <w:marRight w:val="0"/>
          <w:marTop w:val="0"/>
          <w:marBottom w:val="0"/>
          <w:divBdr>
            <w:top w:val="none" w:sz="0" w:space="0" w:color="auto"/>
            <w:left w:val="none" w:sz="0" w:space="0" w:color="auto"/>
            <w:bottom w:val="none" w:sz="0" w:space="0" w:color="auto"/>
            <w:right w:val="none" w:sz="0" w:space="0" w:color="auto"/>
          </w:divBdr>
        </w:div>
        <w:div w:id="524833871">
          <w:marLeft w:val="0"/>
          <w:marRight w:val="0"/>
          <w:marTop w:val="0"/>
          <w:marBottom w:val="0"/>
          <w:divBdr>
            <w:top w:val="none" w:sz="0" w:space="0" w:color="auto"/>
            <w:left w:val="none" w:sz="0" w:space="0" w:color="auto"/>
            <w:bottom w:val="none" w:sz="0" w:space="0" w:color="auto"/>
            <w:right w:val="none" w:sz="0" w:space="0" w:color="auto"/>
          </w:divBdr>
        </w:div>
        <w:div w:id="1232690997">
          <w:marLeft w:val="0"/>
          <w:marRight w:val="0"/>
          <w:marTop w:val="0"/>
          <w:marBottom w:val="0"/>
          <w:divBdr>
            <w:top w:val="none" w:sz="0" w:space="0" w:color="auto"/>
            <w:left w:val="none" w:sz="0" w:space="0" w:color="auto"/>
            <w:bottom w:val="none" w:sz="0" w:space="0" w:color="auto"/>
            <w:right w:val="none" w:sz="0" w:space="0" w:color="auto"/>
          </w:divBdr>
        </w:div>
        <w:div w:id="1654069209">
          <w:marLeft w:val="0"/>
          <w:marRight w:val="0"/>
          <w:marTop w:val="0"/>
          <w:marBottom w:val="0"/>
          <w:divBdr>
            <w:top w:val="none" w:sz="0" w:space="0" w:color="auto"/>
            <w:left w:val="none" w:sz="0" w:space="0" w:color="auto"/>
            <w:bottom w:val="none" w:sz="0" w:space="0" w:color="auto"/>
            <w:right w:val="none" w:sz="0" w:space="0" w:color="auto"/>
          </w:divBdr>
        </w:div>
        <w:div w:id="1655601149">
          <w:marLeft w:val="0"/>
          <w:marRight w:val="0"/>
          <w:marTop w:val="0"/>
          <w:marBottom w:val="0"/>
          <w:divBdr>
            <w:top w:val="none" w:sz="0" w:space="0" w:color="auto"/>
            <w:left w:val="none" w:sz="0" w:space="0" w:color="auto"/>
            <w:bottom w:val="none" w:sz="0" w:space="0" w:color="auto"/>
            <w:right w:val="none" w:sz="0" w:space="0" w:color="auto"/>
          </w:divBdr>
        </w:div>
        <w:div w:id="1880435205">
          <w:marLeft w:val="0"/>
          <w:marRight w:val="0"/>
          <w:marTop w:val="0"/>
          <w:marBottom w:val="0"/>
          <w:divBdr>
            <w:top w:val="none" w:sz="0" w:space="0" w:color="auto"/>
            <w:left w:val="none" w:sz="0" w:space="0" w:color="auto"/>
            <w:bottom w:val="none" w:sz="0" w:space="0" w:color="auto"/>
            <w:right w:val="none" w:sz="0" w:space="0" w:color="auto"/>
          </w:divBdr>
        </w:div>
      </w:divsChild>
    </w:div>
    <w:div w:id="1875344064">
      <w:bodyDiv w:val="1"/>
      <w:marLeft w:val="0"/>
      <w:marRight w:val="0"/>
      <w:marTop w:val="0"/>
      <w:marBottom w:val="0"/>
      <w:divBdr>
        <w:top w:val="none" w:sz="0" w:space="0" w:color="auto"/>
        <w:left w:val="none" w:sz="0" w:space="0" w:color="auto"/>
        <w:bottom w:val="none" w:sz="0" w:space="0" w:color="auto"/>
        <w:right w:val="none" w:sz="0" w:space="0" w:color="auto"/>
      </w:divBdr>
      <w:divsChild>
        <w:div w:id="1859654380">
          <w:marLeft w:val="0"/>
          <w:marRight w:val="0"/>
          <w:marTop w:val="0"/>
          <w:marBottom w:val="0"/>
          <w:divBdr>
            <w:top w:val="none" w:sz="0" w:space="0" w:color="auto"/>
            <w:left w:val="none" w:sz="0" w:space="0" w:color="auto"/>
            <w:bottom w:val="none" w:sz="0" w:space="0" w:color="auto"/>
            <w:right w:val="none" w:sz="0" w:space="0" w:color="auto"/>
          </w:divBdr>
        </w:div>
      </w:divsChild>
    </w:div>
    <w:div w:id="1875462476">
      <w:bodyDiv w:val="1"/>
      <w:marLeft w:val="0"/>
      <w:marRight w:val="0"/>
      <w:marTop w:val="0"/>
      <w:marBottom w:val="0"/>
      <w:divBdr>
        <w:top w:val="none" w:sz="0" w:space="0" w:color="auto"/>
        <w:left w:val="none" w:sz="0" w:space="0" w:color="auto"/>
        <w:bottom w:val="none" w:sz="0" w:space="0" w:color="auto"/>
        <w:right w:val="none" w:sz="0" w:space="0" w:color="auto"/>
      </w:divBdr>
    </w:div>
    <w:div w:id="1892957039">
      <w:bodyDiv w:val="1"/>
      <w:marLeft w:val="0"/>
      <w:marRight w:val="0"/>
      <w:marTop w:val="0"/>
      <w:marBottom w:val="0"/>
      <w:divBdr>
        <w:top w:val="none" w:sz="0" w:space="0" w:color="auto"/>
        <w:left w:val="none" w:sz="0" w:space="0" w:color="auto"/>
        <w:bottom w:val="none" w:sz="0" w:space="0" w:color="auto"/>
        <w:right w:val="none" w:sz="0" w:space="0" w:color="auto"/>
      </w:divBdr>
      <w:divsChild>
        <w:div w:id="780298514">
          <w:marLeft w:val="0"/>
          <w:marRight w:val="0"/>
          <w:marTop w:val="0"/>
          <w:marBottom w:val="0"/>
          <w:divBdr>
            <w:top w:val="none" w:sz="0" w:space="0" w:color="auto"/>
            <w:left w:val="none" w:sz="0" w:space="0" w:color="auto"/>
            <w:bottom w:val="none" w:sz="0" w:space="0" w:color="auto"/>
            <w:right w:val="none" w:sz="0" w:space="0" w:color="auto"/>
          </w:divBdr>
        </w:div>
      </w:divsChild>
    </w:div>
    <w:div w:id="1910268794">
      <w:bodyDiv w:val="1"/>
      <w:marLeft w:val="0"/>
      <w:marRight w:val="0"/>
      <w:marTop w:val="0"/>
      <w:marBottom w:val="0"/>
      <w:divBdr>
        <w:top w:val="none" w:sz="0" w:space="0" w:color="auto"/>
        <w:left w:val="none" w:sz="0" w:space="0" w:color="auto"/>
        <w:bottom w:val="none" w:sz="0" w:space="0" w:color="auto"/>
        <w:right w:val="none" w:sz="0" w:space="0" w:color="auto"/>
      </w:divBdr>
      <w:divsChild>
        <w:div w:id="2093043767">
          <w:marLeft w:val="0"/>
          <w:marRight w:val="0"/>
          <w:marTop w:val="0"/>
          <w:marBottom w:val="0"/>
          <w:divBdr>
            <w:top w:val="none" w:sz="0" w:space="0" w:color="auto"/>
            <w:left w:val="none" w:sz="0" w:space="0" w:color="auto"/>
            <w:bottom w:val="none" w:sz="0" w:space="0" w:color="auto"/>
            <w:right w:val="none" w:sz="0" w:space="0" w:color="auto"/>
          </w:divBdr>
          <w:divsChild>
            <w:div w:id="20976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7814">
      <w:bodyDiv w:val="1"/>
      <w:marLeft w:val="0"/>
      <w:marRight w:val="0"/>
      <w:marTop w:val="0"/>
      <w:marBottom w:val="0"/>
      <w:divBdr>
        <w:top w:val="none" w:sz="0" w:space="0" w:color="auto"/>
        <w:left w:val="none" w:sz="0" w:space="0" w:color="auto"/>
        <w:bottom w:val="none" w:sz="0" w:space="0" w:color="auto"/>
        <w:right w:val="none" w:sz="0" w:space="0" w:color="auto"/>
      </w:divBdr>
      <w:divsChild>
        <w:div w:id="1971740575">
          <w:marLeft w:val="0"/>
          <w:marRight w:val="0"/>
          <w:marTop w:val="0"/>
          <w:marBottom w:val="0"/>
          <w:divBdr>
            <w:top w:val="none" w:sz="0" w:space="0" w:color="auto"/>
            <w:left w:val="none" w:sz="0" w:space="0" w:color="auto"/>
            <w:bottom w:val="none" w:sz="0" w:space="0" w:color="auto"/>
            <w:right w:val="none" w:sz="0" w:space="0" w:color="auto"/>
          </w:divBdr>
        </w:div>
      </w:divsChild>
    </w:div>
    <w:div w:id="1934973550">
      <w:bodyDiv w:val="1"/>
      <w:marLeft w:val="0"/>
      <w:marRight w:val="0"/>
      <w:marTop w:val="0"/>
      <w:marBottom w:val="0"/>
      <w:divBdr>
        <w:top w:val="none" w:sz="0" w:space="0" w:color="auto"/>
        <w:left w:val="none" w:sz="0" w:space="0" w:color="auto"/>
        <w:bottom w:val="none" w:sz="0" w:space="0" w:color="auto"/>
        <w:right w:val="none" w:sz="0" w:space="0" w:color="auto"/>
      </w:divBdr>
      <w:divsChild>
        <w:div w:id="1623658620">
          <w:marLeft w:val="0"/>
          <w:marRight w:val="0"/>
          <w:marTop w:val="0"/>
          <w:marBottom w:val="0"/>
          <w:divBdr>
            <w:top w:val="none" w:sz="0" w:space="0" w:color="auto"/>
            <w:left w:val="none" w:sz="0" w:space="0" w:color="auto"/>
            <w:bottom w:val="none" w:sz="0" w:space="0" w:color="auto"/>
            <w:right w:val="none" w:sz="0" w:space="0" w:color="auto"/>
          </w:divBdr>
        </w:div>
        <w:div w:id="1806193212">
          <w:marLeft w:val="0"/>
          <w:marRight w:val="0"/>
          <w:marTop w:val="0"/>
          <w:marBottom w:val="0"/>
          <w:divBdr>
            <w:top w:val="none" w:sz="0" w:space="0" w:color="auto"/>
            <w:left w:val="none" w:sz="0" w:space="0" w:color="auto"/>
            <w:bottom w:val="none" w:sz="0" w:space="0" w:color="auto"/>
            <w:right w:val="none" w:sz="0" w:space="0" w:color="auto"/>
          </w:divBdr>
        </w:div>
      </w:divsChild>
    </w:div>
    <w:div w:id="1961109388">
      <w:bodyDiv w:val="1"/>
      <w:marLeft w:val="0"/>
      <w:marRight w:val="0"/>
      <w:marTop w:val="0"/>
      <w:marBottom w:val="0"/>
      <w:divBdr>
        <w:top w:val="none" w:sz="0" w:space="0" w:color="auto"/>
        <w:left w:val="none" w:sz="0" w:space="0" w:color="auto"/>
        <w:bottom w:val="none" w:sz="0" w:space="0" w:color="auto"/>
        <w:right w:val="none" w:sz="0" w:space="0" w:color="auto"/>
      </w:divBdr>
      <w:divsChild>
        <w:div w:id="132329669">
          <w:marLeft w:val="0"/>
          <w:marRight w:val="0"/>
          <w:marTop w:val="0"/>
          <w:marBottom w:val="0"/>
          <w:divBdr>
            <w:top w:val="none" w:sz="0" w:space="0" w:color="auto"/>
            <w:left w:val="none" w:sz="0" w:space="0" w:color="auto"/>
            <w:bottom w:val="none" w:sz="0" w:space="0" w:color="auto"/>
            <w:right w:val="none" w:sz="0" w:space="0" w:color="auto"/>
          </w:divBdr>
        </w:div>
        <w:div w:id="148711125">
          <w:marLeft w:val="0"/>
          <w:marRight w:val="0"/>
          <w:marTop w:val="0"/>
          <w:marBottom w:val="0"/>
          <w:divBdr>
            <w:top w:val="none" w:sz="0" w:space="0" w:color="auto"/>
            <w:left w:val="none" w:sz="0" w:space="0" w:color="auto"/>
            <w:bottom w:val="none" w:sz="0" w:space="0" w:color="auto"/>
            <w:right w:val="none" w:sz="0" w:space="0" w:color="auto"/>
          </w:divBdr>
        </w:div>
        <w:div w:id="244803730">
          <w:marLeft w:val="0"/>
          <w:marRight w:val="0"/>
          <w:marTop w:val="0"/>
          <w:marBottom w:val="0"/>
          <w:divBdr>
            <w:top w:val="none" w:sz="0" w:space="0" w:color="auto"/>
            <w:left w:val="none" w:sz="0" w:space="0" w:color="auto"/>
            <w:bottom w:val="none" w:sz="0" w:space="0" w:color="auto"/>
            <w:right w:val="none" w:sz="0" w:space="0" w:color="auto"/>
          </w:divBdr>
        </w:div>
        <w:div w:id="401147060">
          <w:marLeft w:val="0"/>
          <w:marRight w:val="0"/>
          <w:marTop w:val="0"/>
          <w:marBottom w:val="0"/>
          <w:divBdr>
            <w:top w:val="none" w:sz="0" w:space="0" w:color="auto"/>
            <w:left w:val="none" w:sz="0" w:space="0" w:color="auto"/>
            <w:bottom w:val="none" w:sz="0" w:space="0" w:color="auto"/>
            <w:right w:val="none" w:sz="0" w:space="0" w:color="auto"/>
          </w:divBdr>
        </w:div>
        <w:div w:id="1152941876">
          <w:marLeft w:val="0"/>
          <w:marRight w:val="0"/>
          <w:marTop w:val="0"/>
          <w:marBottom w:val="0"/>
          <w:divBdr>
            <w:top w:val="none" w:sz="0" w:space="0" w:color="auto"/>
            <w:left w:val="none" w:sz="0" w:space="0" w:color="auto"/>
            <w:bottom w:val="none" w:sz="0" w:space="0" w:color="auto"/>
            <w:right w:val="none" w:sz="0" w:space="0" w:color="auto"/>
          </w:divBdr>
        </w:div>
        <w:div w:id="1153449657">
          <w:marLeft w:val="0"/>
          <w:marRight w:val="0"/>
          <w:marTop w:val="0"/>
          <w:marBottom w:val="0"/>
          <w:divBdr>
            <w:top w:val="none" w:sz="0" w:space="0" w:color="auto"/>
            <w:left w:val="none" w:sz="0" w:space="0" w:color="auto"/>
            <w:bottom w:val="none" w:sz="0" w:space="0" w:color="auto"/>
            <w:right w:val="none" w:sz="0" w:space="0" w:color="auto"/>
          </w:divBdr>
        </w:div>
        <w:div w:id="1184248278">
          <w:marLeft w:val="0"/>
          <w:marRight w:val="0"/>
          <w:marTop w:val="0"/>
          <w:marBottom w:val="0"/>
          <w:divBdr>
            <w:top w:val="none" w:sz="0" w:space="0" w:color="auto"/>
            <w:left w:val="none" w:sz="0" w:space="0" w:color="auto"/>
            <w:bottom w:val="none" w:sz="0" w:space="0" w:color="auto"/>
            <w:right w:val="none" w:sz="0" w:space="0" w:color="auto"/>
          </w:divBdr>
        </w:div>
        <w:div w:id="1338114467">
          <w:marLeft w:val="0"/>
          <w:marRight w:val="0"/>
          <w:marTop w:val="0"/>
          <w:marBottom w:val="0"/>
          <w:divBdr>
            <w:top w:val="none" w:sz="0" w:space="0" w:color="auto"/>
            <w:left w:val="none" w:sz="0" w:space="0" w:color="auto"/>
            <w:bottom w:val="none" w:sz="0" w:space="0" w:color="auto"/>
            <w:right w:val="none" w:sz="0" w:space="0" w:color="auto"/>
          </w:divBdr>
        </w:div>
        <w:div w:id="1351443940">
          <w:marLeft w:val="0"/>
          <w:marRight w:val="0"/>
          <w:marTop w:val="0"/>
          <w:marBottom w:val="0"/>
          <w:divBdr>
            <w:top w:val="none" w:sz="0" w:space="0" w:color="auto"/>
            <w:left w:val="none" w:sz="0" w:space="0" w:color="auto"/>
            <w:bottom w:val="none" w:sz="0" w:space="0" w:color="auto"/>
            <w:right w:val="none" w:sz="0" w:space="0" w:color="auto"/>
          </w:divBdr>
        </w:div>
        <w:div w:id="1944343489">
          <w:marLeft w:val="0"/>
          <w:marRight w:val="0"/>
          <w:marTop w:val="0"/>
          <w:marBottom w:val="0"/>
          <w:divBdr>
            <w:top w:val="none" w:sz="0" w:space="0" w:color="auto"/>
            <w:left w:val="none" w:sz="0" w:space="0" w:color="auto"/>
            <w:bottom w:val="none" w:sz="0" w:space="0" w:color="auto"/>
            <w:right w:val="none" w:sz="0" w:space="0" w:color="auto"/>
          </w:divBdr>
        </w:div>
        <w:div w:id="2112554738">
          <w:marLeft w:val="0"/>
          <w:marRight w:val="0"/>
          <w:marTop w:val="0"/>
          <w:marBottom w:val="0"/>
          <w:divBdr>
            <w:top w:val="none" w:sz="0" w:space="0" w:color="auto"/>
            <w:left w:val="none" w:sz="0" w:space="0" w:color="auto"/>
            <w:bottom w:val="none" w:sz="0" w:space="0" w:color="auto"/>
            <w:right w:val="none" w:sz="0" w:space="0" w:color="auto"/>
          </w:divBdr>
        </w:div>
      </w:divsChild>
    </w:div>
    <w:div w:id="1961110500">
      <w:bodyDiv w:val="1"/>
      <w:marLeft w:val="0"/>
      <w:marRight w:val="0"/>
      <w:marTop w:val="0"/>
      <w:marBottom w:val="0"/>
      <w:divBdr>
        <w:top w:val="none" w:sz="0" w:space="0" w:color="auto"/>
        <w:left w:val="none" w:sz="0" w:space="0" w:color="auto"/>
        <w:bottom w:val="none" w:sz="0" w:space="0" w:color="auto"/>
        <w:right w:val="none" w:sz="0" w:space="0" w:color="auto"/>
      </w:divBdr>
    </w:div>
    <w:div w:id="1966234513">
      <w:bodyDiv w:val="1"/>
      <w:marLeft w:val="0"/>
      <w:marRight w:val="0"/>
      <w:marTop w:val="0"/>
      <w:marBottom w:val="0"/>
      <w:divBdr>
        <w:top w:val="none" w:sz="0" w:space="0" w:color="auto"/>
        <w:left w:val="none" w:sz="0" w:space="0" w:color="auto"/>
        <w:bottom w:val="none" w:sz="0" w:space="0" w:color="auto"/>
        <w:right w:val="none" w:sz="0" w:space="0" w:color="auto"/>
      </w:divBdr>
      <w:divsChild>
        <w:div w:id="137109809">
          <w:marLeft w:val="0"/>
          <w:marRight w:val="0"/>
          <w:marTop w:val="0"/>
          <w:marBottom w:val="0"/>
          <w:divBdr>
            <w:top w:val="none" w:sz="0" w:space="0" w:color="auto"/>
            <w:left w:val="none" w:sz="0" w:space="0" w:color="auto"/>
            <w:bottom w:val="none" w:sz="0" w:space="0" w:color="auto"/>
            <w:right w:val="none" w:sz="0" w:space="0" w:color="auto"/>
          </w:divBdr>
        </w:div>
        <w:div w:id="747926257">
          <w:marLeft w:val="0"/>
          <w:marRight w:val="0"/>
          <w:marTop w:val="0"/>
          <w:marBottom w:val="0"/>
          <w:divBdr>
            <w:top w:val="none" w:sz="0" w:space="0" w:color="auto"/>
            <w:left w:val="none" w:sz="0" w:space="0" w:color="auto"/>
            <w:bottom w:val="none" w:sz="0" w:space="0" w:color="auto"/>
            <w:right w:val="none" w:sz="0" w:space="0" w:color="auto"/>
          </w:divBdr>
        </w:div>
        <w:div w:id="827525268">
          <w:marLeft w:val="0"/>
          <w:marRight w:val="0"/>
          <w:marTop w:val="0"/>
          <w:marBottom w:val="0"/>
          <w:divBdr>
            <w:top w:val="none" w:sz="0" w:space="0" w:color="auto"/>
            <w:left w:val="none" w:sz="0" w:space="0" w:color="auto"/>
            <w:bottom w:val="none" w:sz="0" w:space="0" w:color="auto"/>
            <w:right w:val="none" w:sz="0" w:space="0" w:color="auto"/>
          </w:divBdr>
        </w:div>
        <w:div w:id="880096979">
          <w:marLeft w:val="0"/>
          <w:marRight w:val="0"/>
          <w:marTop w:val="0"/>
          <w:marBottom w:val="0"/>
          <w:divBdr>
            <w:top w:val="none" w:sz="0" w:space="0" w:color="auto"/>
            <w:left w:val="none" w:sz="0" w:space="0" w:color="auto"/>
            <w:bottom w:val="none" w:sz="0" w:space="0" w:color="auto"/>
            <w:right w:val="none" w:sz="0" w:space="0" w:color="auto"/>
          </w:divBdr>
        </w:div>
        <w:div w:id="897476468">
          <w:marLeft w:val="0"/>
          <w:marRight w:val="0"/>
          <w:marTop w:val="0"/>
          <w:marBottom w:val="0"/>
          <w:divBdr>
            <w:top w:val="none" w:sz="0" w:space="0" w:color="auto"/>
            <w:left w:val="none" w:sz="0" w:space="0" w:color="auto"/>
            <w:bottom w:val="none" w:sz="0" w:space="0" w:color="auto"/>
            <w:right w:val="none" w:sz="0" w:space="0" w:color="auto"/>
          </w:divBdr>
        </w:div>
        <w:div w:id="1011251899">
          <w:marLeft w:val="0"/>
          <w:marRight w:val="0"/>
          <w:marTop w:val="0"/>
          <w:marBottom w:val="0"/>
          <w:divBdr>
            <w:top w:val="none" w:sz="0" w:space="0" w:color="auto"/>
            <w:left w:val="none" w:sz="0" w:space="0" w:color="auto"/>
            <w:bottom w:val="none" w:sz="0" w:space="0" w:color="auto"/>
            <w:right w:val="none" w:sz="0" w:space="0" w:color="auto"/>
          </w:divBdr>
        </w:div>
        <w:div w:id="1041784614">
          <w:marLeft w:val="0"/>
          <w:marRight w:val="0"/>
          <w:marTop w:val="0"/>
          <w:marBottom w:val="0"/>
          <w:divBdr>
            <w:top w:val="none" w:sz="0" w:space="0" w:color="auto"/>
            <w:left w:val="none" w:sz="0" w:space="0" w:color="auto"/>
            <w:bottom w:val="none" w:sz="0" w:space="0" w:color="auto"/>
            <w:right w:val="none" w:sz="0" w:space="0" w:color="auto"/>
          </w:divBdr>
        </w:div>
        <w:div w:id="1137528949">
          <w:marLeft w:val="0"/>
          <w:marRight w:val="0"/>
          <w:marTop w:val="0"/>
          <w:marBottom w:val="0"/>
          <w:divBdr>
            <w:top w:val="none" w:sz="0" w:space="0" w:color="auto"/>
            <w:left w:val="none" w:sz="0" w:space="0" w:color="auto"/>
            <w:bottom w:val="none" w:sz="0" w:space="0" w:color="auto"/>
            <w:right w:val="none" w:sz="0" w:space="0" w:color="auto"/>
          </w:divBdr>
        </w:div>
        <w:div w:id="1279794432">
          <w:marLeft w:val="0"/>
          <w:marRight w:val="0"/>
          <w:marTop w:val="0"/>
          <w:marBottom w:val="0"/>
          <w:divBdr>
            <w:top w:val="none" w:sz="0" w:space="0" w:color="auto"/>
            <w:left w:val="none" w:sz="0" w:space="0" w:color="auto"/>
            <w:bottom w:val="none" w:sz="0" w:space="0" w:color="auto"/>
            <w:right w:val="none" w:sz="0" w:space="0" w:color="auto"/>
          </w:divBdr>
        </w:div>
        <w:div w:id="1636567980">
          <w:marLeft w:val="0"/>
          <w:marRight w:val="0"/>
          <w:marTop w:val="0"/>
          <w:marBottom w:val="0"/>
          <w:divBdr>
            <w:top w:val="none" w:sz="0" w:space="0" w:color="auto"/>
            <w:left w:val="none" w:sz="0" w:space="0" w:color="auto"/>
            <w:bottom w:val="none" w:sz="0" w:space="0" w:color="auto"/>
            <w:right w:val="none" w:sz="0" w:space="0" w:color="auto"/>
          </w:divBdr>
        </w:div>
        <w:div w:id="2131967799">
          <w:marLeft w:val="0"/>
          <w:marRight w:val="0"/>
          <w:marTop w:val="0"/>
          <w:marBottom w:val="0"/>
          <w:divBdr>
            <w:top w:val="none" w:sz="0" w:space="0" w:color="auto"/>
            <w:left w:val="none" w:sz="0" w:space="0" w:color="auto"/>
            <w:bottom w:val="none" w:sz="0" w:space="0" w:color="auto"/>
            <w:right w:val="none" w:sz="0" w:space="0" w:color="auto"/>
          </w:divBdr>
        </w:div>
      </w:divsChild>
    </w:div>
    <w:div w:id="1969120799">
      <w:bodyDiv w:val="1"/>
      <w:marLeft w:val="0"/>
      <w:marRight w:val="0"/>
      <w:marTop w:val="0"/>
      <w:marBottom w:val="0"/>
      <w:divBdr>
        <w:top w:val="none" w:sz="0" w:space="0" w:color="auto"/>
        <w:left w:val="none" w:sz="0" w:space="0" w:color="auto"/>
        <w:bottom w:val="none" w:sz="0" w:space="0" w:color="auto"/>
        <w:right w:val="none" w:sz="0" w:space="0" w:color="auto"/>
      </w:divBdr>
      <w:divsChild>
        <w:div w:id="19861292">
          <w:marLeft w:val="0"/>
          <w:marRight w:val="0"/>
          <w:marTop w:val="0"/>
          <w:marBottom w:val="0"/>
          <w:divBdr>
            <w:top w:val="none" w:sz="0" w:space="0" w:color="auto"/>
            <w:left w:val="none" w:sz="0" w:space="0" w:color="auto"/>
            <w:bottom w:val="none" w:sz="0" w:space="0" w:color="auto"/>
            <w:right w:val="none" w:sz="0" w:space="0" w:color="auto"/>
          </w:divBdr>
        </w:div>
        <w:div w:id="61488074">
          <w:marLeft w:val="0"/>
          <w:marRight w:val="0"/>
          <w:marTop w:val="0"/>
          <w:marBottom w:val="0"/>
          <w:divBdr>
            <w:top w:val="none" w:sz="0" w:space="0" w:color="auto"/>
            <w:left w:val="none" w:sz="0" w:space="0" w:color="auto"/>
            <w:bottom w:val="none" w:sz="0" w:space="0" w:color="auto"/>
            <w:right w:val="none" w:sz="0" w:space="0" w:color="auto"/>
          </w:divBdr>
        </w:div>
        <w:div w:id="82386685">
          <w:marLeft w:val="0"/>
          <w:marRight w:val="0"/>
          <w:marTop w:val="0"/>
          <w:marBottom w:val="0"/>
          <w:divBdr>
            <w:top w:val="none" w:sz="0" w:space="0" w:color="auto"/>
            <w:left w:val="none" w:sz="0" w:space="0" w:color="auto"/>
            <w:bottom w:val="none" w:sz="0" w:space="0" w:color="auto"/>
            <w:right w:val="none" w:sz="0" w:space="0" w:color="auto"/>
          </w:divBdr>
        </w:div>
        <w:div w:id="155657305">
          <w:marLeft w:val="0"/>
          <w:marRight w:val="0"/>
          <w:marTop w:val="0"/>
          <w:marBottom w:val="0"/>
          <w:divBdr>
            <w:top w:val="none" w:sz="0" w:space="0" w:color="auto"/>
            <w:left w:val="none" w:sz="0" w:space="0" w:color="auto"/>
            <w:bottom w:val="none" w:sz="0" w:space="0" w:color="auto"/>
            <w:right w:val="none" w:sz="0" w:space="0" w:color="auto"/>
          </w:divBdr>
        </w:div>
        <w:div w:id="193276595">
          <w:marLeft w:val="0"/>
          <w:marRight w:val="0"/>
          <w:marTop w:val="0"/>
          <w:marBottom w:val="0"/>
          <w:divBdr>
            <w:top w:val="none" w:sz="0" w:space="0" w:color="auto"/>
            <w:left w:val="none" w:sz="0" w:space="0" w:color="auto"/>
            <w:bottom w:val="none" w:sz="0" w:space="0" w:color="auto"/>
            <w:right w:val="none" w:sz="0" w:space="0" w:color="auto"/>
          </w:divBdr>
        </w:div>
        <w:div w:id="404305342">
          <w:marLeft w:val="0"/>
          <w:marRight w:val="0"/>
          <w:marTop w:val="0"/>
          <w:marBottom w:val="0"/>
          <w:divBdr>
            <w:top w:val="none" w:sz="0" w:space="0" w:color="auto"/>
            <w:left w:val="none" w:sz="0" w:space="0" w:color="auto"/>
            <w:bottom w:val="none" w:sz="0" w:space="0" w:color="auto"/>
            <w:right w:val="none" w:sz="0" w:space="0" w:color="auto"/>
          </w:divBdr>
        </w:div>
        <w:div w:id="554658421">
          <w:marLeft w:val="0"/>
          <w:marRight w:val="0"/>
          <w:marTop w:val="0"/>
          <w:marBottom w:val="0"/>
          <w:divBdr>
            <w:top w:val="none" w:sz="0" w:space="0" w:color="auto"/>
            <w:left w:val="none" w:sz="0" w:space="0" w:color="auto"/>
            <w:bottom w:val="none" w:sz="0" w:space="0" w:color="auto"/>
            <w:right w:val="none" w:sz="0" w:space="0" w:color="auto"/>
          </w:divBdr>
        </w:div>
        <w:div w:id="564031115">
          <w:marLeft w:val="0"/>
          <w:marRight w:val="0"/>
          <w:marTop w:val="0"/>
          <w:marBottom w:val="0"/>
          <w:divBdr>
            <w:top w:val="none" w:sz="0" w:space="0" w:color="auto"/>
            <w:left w:val="none" w:sz="0" w:space="0" w:color="auto"/>
            <w:bottom w:val="none" w:sz="0" w:space="0" w:color="auto"/>
            <w:right w:val="none" w:sz="0" w:space="0" w:color="auto"/>
          </w:divBdr>
        </w:div>
        <w:div w:id="566720940">
          <w:marLeft w:val="0"/>
          <w:marRight w:val="0"/>
          <w:marTop w:val="0"/>
          <w:marBottom w:val="0"/>
          <w:divBdr>
            <w:top w:val="none" w:sz="0" w:space="0" w:color="auto"/>
            <w:left w:val="none" w:sz="0" w:space="0" w:color="auto"/>
            <w:bottom w:val="none" w:sz="0" w:space="0" w:color="auto"/>
            <w:right w:val="none" w:sz="0" w:space="0" w:color="auto"/>
          </w:divBdr>
        </w:div>
        <w:div w:id="573319062">
          <w:marLeft w:val="0"/>
          <w:marRight w:val="0"/>
          <w:marTop w:val="0"/>
          <w:marBottom w:val="0"/>
          <w:divBdr>
            <w:top w:val="none" w:sz="0" w:space="0" w:color="auto"/>
            <w:left w:val="none" w:sz="0" w:space="0" w:color="auto"/>
            <w:bottom w:val="none" w:sz="0" w:space="0" w:color="auto"/>
            <w:right w:val="none" w:sz="0" w:space="0" w:color="auto"/>
          </w:divBdr>
        </w:div>
        <w:div w:id="604309055">
          <w:marLeft w:val="0"/>
          <w:marRight w:val="0"/>
          <w:marTop w:val="0"/>
          <w:marBottom w:val="0"/>
          <w:divBdr>
            <w:top w:val="none" w:sz="0" w:space="0" w:color="auto"/>
            <w:left w:val="none" w:sz="0" w:space="0" w:color="auto"/>
            <w:bottom w:val="none" w:sz="0" w:space="0" w:color="auto"/>
            <w:right w:val="none" w:sz="0" w:space="0" w:color="auto"/>
          </w:divBdr>
        </w:div>
        <w:div w:id="607467324">
          <w:marLeft w:val="0"/>
          <w:marRight w:val="0"/>
          <w:marTop w:val="0"/>
          <w:marBottom w:val="0"/>
          <w:divBdr>
            <w:top w:val="none" w:sz="0" w:space="0" w:color="auto"/>
            <w:left w:val="none" w:sz="0" w:space="0" w:color="auto"/>
            <w:bottom w:val="none" w:sz="0" w:space="0" w:color="auto"/>
            <w:right w:val="none" w:sz="0" w:space="0" w:color="auto"/>
          </w:divBdr>
        </w:div>
        <w:div w:id="743454080">
          <w:marLeft w:val="0"/>
          <w:marRight w:val="0"/>
          <w:marTop w:val="0"/>
          <w:marBottom w:val="0"/>
          <w:divBdr>
            <w:top w:val="none" w:sz="0" w:space="0" w:color="auto"/>
            <w:left w:val="none" w:sz="0" w:space="0" w:color="auto"/>
            <w:bottom w:val="none" w:sz="0" w:space="0" w:color="auto"/>
            <w:right w:val="none" w:sz="0" w:space="0" w:color="auto"/>
          </w:divBdr>
        </w:div>
        <w:div w:id="811673862">
          <w:marLeft w:val="0"/>
          <w:marRight w:val="0"/>
          <w:marTop w:val="0"/>
          <w:marBottom w:val="0"/>
          <w:divBdr>
            <w:top w:val="none" w:sz="0" w:space="0" w:color="auto"/>
            <w:left w:val="none" w:sz="0" w:space="0" w:color="auto"/>
            <w:bottom w:val="none" w:sz="0" w:space="0" w:color="auto"/>
            <w:right w:val="none" w:sz="0" w:space="0" w:color="auto"/>
          </w:divBdr>
        </w:div>
        <w:div w:id="816383809">
          <w:marLeft w:val="0"/>
          <w:marRight w:val="0"/>
          <w:marTop w:val="0"/>
          <w:marBottom w:val="0"/>
          <w:divBdr>
            <w:top w:val="none" w:sz="0" w:space="0" w:color="auto"/>
            <w:left w:val="none" w:sz="0" w:space="0" w:color="auto"/>
            <w:bottom w:val="none" w:sz="0" w:space="0" w:color="auto"/>
            <w:right w:val="none" w:sz="0" w:space="0" w:color="auto"/>
          </w:divBdr>
        </w:div>
        <w:div w:id="944922340">
          <w:marLeft w:val="0"/>
          <w:marRight w:val="0"/>
          <w:marTop w:val="0"/>
          <w:marBottom w:val="0"/>
          <w:divBdr>
            <w:top w:val="none" w:sz="0" w:space="0" w:color="auto"/>
            <w:left w:val="none" w:sz="0" w:space="0" w:color="auto"/>
            <w:bottom w:val="none" w:sz="0" w:space="0" w:color="auto"/>
            <w:right w:val="none" w:sz="0" w:space="0" w:color="auto"/>
          </w:divBdr>
        </w:div>
        <w:div w:id="963971762">
          <w:marLeft w:val="0"/>
          <w:marRight w:val="0"/>
          <w:marTop w:val="0"/>
          <w:marBottom w:val="0"/>
          <w:divBdr>
            <w:top w:val="none" w:sz="0" w:space="0" w:color="auto"/>
            <w:left w:val="none" w:sz="0" w:space="0" w:color="auto"/>
            <w:bottom w:val="none" w:sz="0" w:space="0" w:color="auto"/>
            <w:right w:val="none" w:sz="0" w:space="0" w:color="auto"/>
          </w:divBdr>
        </w:div>
        <w:div w:id="978195142">
          <w:marLeft w:val="0"/>
          <w:marRight w:val="0"/>
          <w:marTop w:val="0"/>
          <w:marBottom w:val="0"/>
          <w:divBdr>
            <w:top w:val="none" w:sz="0" w:space="0" w:color="auto"/>
            <w:left w:val="none" w:sz="0" w:space="0" w:color="auto"/>
            <w:bottom w:val="none" w:sz="0" w:space="0" w:color="auto"/>
            <w:right w:val="none" w:sz="0" w:space="0" w:color="auto"/>
          </w:divBdr>
        </w:div>
        <w:div w:id="1086272434">
          <w:marLeft w:val="0"/>
          <w:marRight w:val="0"/>
          <w:marTop w:val="0"/>
          <w:marBottom w:val="0"/>
          <w:divBdr>
            <w:top w:val="none" w:sz="0" w:space="0" w:color="auto"/>
            <w:left w:val="none" w:sz="0" w:space="0" w:color="auto"/>
            <w:bottom w:val="none" w:sz="0" w:space="0" w:color="auto"/>
            <w:right w:val="none" w:sz="0" w:space="0" w:color="auto"/>
          </w:divBdr>
        </w:div>
        <w:div w:id="1140732674">
          <w:marLeft w:val="0"/>
          <w:marRight w:val="0"/>
          <w:marTop w:val="0"/>
          <w:marBottom w:val="0"/>
          <w:divBdr>
            <w:top w:val="none" w:sz="0" w:space="0" w:color="auto"/>
            <w:left w:val="none" w:sz="0" w:space="0" w:color="auto"/>
            <w:bottom w:val="none" w:sz="0" w:space="0" w:color="auto"/>
            <w:right w:val="none" w:sz="0" w:space="0" w:color="auto"/>
          </w:divBdr>
        </w:div>
        <w:div w:id="1209339872">
          <w:marLeft w:val="0"/>
          <w:marRight w:val="0"/>
          <w:marTop w:val="0"/>
          <w:marBottom w:val="0"/>
          <w:divBdr>
            <w:top w:val="none" w:sz="0" w:space="0" w:color="auto"/>
            <w:left w:val="none" w:sz="0" w:space="0" w:color="auto"/>
            <w:bottom w:val="none" w:sz="0" w:space="0" w:color="auto"/>
            <w:right w:val="none" w:sz="0" w:space="0" w:color="auto"/>
          </w:divBdr>
        </w:div>
        <w:div w:id="1336494420">
          <w:marLeft w:val="0"/>
          <w:marRight w:val="0"/>
          <w:marTop w:val="0"/>
          <w:marBottom w:val="0"/>
          <w:divBdr>
            <w:top w:val="none" w:sz="0" w:space="0" w:color="auto"/>
            <w:left w:val="none" w:sz="0" w:space="0" w:color="auto"/>
            <w:bottom w:val="none" w:sz="0" w:space="0" w:color="auto"/>
            <w:right w:val="none" w:sz="0" w:space="0" w:color="auto"/>
          </w:divBdr>
        </w:div>
        <w:div w:id="1366448447">
          <w:marLeft w:val="0"/>
          <w:marRight w:val="0"/>
          <w:marTop w:val="0"/>
          <w:marBottom w:val="0"/>
          <w:divBdr>
            <w:top w:val="none" w:sz="0" w:space="0" w:color="auto"/>
            <w:left w:val="none" w:sz="0" w:space="0" w:color="auto"/>
            <w:bottom w:val="none" w:sz="0" w:space="0" w:color="auto"/>
            <w:right w:val="none" w:sz="0" w:space="0" w:color="auto"/>
          </w:divBdr>
        </w:div>
        <w:div w:id="1403748315">
          <w:marLeft w:val="0"/>
          <w:marRight w:val="0"/>
          <w:marTop w:val="0"/>
          <w:marBottom w:val="0"/>
          <w:divBdr>
            <w:top w:val="none" w:sz="0" w:space="0" w:color="auto"/>
            <w:left w:val="none" w:sz="0" w:space="0" w:color="auto"/>
            <w:bottom w:val="none" w:sz="0" w:space="0" w:color="auto"/>
            <w:right w:val="none" w:sz="0" w:space="0" w:color="auto"/>
          </w:divBdr>
        </w:div>
        <w:div w:id="1625579693">
          <w:marLeft w:val="0"/>
          <w:marRight w:val="0"/>
          <w:marTop w:val="0"/>
          <w:marBottom w:val="0"/>
          <w:divBdr>
            <w:top w:val="none" w:sz="0" w:space="0" w:color="auto"/>
            <w:left w:val="none" w:sz="0" w:space="0" w:color="auto"/>
            <w:bottom w:val="none" w:sz="0" w:space="0" w:color="auto"/>
            <w:right w:val="none" w:sz="0" w:space="0" w:color="auto"/>
          </w:divBdr>
        </w:div>
        <w:div w:id="1706520031">
          <w:marLeft w:val="0"/>
          <w:marRight w:val="0"/>
          <w:marTop w:val="0"/>
          <w:marBottom w:val="0"/>
          <w:divBdr>
            <w:top w:val="none" w:sz="0" w:space="0" w:color="auto"/>
            <w:left w:val="none" w:sz="0" w:space="0" w:color="auto"/>
            <w:bottom w:val="none" w:sz="0" w:space="0" w:color="auto"/>
            <w:right w:val="none" w:sz="0" w:space="0" w:color="auto"/>
          </w:divBdr>
        </w:div>
        <w:div w:id="1714039192">
          <w:marLeft w:val="0"/>
          <w:marRight w:val="0"/>
          <w:marTop w:val="0"/>
          <w:marBottom w:val="0"/>
          <w:divBdr>
            <w:top w:val="none" w:sz="0" w:space="0" w:color="auto"/>
            <w:left w:val="none" w:sz="0" w:space="0" w:color="auto"/>
            <w:bottom w:val="none" w:sz="0" w:space="0" w:color="auto"/>
            <w:right w:val="none" w:sz="0" w:space="0" w:color="auto"/>
          </w:divBdr>
        </w:div>
        <w:div w:id="1721317556">
          <w:marLeft w:val="0"/>
          <w:marRight w:val="0"/>
          <w:marTop w:val="0"/>
          <w:marBottom w:val="0"/>
          <w:divBdr>
            <w:top w:val="none" w:sz="0" w:space="0" w:color="auto"/>
            <w:left w:val="none" w:sz="0" w:space="0" w:color="auto"/>
            <w:bottom w:val="none" w:sz="0" w:space="0" w:color="auto"/>
            <w:right w:val="none" w:sz="0" w:space="0" w:color="auto"/>
          </w:divBdr>
        </w:div>
        <w:div w:id="1758399201">
          <w:marLeft w:val="0"/>
          <w:marRight w:val="0"/>
          <w:marTop w:val="0"/>
          <w:marBottom w:val="0"/>
          <w:divBdr>
            <w:top w:val="none" w:sz="0" w:space="0" w:color="auto"/>
            <w:left w:val="none" w:sz="0" w:space="0" w:color="auto"/>
            <w:bottom w:val="none" w:sz="0" w:space="0" w:color="auto"/>
            <w:right w:val="none" w:sz="0" w:space="0" w:color="auto"/>
          </w:divBdr>
        </w:div>
        <w:div w:id="1789348327">
          <w:marLeft w:val="0"/>
          <w:marRight w:val="0"/>
          <w:marTop w:val="0"/>
          <w:marBottom w:val="0"/>
          <w:divBdr>
            <w:top w:val="none" w:sz="0" w:space="0" w:color="auto"/>
            <w:left w:val="none" w:sz="0" w:space="0" w:color="auto"/>
            <w:bottom w:val="none" w:sz="0" w:space="0" w:color="auto"/>
            <w:right w:val="none" w:sz="0" w:space="0" w:color="auto"/>
          </w:divBdr>
        </w:div>
        <w:div w:id="1907032225">
          <w:marLeft w:val="0"/>
          <w:marRight w:val="0"/>
          <w:marTop w:val="0"/>
          <w:marBottom w:val="0"/>
          <w:divBdr>
            <w:top w:val="none" w:sz="0" w:space="0" w:color="auto"/>
            <w:left w:val="none" w:sz="0" w:space="0" w:color="auto"/>
            <w:bottom w:val="none" w:sz="0" w:space="0" w:color="auto"/>
            <w:right w:val="none" w:sz="0" w:space="0" w:color="auto"/>
          </w:divBdr>
        </w:div>
        <w:div w:id="1944259985">
          <w:marLeft w:val="0"/>
          <w:marRight w:val="0"/>
          <w:marTop w:val="0"/>
          <w:marBottom w:val="0"/>
          <w:divBdr>
            <w:top w:val="none" w:sz="0" w:space="0" w:color="auto"/>
            <w:left w:val="none" w:sz="0" w:space="0" w:color="auto"/>
            <w:bottom w:val="none" w:sz="0" w:space="0" w:color="auto"/>
            <w:right w:val="none" w:sz="0" w:space="0" w:color="auto"/>
          </w:divBdr>
        </w:div>
        <w:div w:id="2003119031">
          <w:marLeft w:val="0"/>
          <w:marRight w:val="0"/>
          <w:marTop w:val="0"/>
          <w:marBottom w:val="0"/>
          <w:divBdr>
            <w:top w:val="none" w:sz="0" w:space="0" w:color="auto"/>
            <w:left w:val="none" w:sz="0" w:space="0" w:color="auto"/>
            <w:bottom w:val="none" w:sz="0" w:space="0" w:color="auto"/>
            <w:right w:val="none" w:sz="0" w:space="0" w:color="auto"/>
          </w:divBdr>
        </w:div>
        <w:div w:id="2007779327">
          <w:marLeft w:val="0"/>
          <w:marRight w:val="0"/>
          <w:marTop w:val="0"/>
          <w:marBottom w:val="0"/>
          <w:divBdr>
            <w:top w:val="none" w:sz="0" w:space="0" w:color="auto"/>
            <w:left w:val="none" w:sz="0" w:space="0" w:color="auto"/>
            <w:bottom w:val="none" w:sz="0" w:space="0" w:color="auto"/>
            <w:right w:val="none" w:sz="0" w:space="0" w:color="auto"/>
          </w:divBdr>
        </w:div>
        <w:div w:id="2117403718">
          <w:marLeft w:val="0"/>
          <w:marRight w:val="0"/>
          <w:marTop w:val="0"/>
          <w:marBottom w:val="0"/>
          <w:divBdr>
            <w:top w:val="none" w:sz="0" w:space="0" w:color="auto"/>
            <w:left w:val="none" w:sz="0" w:space="0" w:color="auto"/>
            <w:bottom w:val="none" w:sz="0" w:space="0" w:color="auto"/>
            <w:right w:val="none" w:sz="0" w:space="0" w:color="auto"/>
          </w:divBdr>
        </w:div>
      </w:divsChild>
    </w:div>
    <w:div w:id="1976256536">
      <w:bodyDiv w:val="1"/>
      <w:marLeft w:val="0"/>
      <w:marRight w:val="0"/>
      <w:marTop w:val="0"/>
      <w:marBottom w:val="0"/>
      <w:divBdr>
        <w:top w:val="none" w:sz="0" w:space="0" w:color="auto"/>
        <w:left w:val="none" w:sz="0" w:space="0" w:color="auto"/>
        <w:bottom w:val="none" w:sz="0" w:space="0" w:color="auto"/>
        <w:right w:val="none" w:sz="0" w:space="0" w:color="auto"/>
      </w:divBdr>
      <w:divsChild>
        <w:div w:id="113718696">
          <w:marLeft w:val="0"/>
          <w:marRight w:val="0"/>
          <w:marTop w:val="0"/>
          <w:marBottom w:val="0"/>
          <w:divBdr>
            <w:top w:val="none" w:sz="0" w:space="0" w:color="auto"/>
            <w:left w:val="none" w:sz="0" w:space="0" w:color="auto"/>
            <w:bottom w:val="none" w:sz="0" w:space="0" w:color="auto"/>
            <w:right w:val="none" w:sz="0" w:space="0" w:color="auto"/>
          </w:divBdr>
        </w:div>
        <w:div w:id="1064526653">
          <w:marLeft w:val="0"/>
          <w:marRight w:val="0"/>
          <w:marTop w:val="0"/>
          <w:marBottom w:val="0"/>
          <w:divBdr>
            <w:top w:val="none" w:sz="0" w:space="0" w:color="auto"/>
            <w:left w:val="none" w:sz="0" w:space="0" w:color="auto"/>
            <w:bottom w:val="none" w:sz="0" w:space="0" w:color="auto"/>
            <w:right w:val="none" w:sz="0" w:space="0" w:color="auto"/>
          </w:divBdr>
        </w:div>
        <w:div w:id="1340768168">
          <w:marLeft w:val="0"/>
          <w:marRight w:val="0"/>
          <w:marTop w:val="0"/>
          <w:marBottom w:val="0"/>
          <w:divBdr>
            <w:top w:val="none" w:sz="0" w:space="0" w:color="auto"/>
            <w:left w:val="none" w:sz="0" w:space="0" w:color="auto"/>
            <w:bottom w:val="none" w:sz="0" w:space="0" w:color="auto"/>
            <w:right w:val="none" w:sz="0" w:space="0" w:color="auto"/>
          </w:divBdr>
        </w:div>
      </w:divsChild>
    </w:div>
    <w:div w:id="1985504572">
      <w:bodyDiv w:val="1"/>
      <w:marLeft w:val="0"/>
      <w:marRight w:val="0"/>
      <w:marTop w:val="0"/>
      <w:marBottom w:val="0"/>
      <w:divBdr>
        <w:top w:val="none" w:sz="0" w:space="0" w:color="auto"/>
        <w:left w:val="none" w:sz="0" w:space="0" w:color="auto"/>
        <w:bottom w:val="none" w:sz="0" w:space="0" w:color="auto"/>
        <w:right w:val="none" w:sz="0" w:space="0" w:color="auto"/>
      </w:divBdr>
    </w:div>
    <w:div w:id="2001545231">
      <w:bodyDiv w:val="1"/>
      <w:marLeft w:val="0"/>
      <w:marRight w:val="0"/>
      <w:marTop w:val="0"/>
      <w:marBottom w:val="0"/>
      <w:divBdr>
        <w:top w:val="none" w:sz="0" w:space="0" w:color="auto"/>
        <w:left w:val="none" w:sz="0" w:space="0" w:color="auto"/>
        <w:bottom w:val="none" w:sz="0" w:space="0" w:color="auto"/>
        <w:right w:val="none" w:sz="0" w:space="0" w:color="auto"/>
      </w:divBdr>
    </w:div>
    <w:div w:id="2013098678">
      <w:bodyDiv w:val="1"/>
      <w:marLeft w:val="0"/>
      <w:marRight w:val="0"/>
      <w:marTop w:val="0"/>
      <w:marBottom w:val="0"/>
      <w:divBdr>
        <w:top w:val="none" w:sz="0" w:space="0" w:color="auto"/>
        <w:left w:val="none" w:sz="0" w:space="0" w:color="auto"/>
        <w:bottom w:val="none" w:sz="0" w:space="0" w:color="auto"/>
        <w:right w:val="none" w:sz="0" w:space="0" w:color="auto"/>
      </w:divBdr>
      <w:divsChild>
        <w:div w:id="8145244">
          <w:marLeft w:val="0"/>
          <w:marRight w:val="0"/>
          <w:marTop w:val="0"/>
          <w:marBottom w:val="0"/>
          <w:divBdr>
            <w:top w:val="none" w:sz="0" w:space="0" w:color="auto"/>
            <w:left w:val="none" w:sz="0" w:space="0" w:color="auto"/>
            <w:bottom w:val="none" w:sz="0" w:space="0" w:color="auto"/>
            <w:right w:val="none" w:sz="0" w:space="0" w:color="auto"/>
          </w:divBdr>
        </w:div>
        <w:div w:id="27723726">
          <w:marLeft w:val="0"/>
          <w:marRight w:val="0"/>
          <w:marTop w:val="0"/>
          <w:marBottom w:val="0"/>
          <w:divBdr>
            <w:top w:val="none" w:sz="0" w:space="0" w:color="auto"/>
            <w:left w:val="none" w:sz="0" w:space="0" w:color="auto"/>
            <w:bottom w:val="none" w:sz="0" w:space="0" w:color="auto"/>
            <w:right w:val="none" w:sz="0" w:space="0" w:color="auto"/>
          </w:divBdr>
        </w:div>
        <w:div w:id="1645891169">
          <w:marLeft w:val="0"/>
          <w:marRight w:val="0"/>
          <w:marTop w:val="0"/>
          <w:marBottom w:val="0"/>
          <w:divBdr>
            <w:top w:val="none" w:sz="0" w:space="0" w:color="auto"/>
            <w:left w:val="none" w:sz="0" w:space="0" w:color="auto"/>
            <w:bottom w:val="none" w:sz="0" w:space="0" w:color="auto"/>
            <w:right w:val="none" w:sz="0" w:space="0" w:color="auto"/>
          </w:divBdr>
        </w:div>
        <w:div w:id="1877349941">
          <w:marLeft w:val="0"/>
          <w:marRight w:val="0"/>
          <w:marTop w:val="0"/>
          <w:marBottom w:val="0"/>
          <w:divBdr>
            <w:top w:val="none" w:sz="0" w:space="0" w:color="auto"/>
            <w:left w:val="none" w:sz="0" w:space="0" w:color="auto"/>
            <w:bottom w:val="none" w:sz="0" w:space="0" w:color="auto"/>
            <w:right w:val="none" w:sz="0" w:space="0" w:color="auto"/>
          </w:divBdr>
        </w:div>
      </w:divsChild>
    </w:div>
    <w:div w:id="2016107507">
      <w:bodyDiv w:val="1"/>
      <w:marLeft w:val="0"/>
      <w:marRight w:val="0"/>
      <w:marTop w:val="0"/>
      <w:marBottom w:val="0"/>
      <w:divBdr>
        <w:top w:val="none" w:sz="0" w:space="0" w:color="auto"/>
        <w:left w:val="none" w:sz="0" w:space="0" w:color="auto"/>
        <w:bottom w:val="none" w:sz="0" w:space="0" w:color="auto"/>
        <w:right w:val="none" w:sz="0" w:space="0" w:color="auto"/>
      </w:divBdr>
      <w:divsChild>
        <w:div w:id="2143496054">
          <w:marLeft w:val="0"/>
          <w:marRight w:val="0"/>
          <w:marTop w:val="0"/>
          <w:marBottom w:val="0"/>
          <w:divBdr>
            <w:top w:val="none" w:sz="0" w:space="0" w:color="auto"/>
            <w:left w:val="none" w:sz="0" w:space="0" w:color="auto"/>
            <w:bottom w:val="none" w:sz="0" w:space="0" w:color="auto"/>
            <w:right w:val="none" w:sz="0" w:space="0" w:color="auto"/>
          </w:divBdr>
          <w:divsChild>
            <w:div w:id="13499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79185">
      <w:bodyDiv w:val="1"/>
      <w:marLeft w:val="0"/>
      <w:marRight w:val="0"/>
      <w:marTop w:val="0"/>
      <w:marBottom w:val="0"/>
      <w:divBdr>
        <w:top w:val="none" w:sz="0" w:space="0" w:color="auto"/>
        <w:left w:val="none" w:sz="0" w:space="0" w:color="auto"/>
        <w:bottom w:val="none" w:sz="0" w:space="0" w:color="auto"/>
        <w:right w:val="none" w:sz="0" w:space="0" w:color="auto"/>
      </w:divBdr>
      <w:divsChild>
        <w:div w:id="532353454">
          <w:marLeft w:val="0"/>
          <w:marRight w:val="0"/>
          <w:marTop w:val="0"/>
          <w:marBottom w:val="0"/>
          <w:divBdr>
            <w:top w:val="none" w:sz="0" w:space="0" w:color="auto"/>
            <w:left w:val="none" w:sz="0" w:space="0" w:color="auto"/>
            <w:bottom w:val="none" w:sz="0" w:space="0" w:color="auto"/>
            <w:right w:val="none" w:sz="0" w:space="0" w:color="auto"/>
          </w:divBdr>
        </w:div>
        <w:div w:id="988705856">
          <w:marLeft w:val="0"/>
          <w:marRight w:val="0"/>
          <w:marTop w:val="0"/>
          <w:marBottom w:val="0"/>
          <w:divBdr>
            <w:top w:val="none" w:sz="0" w:space="0" w:color="auto"/>
            <w:left w:val="none" w:sz="0" w:space="0" w:color="auto"/>
            <w:bottom w:val="none" w:sz="0" w:space="0" w:color="auto"/>
            <w:right w:val="none" w:sz="0" w:space="0" w:color="auto"/>
          </w:divBdr>
        </w:div>
        <w:div w:id="1171674267">
          <w:marLeft w:val="0"/>
          <w:marRight w:val="0"/>
          <w:marTop w:val="0"/>
          <w:marBottom w:val="0"/>
          <w:divBdr>
            <w:top w:val="none" w:sz="0" w:space="0" w:color="auto"/>
            <w:left w:val="none" w:sz="0" w:space="0" w:color="auto"/>
            <w:bottom w:val="none" w:sz="0" w:space="0" w:color="auto"/>
            <w:right w:val="none" w:sz="0" w:space="0" w:color="auto"/>
          </w:divBdr>
        </w:div>
        <w:div w:id="1585531890">
          <w:marLeft w:val="0"/>
          <w:marRight w:val="0"/>
          <w:marTop w:val="0"/>
          <w:marBottom w:val="0"/>
          <w:divBdr>
            <w:top w:val="none" w:sz="0" w:space="0" w:color="auto"/>
            <w:left w:val="none" w:sz="0" w:space="0" w:color="auto"/>
            <w:bottom w:val="none" w:sz="0" w:space="0" w:color="auto"/>
            <w:right w:val="none" w:sz="0" w:space="0" w:color="auto"/>
          </w:divBdr>
        </w:div>
      </w:divsChild>
    </w:div>
    <w:div w:id="2018388212">
      <w:bodyDiv w:val="1"/>
      <w:marLeft w:val="0"/>
      <w:marRight w:val="0"/>
      <w:marTop w:val="0"/>
      <w:marBottom w:val="0"/>
      <w:divBdr>
        <w:top w:val="none" w:sz="0" w:space="0" w:color="auto"/>
        <w:left w:val="none" w:sz="0" w:space="0" w:color="auto"/>
        <w:bottom w:val="none" w:sz="0" w:space="0" w:color="auto"/>
        <w:right w:val="none" w:sz="0" w:space="0" w:color="auto"/>
      </w:divBdr>
      <w:divsChild>
        <w:div w:id="233511095">
          <w:marLeft w:val="0"/>
          <w:marRight w:val="0"/>
          <w:marTop w:val="0"/>
          <w:marBottom w:val="0"/>
          <w:divBdr>
            <w:top w:val="none" w:sz="0" w:space="0" w:color="auto"/>
            <w:left w:val="none" w:sz="0" w:space="0" w:color="auto"/>
            <w:bottom w:val="none" w:sz="0" w:space="0" w:color="auto"/>
            <w:right w:val="none" w:sz="0" w:space="0" w:color="auto"/>
          </w:divBdr>
        </w:div>
        <w:div w:id="368340184">
          <w:marLeft w:val="0"/>
          <w:marRight w:val="0"/>
          <w:marTop w:val="0"/>
          <w:marBottom w:val="0"/>
          <w:divBdr>
            <w:top w:val="none" w:sz="0" w:space="0" w:color="auto"/>
            <w:left w:val="none" w:sz="0" w:space="0" w:color="auto"/>
            <w:bottom w:val="none" w:sz="0" w:space="0" w:color="auto"/>
            <w:right w:val="none" w:sz="0" w:space="0" w:color="auto"/>
          </w:divBdr>
        </w:div>
        <w:div w:id="684866277">
          <w:marLeft w:val="0"/>
          <w:marRight w:val="0"/>
          <w:marTop w:val="0"/>
          <w:marBottom w:val="0"/>
          <w:divBdr>
            <w:top w:val="none" w:sz="0" w:space="0" w:color="auto"/>
            <w:left w:val="none" w:sz="0" w:space="0" w:color="auto"/>
            <w:bottom w:val="none" w:sz="0" w:space="0" w:color="auto"/>
            <w:right w:val="none" w:sz="0" w:space="0" w:color="auto"/>
          </w:divBdr>
        </w:div>
        <w:div w:id="972101791">
          <w:marLeft w:val="0"/>
          <w:marRight w:val="0"/>
          <w:marTop w:val="0"/>
          <w:marBottom w:val="0"/>
          <w:divBdr>
            <w:top w:val="none" w:sz="0" w:space="0" w:color="auto"/>
            <w:left w:val="none" w:sz="0" w:space="0" w:color="auto"/>
            <w:bottom w:val="none" w:sz="0" w:space="0" w:color="auto"/>
            <w:right w:val="none" w:sz="0" w:space="0" w:color="auto"/>
          </w:divBdr>
        </w:div>
        <w:div w:id="1126200010">
          <w:marLeft w:val="0"/>
          <w:marRight w:val="0"/>
          <w:marTop w:val="0"/>
          <w:marBottom w:val="0"/>
          <w:divBdr>
            <w:top w:val="none" w:sz="0" w:space="0" w:color="auto"/>
            <w:left w:val="none" w:sz="0" w:space="0" w:color="auto"/>
            <w:bottom w:val="none" w:sz="0" w:space="0" w:color="auto"/>
            <w:right w:val="none" w:sz="0" w:space="0" w:color="auto"/>
          </w:divBdr>
        </w:div>
        <w:div w:id="1338771475">
          <w:marLeft w:val="0"/>
          <w:marRight w:val="0"/>
          <w:marTop w:val="0"/>
          <w:marBottom w:val="0"/>
          <w:divBdr>
            <w:top w:val="none" w:sz="0" w:space="0" w:color="auto"/>
            <w:left w:val="none" w:sz="0" w:space="0" w:color="auto"/>
            <w:bottom w:val="none" w:sz="0" w:space="0" w:color="auto"/>
            <w:right w:val="none" w:sz="0" w:space="0" w:color="auto"/>
          </w:divBdr>
        </w:div>
        <w:div w:id="1419790914">
          <w:marLeft w:val="0"/>
          <w:marRight w:val="0"/>
          <w:marTop w:val="0"/>
          <w:marBottom w:val="0"/>
          <w:divBdr>
            <w:top w:val="none" w:sz="0" w:space="0" w:color="auto"/>
            <w:left w:val="none" w:sz="0" w:space="0" w:color="auto"/>
            <w:bottom w:val="none" w:sz="0" w:space="0" w:color="auto"/>
            <w:right w:val="none" w:sz="0" w:space="0" w:color="auto"/>
          </w:divBdr>
        </w:div>
        <w:div w:id="1438062083">
          <w:marLeft w:val="0"/>
          <w:marRight w:val="0"/>
          <w:marTop w:val="0"/>
          <w:marBottom w:val="0"/>
          <w:divBdr>
            <w:top w:val="none" w:sz="0" w:space="0" w:color="auto"/>
            <w:left w:val="none" w:sz="0" w:space="0" w:color="auto"/>
            <w:bottom w:val="none" w:sz="0" w:space="0" w:color="auto"/>
            <w:right w:val="none" w:sz="0" w:space="0" w:color="auto"/>
          </w:divBdr>
        </w:div>
        <w:div w:id="1517422498">
          <w:marLeft w:val="0"/>
          <w:marRight w:val="0"/>
          <w:marTop w:val="0"/>
          <w:marBottom w:val="0"/>
          <w:divBdr>
            <w:top w:val="none" w:sz="0" w:space="0" w:color="auto"/>
            <w:left w:val="none" w:sz="0" w:space="0" w:color="auto"/>
            <w:bottom w:val="none" w:sz="0" w:space="0" w:color="auto"/>
            <w:right w:val="none" w:sz="0" w:space="0" w:color="auto"/>
          </w:divBdr>
        </w:div>
        <w:div w:id="1666670368">
          <w:marLeft w:val="0"/>
          <w:marRight w:val="0"/>
          <w:marTop w:val="0"/>
          <w:marBottom w:val="0"/>
          <w:divBdr>
            <w:top w:val="none" w:sz="0" w:space="0" w:color="auto"/>
            <w:left w:val="none" w:sz="0" w:space="0" w:color="auto"/>
            <w:bottom w:val="none" w:sz="0" w:space="0" w:color="auto"/>
            <w:right w:val="none" w:sz="0" w:space="0" w:color="auto"/>
          </w:divBdr>
        </w:div>
        <w:div w:id="1705446309">
          <w:marLeft w:val="0"/>
          <w:marRight w:val="0"/>
          <w:marTop w:val="0"/>
          <w:marBottom w:val="0"/>
          <w:divBdr>
            <w:top w:val="none" w:sz="0" w:space="0" w:color="auto"/>
            <w:left w:val="none" w:sz="0" w:space="0" w:color="auto"/>
            <w:bottom w:val="none" w:sz="0" w:space="0" w:color="auto"/>
            <w:right w:val="none" w:sz="0" w:space="0" w:color="auto"/>
          </w:divBdr>
        </w:div>
        <w:div w:id="1799374368">
          <w:marLeft w:val="0"/>
          <w:marRight w:val="0"/>
          <w:marTop w:val="0"/>
          <w:marBottom w:val="0"/>
          <w:divBdr>
            <w:top w:val="none" w:sz="0" w:space="0" w:color="auto"/>
            <w:left w:val="none" w:sz="0" w:space="0" w:color="auto"/>
            <w:bottom w:val="none" w:sz="0" w:space="0" w:color="auto"/>
            <w:right w:val="none" w:sz="0" w:space="0" w:color="auto"/>
          </w:divBdr>
        </w:div>
        <w:div w:id="1817718451">
          <w:marLeft w:val="0"/>
          <w:marRight w:val="0"/>
          <w:marTop w:val="0"/>
          <w:marBottom w:val="0"/>
          <w:divBdr>
            <w:top w:val="none" w:sz="0" w:space="0" w:color="auto"/>
            <w:left w:val="none" w:sz="0" w:space="0" w:color="auto"/>
            <w:bottom w:val="none" w:sz="0" w:space="0" w:color="auto"/>
            <w:right w:val="none" w:sz="0" w:space="0" w:color="auto"/>
          </w:divBdr>
        </w:div>
        <w:div w:id="1977418741">
          <w:marLeft w:val="0"/>
          <w:marRight w:val="0"/>
          <w:marTop w:val="0"/>
          <w:marBottom w:val="0"/>
          <w:divBdr>
            <w:top w:val="none" w:sz="0" w:space="0" w:color="auto"/>
            <w:left w:val="none" w:sz="0" w:space="0" w:color="auto"/>
            <w:bottom w:val="none" w:sz="0" w:space="0" w:color="auto"/>
            <w:right w:val="none" w:sz="0" w:space="0" w:color="auto"/>
          </w:divBdr>
        </w:div>
        <w:div w:id="2077511832">
          <w:marLeft w:val="0"/>
          <w:marRight w:val="0"/>
          <w:marTop w:val="0"/>
          <w:marBottom w:val="0"/>
          <w:divBdr>
            <w:top w:val="none" w:sz="0" w:space="0" w:color="auto"/>
            <w:left w:val="none" w:sz="0" w:space="0" w:color="auto"/>
            <w:bottom w:val="none" w:sz="0" w:space="0" w:color="auto"/>
            <w:right w:val="none" w:sz="0" w:space="0" w:color="auto"/>
          </w:divBdr>
        </w:div>
      </w:divsChild>
    </w:div>
    <w:div w:id="2032023196">
      <w:bodyDiv w:val="1"/>
      <w:marLeft w:val="0"/>
      <w:marRight w:val="0"/>
      <w:marTop w:val="0"/>
      <w:marBottom w:val="0"/>
      <w:divBdr>
        <w:top w:val="none" w:sz="0" w:space="0" w:color="auto"/>
        <w:left w:val="none" w:sz="0" w:space="0" w:color="auto"/>
        <w:bottom w:val="none" w:sz="0" w:space="0" w:color="auto"/>
        <w:right w:val="none" w:sz="0" w:space="0" w:color="auto"/>
      </w:divBdr>
      <w:divsChild>
        <w:div w:id="212737549">
          <w:marLeft w:val="0"/>
          <w:marRight w:val="0"/>
          <w:marTop w:val="0"/>
          <w:marBottom w:val="0"/>
          <w:divBdr>
            <w:top w:val="none" w:sz="0" w:space="0" w:color="auto"/>
            <w:left w:val="none" w:sz="0" w:space="0" w:color="auto"/>
            <w:bottom w:val="none" w:sz="0" w:space="0" w:color="auto"/>
            <w:right w:val="none" w:sz="0" w:space="0" w:color="auto"/>
          </w:divBdr>
        </w:div>
        <w:div w:id="237331565">
          <w:marLeft w:val="0"/>
          <w:marRight w:val="0"/>
          <w:marTop w:val="0"/>
          <w:marBottom w:val="0"/>
          <w:divBdr>
            <w:top w:val="none" w:sz="0" w:space="0" w:color="auto"/>
            <w:left w:val="none" w:sz="0" w:space="0" w:color="auto"/>
            <w:bottom w:val="none" w:sz="0" w:space="0" w:color="auto"/>
            <w:right w:val="none" w:sz="0" w:space="0" w:color="auto"/>
          </w:divBdr>
        </w:div>
        <w:div w:id="348721448">
          <w:marLeft w:val="0"/>
          <w:marRight w:val="0"/>
          <w:marTop w:val="0"/>
          <w:marBottom w:val="0"/>
          <w:divBdr>
            <w:top w:val="none" w:sz="0" w:space="0" w:color="auto"/>
            <w:left w:val="none" w:sz="0" w:space="0" w:color="auto"/>
            <w:bottom w:val="none" w:sz="0" w:space="0" w:color="auto"/>
            <w:right w:val="none" w:sz="0" w:space="0" w:color="auto"/>
          </w:divBdr>
        </w:div>
        <w:div w:id="396517022">
          <w:marLeft w:val="0"/>
          <w:marRight w:val="0"/>
          <w:marTop w:val="0"/>
          <w:marBottom w:val="0"/>
          <w:divBdr>
            <w:top w:val="none" w:sz="0" w:space="0" w:color="auto"/>
            <w:left w:val="none" w:sz="0" w:space="0" w:color="auto"/>
            <w:bottom w:val="none" w:sz="0" w:space="0" w:color="auto"/>
            <w:right w:val="none" w:sz="0" w:space="0" w:color="auto"/>
          </w:divBdr>
        </w:div>
        <w:div w:id="399325467">
          <w:marLeft w:val="0"/>
          <w:marRight w:val="0"/>
          <w:marTop w:val="0"/>
          <w:marBottom w:val="0"/>
          <w:divBdr>
            <w:top w:val="none" w:sz="0" w:space="0" w:color="auto"/>
            <w:left w:val="none" w:sz="0" w:space="0" w:color="auto"/>
            <w:bottom w:val="none" w:sz="0" w:space="0" w:color="auto"/>
            <w:right w:val="none" w:sz="0" w:space="0" w:color="auto"/>
          </w:divBdr>
        </w:div>
        <w:div w:id="498467756">
          <w:marLeft w:val="0"/>
          <w:marRight w:val="0"/>
          <w:marTop w:val="0"/>
          <w:marBottom w:val="0"/>
          <w:divBdr>
            <w:top w:val="none" w:sz="0" w:space="0" w:color="auto"/>
            <w:left w:val="none" w:sz="0" w:space="0" w:color="auto"/>
            <w:bottom w:val="none" w:sz="0" w:space="0" w:color="auto"/>
            <w:right w:val="none" w:sz="0" w:space="0" w:color="auto"/>
          </w:divBdr>
        </w:div>
        <w:div w:id="511647705">
          <w:marLeft w:val="0"/>
          <w:marRight w:val="0"/>
          <w:marTop w:val="0"/>
          <w:marBottom w:val="0"/>
          <w:divBdr>
            <w:top w:val="none" w:sz="0" w:space="0" w:color="auto"/>
            <w:left w:val="none" w:sz="0" w:space="0" w:color="auto"/>
            <w:bottom w:val="none" w:sz="0" w:space="0" w:color="auto"/>
            <w:right w:val="none" w:sz="0" w:space="0" w:color="auto"/>
          </w:divBdr>
        </w:div>
        <w:div w:id="550384041">
          <w:marLeft w:val="0"/>
          <w:marRight w:val="0"/>
          <w:marTop w:val="0"/>
          <w:marBottom w:val="0"/>
          <w:divBdr>
            <w:top w:val="none" w:sz="0" w:space="0" w:color="auto"/>
            <w:left w:val="none" w:sz="0" w:space="0" w:color="auto"/>
            <w:bottom w:val="none" w:sz="0" w:space="0" w:color="auto"/>
            <w:right w:val="none" w:sz="0" w:space="0" w:color="auto"/>
          </w:divBdr>
        </w:div>
        <w:div w:id="569853110">
          <w:marLeft w:val="0"/>
          <w:marRight w:val="0"/>
          <w:marTop w:val="0"/>
          <w:marBottom w:val="0"/>
          <w:divBdr>
            <w:top w:val="none" w:sz="0" w:space="0" w:color="auto"/>
            <w:left w:val="none" w:sz="0" w:space="0" w:color="auto"/>
            <w:bottom w:val="none" w:sz="0" w:space="0" w:color="auto"/>
            <w:right w:val="none" w:sz="0" w:space="0" w:color="auto"/>
          </w:divBdr>
        </w:div>
        <w:div w:id="609557445">
          <w:marLeft w:val="0"/>
          <w:marRight w:val="0"/>
          <w:marTop w:val="0"/>
          <w:marBottom w:val="0"/>
          <w:divBdr>
            <w:top w:val="none" w:sz="0" w:space="0" w:color="auto"/>
            <w:left w:val="none" w:sz="0" w:space="0" w:color="auto"/>
            <w:bottom w:val="none" w:sz="0" w:space="0" w:color="auto"/>
            <w:right w:val="none" w:sz="0" w:space="0" w:color="auto"/>
          </w:divBdr>
        </w:div>
        <w:div w:id="634022449">
          <w:marLeft w:val="0"/>
          <w:marRight w:val="0"/>
          <w:marTop w:val="0"/>
          <w:marBottom w:val="0"/>
          <w:divBdr>
            <w:top w:val="none" w:sz="0" w:space="0" w:color="auto"/>
            <w:left w:val="none" w:sz="0" w:space="0" w:color="auto"/>
            <w:bottom w:val="none" w:sz="0" w:space="0" w:color="auto"/>
            <w:right w:val="none" w:sz="0" w:space="0" w:color="auto"/>
          </w:divBdr>
        </w:div>
        <w:div w:id="650258379">
          <w:marLeft w:val="0"/>
          <w:marRight w:val="0"/>
          <w:marTop w:val="0"/>
          <w:marBottom w:val="0"/>
          <w:divBdr>
            <w:top w:val="none" w:sz="0" w:space="0" w:color="auto"/>
            <w:left w:val="none" w:sz="0" w:space="0" w:color="auto"/>
            <w:bottom w:val="none" w:sz="0" w:space="0" w:color="auto"/>
            <w:right w:val="none" w:sz="0" w:space="0" w:color="auto"/>
          </w:divBdr>
        </w:div>
        <w:div w:id="724065798">
          <w:marLeft w:val="0"/>
          <w:marRight w:val="0"/>
          <w:marTop w:val="0"/>
          <w:marBottom w:val="0"/>
          <w:divBdr>
            <w:top w:val="none" w:sz="0" w:space="0" w:color="auto"/>
            <w:left w:val="none" w:sz="0" w:space="0" w:color="auto"/>
            <w:bottom w:val="none" w:sz="0" w:space="0" w:color="auto"/>
            <w:right w:val="none" w:sz="0" w:space="0" w:color="auto"/>
          </w:divBdr>
        </w:div>
        <w:div w:id="783695462">
          <w:marLeft w:val="0"/>
          <w:marRight w:val="0"/>
          <w:marTop w:val="0"/>
          <w:marBottom w:val="0"/>
          <w:divBdr>
            <w:top w:val="none" w:sz="0" w:space="0" w:color="auto"/>
            <w:left w:val="none" w:sz="0" w:space="0" w:color="auto"/>
            <w:bottom w:val="none" w:sz="0" w:space="0" w:color="auto"/>
            <w:right w:val="none" w:sz="0" w:space="0" w:color="auto"/>
          </w:divBdr>
        </w:div>
        <w:div w:id="894972315">
          <w:marLeft w:val="0"/>
          <w:marRight w:val="0"/>
          <w:marTop w:val="0"/>
          <w:marBottom w:val="0"/>
          <w:divBdr>
            <w:top w:val="none" w:sz="0" w:space="0" w:color="auto"/>
            <w:left w:val="none" w:sz="0" w:space="0" w:color="auto"/>
            <w:bottom w:val="none" w:sz="0" w:space="0" w:color="auto"/>
            <w:right w:val="none" w:sz="0" w:space="0" w:color="auto"/>
          </w:divBdr>
        </w:div>
        <w:div w:id="962879308">
          <w:marLeft w:val="0"/>
          <w:marRight w:val="0"/>
          <w:marTop w:val="0"/>
          <w:marBottom w:val="0"/>
          <w:divBdr>
            <w:top w:val="none" w:sz="0" w:space="0" w:color="auto"/>
            <w:left w:val="none" w:sz="0" w:space="0" w:color="auto"/>
            <w:bottom w:val="none" w:sz="0" w:space="0" w:color="auto"/>
            <w:right w:val="none" w:sz="0" w:space="0" w:color="auto"/>
          </w:divBdr>
        </w:div>
        <w:div w:id="992178770">
          <w:marLeft w:val="0"/>
          <w:marRight w:val="0"/>
          <w:marTop w:val="0"/>
          <w:marBottom w:val="0"/>
          <w:divBdr>
            <w:top w:val="none" w:sz="0" w:space="0" w:color="auto"/>
            <w:left w:val="none" w:sz="0" w:space="0" w:color="auto"/>
            <w:bottom w:val="none" w:sz="0" w:space="0" w:color="auto"/>
            <w:right w:val="none" w:sz="0" w:space="0" w:color="auto"/>
          </w:divBdr>
        </w:div>
        <w:div w:id="1205826137">
          <w:marLeft w:val="0"/>
          <w:marRight w:val="0"/>
          <w:marTop w:val="0"/>
          <w:marBottom w:val="0"/>
          <w:divBdr>
            <w:top w:val="none" w:sz="0" w:space="0" w:color="auto"/>
            <w:left w:val="none" w:sz="0" w:space="0" w:color="auto"/>
            <w:bottom w:val="none" w:sz="0" w:space="0" w:color="auto"/>
            <w:right w:val="none" w:sz="0" w:space="0" w:color="auto"/>
          </w:divBdr>
        </w:div>
        <w:div w:id="1436051121">
          <w:marLeft w:val="0"/>
          <w:marRight w:val="0"/>
          <w:marTop w:val="0"/>
          <w:marBottom w:val="0"/>
          <w:divBdr>
            <w:top w:val="none" w:sz="0" w:space="0" w:color="auto"/>
            <w:left w:val="none" w:sz="0" w:space="0" w:color="auto"/>
            <w:bottom w:val="none" w:sz="0" w:space="0" w:color="auto"/>
            <w:right w:val="none" w:sz="0" w:space="0" w:color="auto"/>
          </w:divBdr>
        </w:div>
        <w:div w:id="1478918136">
          <w:marLeft w:val="0"/>
          <w:marRight w:val="0"/>
          <w:marTop w:val="0"/>
          <w:marBottom w:val="0"/>
          <w:divBdr>
            <w:top w:val="none" w:sz="0" w:space="0" w:color="auto"/>
            <w:left w:val="none" w:sz="0" w:space="0" w:color="auto"/>
            <w:bottom w:val="none" w:sz="0" w:space="0" w:color="auto"/>
            <w:right w:val="none" w:sz="0" w:space="0" w:color="auto"/>
          </w:divBdr>
        </w:div>
        <w:div w:id="1526289892">
          <w:marLeft w:val="0"/>
          <w:marRight w:val="0"/>
          <w:marTop w:val="0"/>
          <w:marBottom w:val="0"/>
          <w:divBdr>
            <w:top w:val="none" w:sz="0" w:space="0" w:color="auto"/>
            <w:left w:val="none" w:sz="0" w:space="0" w:color="auto"/>
            <w:bottom w:val="none" w:sz="0" w:space="0" w:color="auto"/>
            <w:right w:val="none" w:sz="0" w:space="0" w:color="auto"/>
          </w:divBdr>
        </w:div>
        <w:div w:id="1549679871">
          <w:marLeft w:val="0"/>
          <w:marRight w:val="0"/>
          <w:marTop w:val="0"/>
          <w:marBottom w:val="0"/>
          <w:divBdr>
            <w:top w:val="none" w:sz="0" w:space="0" w:color="auto"/>
            <w:left w:val="none" w:sz="0" w:space="0" w:color="auto"/>
            <w:bottom w:val="none" w:sz="0" w:space="0" w:color="auto"/>
            <w:right w:val="none" w:sz="0" w:space="0" w:color="auto"/>
          </w:divBdr>
        </w:div>
        <w:div w:id="1561554942">
          <w:marLeft w:val="0"/>
          <w:marRight w:val="0"/>
          <w:marTop w:val="0"/>
          <w:marBottom w:val="0"/>
          <w:divBdr>
            <w:top w:val="none" w:sz="0" w:space="0" w:color="auto"/>
            <w:left w:val="none" w:sz="0" w:space="0" w:color="auto"/>
            <w:bottom w:val="none" w:sz="0" w:space="0" w:color="auto"/>
            <w:right w:val="none" w:sz="0" w:space="0" w:color="auto"/>
          </w:divBdr>
        </w:div>
        <w:div w:id="1578974679">
          <w:marLeft w:val="0"/>
          <w:marRight w:val="0"/>
          <w:marTop w:val="0"/>
          <w:marBottom w:val="0"/>
          <w:divBdr>
            <w:top w:val="none" w:sz="0" w:space="0" w:color="auto"/>
            <w:left w:val="none" w:sz="0" w:space="0" w:color="auto"/>
            <w:bottom w:val="none" w:sz="0" w:space="0" w:color="auto"/>
            <w:right w:val="none" w:sz="0" w:space="0" w:color="auto"/>
          </w:divBdr>
        </w:div>
        <w:div w:id="1684622309">
          <w:marLeft w:val="0"/>
          <w:marRight w:val="0"/>
          <w:marTop w:val="0"/>
          <w:marBottom w:val="0"/>
          <w:divBdr>
            <w:top w:val="none" w:sz="0" w:space="0" w:color="auto"/>
            <w:left w:val="none" w:sz="0" w:space="0" w:color="auto"/>
            <w:bottom w:val="none" w:sz="0" w:space="0" w:color="auto"/>
            <w:right w:val="none" w:sz="0" w:space="0" w:color="auto"/>
          </w:divBdr>
        </w:div>
        <w:div w:id="1725523535">
          <w:marLeft w:val="0"/>
          <w:marRight w:val="0"/>
          <w:marTop w:val="0"/>
          <w:marBottom w:val="0"/>
          <w:divBdr>
            <w:top w:val="none" w:sz="0" w:space="0" w:color="auto"/>
            <w:left w:val="none" w:sz="0" w:space="0" w:color="auto"/>
            <w:bottom w:val="none" w:sz="0" w:space="0" w:color="auto"/>
            <w:right w:val="none" w:sz="0" w:space="0" w:color="auto"/>
          </w:divBdr>
        </w:div>
        <w:div w:id="1751459171">
          <w:marLeft w:val="0"/>
          <w:marRight w:val="0"/>
          <w:marTop w:val="0"/>
          <w:marBottom w:val="0"/>
          <w:divBdr>
            <w:top w:val="none" w:sz="0" w:space="0" w:color="auto"/>
            <w:left w:val="none" w:sz="0" w:space="0" w:color="auto"/>
            <w:bottom w:val="none" w:sz="0" w:space="0" w:color="auto"/>
            <w:right w:val="none" w:sz="0" w:space="0" w:color="auto"/>
          </w:divBdr>
        </w:div>
        <w:div w:id="1761681513">
          <w:marLeft w:val="0"/>
          <w:marRight w:val="0"/>
          <w:marTop w:val="0"/>
          <w:marBottom w:val="0"/>
          <w:divBdr>
            <w:top w:val="none" w:sz="0" w:space="0" w:color="auto"/>
            <w:left w:val="none" w:sz="0" w:space="0" w:color="auto"/>
            <w:bottom w:val="none" w:sz="0" w:space="0" w:color="auto"/>
            <w:right w:val="none" w:sz="0" w:space="0" w:color="auto"/>
          </w:divBdr>
        </w:div>
        <w:div w:id="1821537926">
          <w:marLeft w:val="0"/>
          <w:marRight w:val="0"/>
          <w:marTop w:val="0"/>
          <w:marBottom w:val="0"/>
          <w:divBdr>
            <w:top w:val="none" w:sz="0" w:space="0" w:color="auto"/>
            <w:left w:val="none" w:sz="0" w:space="0" w:color="auto"/>
            <w:bottom w:val="none" w:sz="0" w:space="0" w:color="auto"/>
            <w:right w:val="none" w:sz="0" w:space="0" w:color="auto"/>
          </w:divBdr>
        </w:div>
        <w:div w:id="1881431818">
          <w:marLeft w:val="0"/>
          <w:marRight w:val="0"/>
          <w:marTop w:val="0"/>
          <w:marBottom w:val="0"/>
          <w:divBdr>
            <w:top w:val="none" w:sz="0" w:space="0" w:color="auto"/>
            <w:left w:val="none" w:sz="0" w:space="0" w:color="auto"/>
            <w:bottom w:val="none" w:sz="0" w:space="0" w:color="auto"/>
            <w:right w:val="none" w:sz="0" w:space="0" w:color="auto"/>
          </w:divBdr>
        </w:div>
        <w:div w:id="1946880821">
          <w:marLeft w:val="0"/>
          <w:marRight w:val="0"/>
          <w:marTop w:val="0"/>
          <w:marBottom w:val="0"/>
          <w:divBdr>
            <w:top w:val="none" w:sz="0" w:space="0" w:color="auto"/>
            <w:left w:val="none" w:sz="0" w:space="0" w:color="auto"/>
            <w:bottom w:val="none" w:sz="0" w:space="0" w:color="auto"/>
            <w:right w:val="none" w:sz="0" w:space="0" w:color="auto"/>
          </w:divBdr>
        </w:div>
        <w:div w:id="1998149978">
          <w:marLeft w:val="0"/>
          <w:marRight w:val="0"/>
          <w:marTop w:val="0"/>
          <w:marBottom w:val="0"/>
          <w:divBdr>
            <w:top w:val="none" w:sz="0" w:space="0" w:color="auto"/>
            <w:left w:val="none" w:sz="0" w:space="0" w:color="auto"/>
            <w:bottom w:val="none" w:sz="0" w:space="0" w:color="auto"/>
            <w:right w:val="none" w:sz="0" w:space="0" w:color="auto"/>
          </w:divBdr>
        </w:div>
        <w:div w:id="2012172763">
          <w:marLeft w:val="0"/>
          <w:marRight w:val="0"/>
          <w:marTop w:val="0"/>
          <w:marBottom w:val="0"/>
          <w:divBdr>
            <w:top w:val="none" w:sz="0" w:space="0" w:color="auto"/>
            <w:left w:val="none" w:sz="0" w:space="0" w:color="auto"/>
            <w:bottom w:val="none" w:sz="0" w:space="0" w:color="auto"/>
            <w:right w:val="none" w:sz="0" w:space="0" w:color="auto"/>
          </w:divBdr>
        </w:div>
        <w:div w:id="2072539505">
          <w:marLeft w:val="0"/>
          <w:marRight w:val="0"/>
          <w:marTop w:val="0"/>
          <w:marBottom w:val="0"/>
          <w:divBdr>
            <w:top w:val="none" w:sz="0" w:space="0" w:color="auto"/>
            <w:left w:val="none" w:sz="0" w:space="0" w:color="auto"/>
            <w:bottom w:val="none" w:sz="0" w:space="0" w:color="auto"/>
            <w:right w:val="none" w:sz="0" w:space="0" w:color="auto"/>
          </w:divBdr>
        </w:div>
        <w:div w:id="2117864611">
          <w:marLeft w:val="0"/>
          <w:marRight w:val="0"/>
          <w:marTop w:val="0"/>
          <w:marBottom w:val="0"/>
          <w:divBdr>
            <w:top w:val="none" w:sz="0" w:space="0" w:color="auto"/>
            <w:left w:val="none" w:sz="0" w:space="0" w:color="auto"/>
            <w:bottom w:val="none" w:sz="0" w:space="0" w:color="auto"/>
            <w:right w:val="none" w:sz="0" w:space="0" w:color="auto"/>
          </w:divBdr>
        </w:div>
      </w:divsChild>
    </w:div>
    <w:div w:id="2032145744">
      <w:bodyDiv w:val="1"/>
      <w:marLeft w:val="0"/>
      <w:marRight w:val="0"/>
      <w:marTop w:val="0"/>
      <w:marBottom w:val="0"/>
      <w:divBdr>
        <w:top w:val="none" w:sz="0" w:space="0" w:color="auto"/>
        <w:left w:val="none" w:sz="0" w:space="0" w:color="auto"/>
        <w:bottom w:val="none" w:sz="0" w:space="0" w:color="auto"/>
        <w:right w:val="none" w:sz="0" w:space="0" w:color="auto"/>
      </w:divBdr>
      <w:divsChild>
        <w:div w:id="376780301">
          <w:marLeft w:val="0"/>
          <w:marRight w:val="0"/>
          <w:marTop w:val="0"/>
          <w:marBottom w:val="0"/>
          <w:divBdr>
            <w:top w:val="none" w:sz="0" w:space="0" w:color="auto"/>
            <w:left w:val="none" w:sz="0" w:space="0" w:color="auto"/>
            <w:bottom w:val="none" w:sz="0" w:space="0" w:color="auto"/>
            <w:right w:val="none" w:sz="0" w:space="0" w:color="auto"/>
          </w:divBdr>
        </w:div>
        <w:div w:id="703755464">
          <w:marLeft w:val="0"/>
          <w:marRight w:val="0"/>
          <w:marTop w:val="0"/>
          <w:marBottom w:val="0"/>
          <w:divBdr>
            <w:top w:val="none" w:sz="0" w:space="0" w:color="auto"/>
            <w:left w:val="none" w:sz="0" w:space="0" w:color="auto"/>
            <w:bottom w:val="none" w:sz="0" w:space="0" w:color="auto"/>
            <w:right w:val="none" w:sz="0" w:space="0" w:color="auto"/>
          </w:divBdr>
        </w:div>
        <w:div w:id="1051926673">
          <w:marLeft w:val="0"/>
          <w:marRight w:val="0"/>
          <w:marTop w:val="0"/>
          <w:marBottom w:val="0"/>
          <w:divBdr>
            <w:top w:val="none" w:sz="0" w:space="0" w:color="auto"/>
            <w:left w:val="none" w:sz="0" w:space="0" w:color="auto"/>
            <w:bottom w:val="none" w:sz="0" w:space="0" w:color="auto"/>
            <w:right w:val="none" w:sz="0" w:space="0" w:color="auto"/>
          </w:divBdr>
        </w:div>
        <w:div w:id="1332760675">
          <w:marLeft w:val="0"/>
          <w:marRight w:val="0"/>
          <w:marTop w:val="0"/>
          <w:marBottom w:val="0"/>
          <w:divBdr>
            <w:top w:val="none" w:sz="0" w:space="0" w:color="auto"/>
            <w:left w:val="none" w:sz="0" w:space="0" w:color="auto"/>
            <w:bottom w:val="none" w:sz="0" w:space="0" w:color="auto"/>
            <w:right w:val="none" w:sz="0" w:space="0" w:color="auto"/>
          </w:divBdr>
        </w:div>
        <w:div w:id="1752117475">
          <w:marLeft w:val="0"/>
          <w:marRight w:val="0"/>
          <w:marTop w:val="0"/>
          <w:marBottom w:val="0"/>
          <w:divBdr>
            <w:top w:val="none" w:sz="0" w:space="0" w:color="auto"/>
            <w:left w:val="none" w:sz="0" w:space="0" w:color="auto"/>
            <w:bottom w:val="none" w:sz="0" w:space="0" w:color="auto"/>
            <w:right w:val="none" w:sz="0" w:space="0" w:color="auto"/>
          </w:divBdr>
        </w:div>
        <w:div w:id="1865635702">
          <w:marLeft w:val="0"/>
          <w:marRight w:val="0"/>
          <w:marTop w:val="0"/>
          <w:marBottom w:val="0"/>
          <w:divBdr>
            <w:top w:val="none" w:sz="0" w:space="0" w:color="auto"/>
            <w:left w:val="none" w:sz="0" w:space="0" w:color="auto"/>
            <w:bottom w:val="none" w:sz="0" w:space="0" w:color="auto"/>
            <w:right w:val="none" w:sz="0" w:space="0" w:color="auto"/>
          </w:divBdr>
        </w:div>
        <w:div w:id="2068844640">
          <w:marLeft w:val="0"/>
          <w:marRight w:val="0"/>
          <w:marTop w:val="0"/>
          <w:marBottom w:val="0"/>
          <w:divBdr>
            <w:top w:val="none" w:sz="0" w:space="0" w:color="auto"/>
            <w:left w:val="none" w:sz="0" w:space="0" w:color="auto"/>
            <w:bottom w:val="none" w:sz="0" w:space="0" w:color="auto"/>
            <w:right w:val="none" w:sz="0" w:space="0" w:color="auto"/>
          </w:divBdr>
        </w:div>
      </w:divsChild>
    </w:div>
    <w:div w:id="2033607635">
      <w:bodyDiv w:val="1"/>
      <w:marLeft w:val="0"/>
      <w:marRight w:val="0"/>
      <w:marTop w:val="0"/>
      <w:marBottom w:val="0"/>
      <w:divBdr>
        <w:top w:val="none" w:sz="0" w:space="0" w:color="auto"/>
        <w:left w:val="none" w:sz="0" w:space="0" w:color="auto"/>
        <w:bottom w:val="none" w:sz="0" w:space="0" w:color="auto"/>
        <w:right w:val="none" w:sz="0" w:space="0" w:color="auto"/>
      </w:divBdr>
      <w:divsChild>
        <w:div w:id="51732246">
          <w:marLeft w:val="0"/>
          <w:marRight w:val="0"/>
          <w:marTop w:val="0"/>
          <w:marBottom w:val="0"/>
          <w:divBdr>
            <w:top w:val="none" w:sz="0" w:space="0" w:color="auto"/>
            <w:left w:val="none" w:sz="0" w:space="0" w:color="auto"/>
            <w:bottom w:val="none" w:sz="0" w:space="0" w:color="auto"/>
            <w:right w:val="none" w:sz="0" w:space="0" w:color="auto"/>
          </w:divBdr>
        </w:div>
        <w:div w:id="1196163966">
          <w:marLeft w:val="0"/>
          <w:marRight w:val="0"/>
          <w:marTop w:val="0"/>
          <w:marBottom w:val="0"/>
          <w:divBdr>
            <w:top w:val="none" w:sz="0" w:space="0" w:color="auto"/>
            <w:left w:val="none" w:sz="0" w:space="0" w:color="auto"/>
            <w:bottom w:val="none" w:sz="0" w:space="0" w:color="auto"/>
            <w:right w:val="none" w:sz="0" w:space="0" w:color="auto"/>
          </w:divBdr>
        </w:div>
      </w:divsChild>
    </w:div>
    <w:div w:id="2049647577">
      <w:bodyDiv w:val="1"/>
      <w:marLeft w:val="0"/>
      <w:marRight w:val="0"/>
      <w:marTop w:val="0"/>
      <w:marBottom w:val="0"/>
      <w:divBdr>
        <w:top w:val="none" w:sz="0" w:space="0" w:color="auto"/>
        <w:left w:val="none" w:sz="0" w:space="0" w:color="auto"/>
        <w:bottom w:val="none" w:sz="0" w:space="0" w:color="auto"/>
        <w:right w:val="none" w:sz="0" w:space="0" w:color="auto"/>
      </w:divBdr>
      <w:divsChild>
        <w:div w:id="232202297">
          <w:marLeft w:val="0"/>
          <w:marRight w:val="0"/>
          <w:marTop w:val="0"/>
          <w:marBottom w:val="0"/>
          <w:divBdr>
            <w:top w:val="none" w:sz="0" w:space="0" w:color="auto"/>
            <w:left w:val="none" w:sz="0" w:space="0" w:color="auto"/>
            <w:bottom w:val="none" w:sz="0" w:space="0" w:color="auto"/>
            <w:right w:val="none" w:sz="0" w:space="0" w:color="auto"/>
          </w:divBdr>
        </w:div>
        <w:div w:id="308092880">
          <w:marLeft w:val="0"/>
          <w:marRight w:val="0"/>
          <w:marTop w:val="0"/>
          <w:marBottom w:val="0"/>
          <w:divBdr>
            <w:top w:val="none" w:sz="0" w:space="0" w:color="auto"/>
            <w:left w:val="none" w:sz="0" w:space="0" w:color="auto"/>
            <w:bottom w:val="none" w:sz="0" w:space="0" w:color="auto"/>
            <w:right w:val="none" w:sz="0" w:space="0" w:color="auto"/>
          </w:divBdr>
        </w:div>
        <w:div w:id="401830570">
          <w:marLeft w:val="0"/>
          <w:marRight w:val="0"/>
          <w:marTop w:val="0"/>
          <w:marBottom w:val="0"/>
          <w:divBdr>
            <w:top w:val="none" w:sz="0" w:space="0" w:color="auto"/>
            <w:left w:val="none" w:sz="0" w:space="0" w:color="auto"/>
            <w:bottom w:val="none" w:sz="0" w:space="0" w:color="auto"/>
            <w:right w:val="none" w:sz="0" w:space="0" w:color="auto"/>
          </w:divBdr>
        </w:div>
        <w:div w:id="664867824">
          <w:marLeft w:val="0"/>
          <w:marRight w:val="0"/>
          <w:marTop w:val="0"/>
          <w:marBottom w:val="0"/>
          <w:divBdr>
            <w:top w:val="none" w:sz="0" w:space="0" w:color="auto"/>
            <w:left w:val="none" w:sz="0" w:space="0" w:color="auto"/>
            <w:bottom w:val="none" w:sz="0" w:space="0" w:color="auto"/>
            <w:right w:val="none" w:sz="0" w:space="0" w:color="auto"/>
          </w:divBdr>
        </w:div>
        <w:div w:id="1080978358">
          <w:marLeft w:val="0"/>
          <w:marRight w:val="0"/>
          <w:marTop w:val="0"/>
          <w:marBottom w:val="0"/>
          <w:divBdr>
            <w:top w:val="none" w:sz="0" w:space="0" w:color="auto"/>
            <w:left w:val="none" w:sz="0" w:space="0" w:color="auto"/>
            <w:bottom w:val="none" w:sz="0" w:space="0" w:color="auto"/>
            <w:right w:val="none" w:sz="0" w:space="0" w:color="auto"/>
          </w:divBdr>
        </w:div>
        <w:div w:id="1198276596">
          <w:marLeft w:val="0"/>
          <w:marRight w:val="0"/>
          <w:marTop w:val="0"/>
          <w:marBottom w:val="0"/>
          <w:divBdr>
            <w:top w:val="none" w:sz="0" w:space="0" w:color="auto"/>
            <w:left w:val="none" w:sz="0" w:space="0" w:color="auto"/>
            <w:bottom w:val="none" w:sz="0" w:space="0" w:color="auto"/>
            <w:right w:val="none" w:sz="0" w:space="0" w:color="auto"/>
          </w:divBdr>
        </w:div>
        <w:div w:id="1849716027">
          <w:marLeft w:val="0"/>
          <w:marRight w:val="0"/>
          <w:marTop w:val="0"/>
          <w:marBottom w:val="0"/>
          <w:divBdr>
            <w:top w:val="none" w:sz="0" w:space="0" w:color="auto"/>
            <w:left w:val="none" w:sz="0" w:space="0" w:color="auto"/>
            <w:bottom w:val="none" w:sz="0" w:space="0" w:color="auto"/>
            <w:right w:val="none" w:sz="0" w:space="0" w:color="auto"/>
          </w:divBdr>
        </w:div>
        <w:div w:id="2085108190">
          <w:marLeft w:val="0"/>
          <w:marRight w:val="0"/>
          <w:marTop w:val="0"/>
          <w:marBottom w:val="0"/>
          <w:divBdr>
            <w:top w:val="none" w:sz="0" w:space="0" w:color="auto"/>
            <w:left w:val="none" w:sz="0" w:space="0" w:color="auto"/>
            <w:bottom w:val="none" w:sz="0" w:space="0" w:color="auto"/>
            <w:right w:val="none" w:sz="0" w:space="0" w:color="auto"/>
          </w:divBdr>
        </w:div>
      </w:divsChild>
    </w:div>
    <w:div w:id="2060397276">
      <w:bodyDiv w:val="1"/>
      <w:marLeft w:val="0"/>
      <w:marRight w:val="0"/>
      <w:marTop w:val="0"/>
      <w:marBottom w:val="0"/>
      <w:divBdr>
        <w:top w:val="none" w:sz="0" w:space="0" w:color="auto"/>
        <w:left w:val="none" w:sz="0" w:space="0" w:color="auto"/>
        <w:bottom w:val="none" w:sz="0" w:space="0" w:color="auto"/>
        <w:right w:val="none" w:sz="0" w:space="0" w:color="auto"/>
      </w:divBdr>
      <w:divsChild>
        <w:div w:id="435712717">
          <w:marLeft w:val="0"/>
          <w:marRight w:val="0"/>
          <w:marTop w:val="0"/>
          <w:marBottom w:val="0"/>
          <w:divBdr>
            <w:top w:val="none" w:sz="0" w:space="0" w:color="auto"/>
            <w:left w:val="none" w:sz="0" w:space="0" w:color="auto"/>
            <w:bottom w:val="none" w:sz="0" w:space="0" w:color="auto"/>
            <w:right w:val="none" w:sz="0" w:space="0" w:color="auto"/>
          </w:divBdr>
        </w:div>
        <w:div w:id="711076194">
          <w:marLeft w:val="0"/>
          <w:marRight w:val="0"/>
          <w:marTop w:val="0"/>
          <w:marBottom w:val="0"/>
          <w:divBdr>
            <w:top w:val="none" w:sz="0" w:space="0" w:color="auto"/>
            <w:left w:val="none" w:sz="0" w:space="0" w:color="auto"/>
            <w:bottom w:val="none" w:sz="0" w:space="0" w:color="auto"/>
            <w:right w:val="none" w:sz="0" w:space="0" w:color="auto"/>
          </w:divBdr>
        </w:div>
        <w:div w:id="1003388406">
          <w:marLeft w:val="0"/>
          <w:marRight w:val="0"/>
          <w:marTop w:val="0"/>
          <w:marBottom w:val="0"/>
          <w:divBdr>
            <w:top w:val="none" w:sz="0" w:space="0" w:color="auto"/>
            <w:left w:val="none" w:sz="0" w:space="0" w:color="auto"/>
            <w:bottom w:val="none" w:sz="0" w:space="0" w:color="auto"/>
            <w:right w:val="none" w:sz="0" w:space="0" w:color="auto"/>
          </w:divBdr>
        </w:div>
        <w:div w:id="1277984653">
          <w:marLeft w:val="0"/>
          <w:marRight w:val="0"/>
          <w:marTop w:val="0"/>
          <w:marBottom w:val="0"/>
          <w:divBdr>
            <w:top w:val="none" w:sz="0" w:space="0" w:color="auto"/>
            <w:left w:val="none" w:sz="0" w:space="0" w:color="auto"/>
            <w:bottom w:val="none" w:sz="0" w:space="0" w:color="auto"/>
            <w:right w:val="none" w:sz="0" w:space="0" w:color="auto"/>
          </w:divBdr>
        </w:div>
        <w:div w:id="1597517093">
          <w:marLeft w:val="0"/>
          <w:marRight w:val="0"/>
          <w:marTop w:val="0"/>
          <w:marBottom w:val="0"/>
          <w:divBdr>
            <w:top w:val="none" w:sz="0" w:space="0" w:color="auto"/>
            <w:left w:val="none" w:sz="0" w:space="0" w:color="auto"/>
            <w:bottom w:val="none" w:sz="0" w:space="0" w:color="auto"/>
            <w:right w:val="none" w:sz="0" w:space="0" w:color="auto"/>
          </w:divBdr>
        </w:div>
        <w:div w:id="1613899413">
          <w:marLeft w:val="0"/>
          <w:marRight w:val="0"/>
          <w:marTop w:val="0"/>
          <w:marBottom w:val="0"/>
          <w:divBdr>
            <w:top w:val="none" w:sz="0" w:space="0" w:color="auto"/>
            <w:left w:val="none" w:sz="0" w:space="0" w:color="auto"/>
            <w:bottom w:val="none" w:sz="0" w:space="0" w:color="auto"/>
            <w:right w:val="none" w:sz="0" w:space="0" w:color="auto"/>
          </w:divBdr>
        </w:div>
        <w:div w:id="1739210444">
          <w:marLeft w:val="0"/>
          <w:marRight w:val="0"/>
          <w:marTop w:val="0"/>
          <w:marBottom w:val="0"/>
          <w:divBdr>
            <w:top w:val="none" w:sz="0" w:space="0" w:color="auto"/>
            <w:left w:val="none" w:sz="0" w:space="0" w:color="auto"/>
            <w:bottom w:val="none" w:sz="0" w:space="0" w:color="auto"/>
            <w:right w:val="none" w:sz="0" w:space="0" w:color="auto"/>
          </w:divBdr>
        </w:div>
        <w:div w:id="1985575196">
          <w:marLeft w:val="0"/>
          <w:marRight w:val="0"/>
          <w:marTop w:val="0"/>
          <w:marBottom w:val="0"/>
          <w:divBdr>
            <w:top w:val="none" w:sz="0" w:space="0" w:color="auto"/>
            <w:left w:val="none" w:sz="0" w:space="0" w:color="auto"/>
            <w:bottom w:val="none" w:sz="0" w:space="0" w:color="auto"/>
            <w:right w:val="none" w:sz="0" w:space="0" w:color="auto"/>
          </w:divBdr>
        </w:div>
      </w:divsChild>
    </w:div>
    <w:div w:id="2065180500">
      <w:bodyDiv w:val="1"/>
      <w:marLeft w:val="0"/>
      <w:marRight w:val="0"/>
      <w:marTop w:val="0"/>
      <w:marBottom w:val="0"/>
      <w:divBdr>
        <w:top w:val="none" w:sz="0" w:space="0" w:color="auto"/>
        <w:left w:val="none" w:sz="0" w:space="0" w:color="auto"/>
        <w:bottom w:val="none" w:sz="0" w:space="0" w:color="auto"/>
        <w:right w:val="none" w:sz="0" w:space="0" w:color="auto"/>
      </w:divBdr>
      <w:divsChild>
        <w:div w:id="473135122">
          <w:marLeft w:val="0"/>
          <w:marRight w:val="0"/>
          <w:marTop w:val="0"/>
          <w:marBottom w:val="0"/>
          <w:divBdr>
            <w:top w:val="none" w:sz="0" w:space="0" w:color="auto"/>
            <w:left w:val="none" w:sz="0" w:space="0" w:color="auto"/>
            <w:bottom w:val="none" w:sz="0" w:space="0" w:color="auto"/>
            <w:right w:val="none" w:sz="0" w:space="0" w:color="auto"/>
          </w:divBdr>
        </w:div>
      </w:divsChild>
    </w:div>
    <w:div w:id="2066178167">
      <w:bodyDiv w:val="1"/>
      <w:marLeft w:val="0"/>
      <w:marRight w:val="0"/>
      <w:marTop w:val="0"/>
      <w:marBottom w:val="0"/>
      <w:divBdr>
        <w:top w:val="none" w:sz="0" w:space="0" w:color="auto"/>
        <w:left w:val="none" w:sz="0" w:space="0" w:color="auto"/>
        <w:bottom w:val="none" w:sz="0" w:space="0" w:color="auto"/>
        <w:right w:val="none" w:sz="0" w:space="0" w:color="auto"/>
      </w:divBdr>
    </w:div>
    <w:div w:id="2073458402">
      <w:bodyDiv w:val="1"/>
      <w:marLeft w:val="0"/>
      <w:marRight w:val="0"/>
      <w:marTop w:val="0"/>
      <w:marBottom w:val="0"/>
      <w:divBdr>
        <w:top w:val="none" w:sz="0" w:space="0" w:color="auto"/>
        <w:left w:val="none" w:sz="0" w:space="0" w:color="auto"/>
        <w:bottom w:val="none" w:sz="0" w:space="0" w:color="auto"/>
        <w:right w:val="none" w:sz="0" w:space="0" w:color="auto"/>
      </w:divBdr>
    </w:div>
    <w:div w:id="2089837736">
      <w:bodyDiv w:val="1"/>
      <w:marLeft w:val="0"/>
      <w:marRight w:val="0"/>
      <w:marTop w:val="0"/>
      <w:marBottom w:val="0"/>
      <w:divBdr>
        <w:top w:val="none" w:sz="0" w:space="0" w:color="auto"/>
        <w:left w:val="none" w:sz="0" w:space="0" w:color="auto"/>
        <w:bottom w:val="none" w:sz="0" w:space="0" w:color="auto"/>
        <w:right w:val="none" w:sz="0" w:space="0" w:color="auto"/>
      </w:divBdr>
      <w:divsChild>
        <w:div w:id="65491669">
          <w:marLeft w:val="0"/>
          <w:marRight w:val="0"/>
          <w:marTop w:val="0"/>
          <w:marBottom w:val="0"/>
          <w:divBdr>
            <w:top w:val="none" w:sz="0" w:space="0" w:color="auto"/>
            <w:left w:val="none" w:sz="0" w:space="0" w:color="auto"/>
            <w:bottom w:val="none" w:sz="0" w:space="0" w:color="auto"/>
            <w:right w:val="none" w:sz="0" w:space="0" w:color="auto"/>
          </w:divBdr>
        </w:div>
        <w:div w:id="201944942">
          <w:marLeft w:val="0"/>
          <w:marRight w:val="0"/>
          <w:marTop w:val="0"/>
          <w:marBottom w:val="0"/>
          <w:divBdr>
            <w:top w:val="none" w:sz="0" w:space="0" w:color="auto"/>
            <w:left w:val="none" w:sz="0" w:space="0" w:color="auto"/>
            <w:bottom w:val="none" w:sz="0" w:space="0" w:color="auto"/>
            <w:right w:val="none" w:sz="0" w:space="0" w:color="auto"/>
          </w:divBdr>
        </w:div>
        <w:div w:id="1270891658">
          <w:marLeft w:val="0"/>
          <w:marRight w:val="0"/>
          <w:marTop w:val="0"/>
          <w:marBottom w:val="0"/>
          <w:divBdr>
            <w:top w:val="none" w:sz="0" w:space="0" w:color="auto"/>
            <w:left w:val="none" w:sz="0" w:space="0" w:color="auto"/>
            <w:bottom w:val="none" w:sz="0" w:space="0" w:color="auto"/>
            <w:right w:val="none" w:sz="0" w:space="0" w:color="auto"/>
          </w:divBdr>
        </w:div>
        <w:div w:id="1444030109">
          <w:marLeft w:val="0"/>
          <w:marRight w:val="0"/>
          <w:marTop w:val="0"/>
          <w:marBottom w:val="0"/>
          <w:divBdr>
            <w:top w:val="none" w:sz="0" w:space="0" w:color="auto"/>
            <w:left w:val="none" w:sz="0" w:space="0" w:color="auto"/>
            <w:bottom w:val="none" w:sz="0" w:space="0" w:color="auto"/>
            <w:right w:val="none" w:sz="0" w:space="0" w:color="auto"/>
          </w:divBdr>
        </w:div>
        <w:div w:id="1999378574">
          <w:marLeft w:val="0"/>
          <w:marRight w:val="0"/>
          <w:marTop w:val="0"/>
          <w:marBottom w:val="0"/>
          <w:divBdr>
            <w:top w:val="none" w:sz="0" w:space="0" w:color="auto"/>
            <w:left w:val="none" w:sz="0" w:space="0" w:color="auto"/>
            <w:bottom w:val="none" w:sz="0" w:space="0" w:color="auto"/>
            <w:right w:val="none" w:sz="0" w:space="0" w:color="auto"/>
          </w:divBdr>
        </w:div>
      </w:divsChild>
    </w:div>
    <w:div w:id="2090492947">
      <w:bodyDiv w:val="1"/>
      <w:marLeft w:val="0"/>
      <w:marRight w:val="0"/>
      <w:marTop w:val="0"/>
      <w:marBottom w:val="0"/>
      <w:divBdr>
        <w:top w:val="none" w:sz="0" w:space="0" w:color="auto"/>
        <w:left w:val="none" w:sz="0" w:space="0" w:color="auto"/>
        <w:bottom w:val="none" w:sz="0" w:space="0" w:color="auto"/>
        <w:right w:val="none" w:sz="0" w:space="0" w:color="auto"/>
      </w:divBdr>
      <w:divsChild>
        <w:div w:id="1728724246">
          <w:marLeft w:val="0"/>
          <w:marRight w:val="0"/>
          <w:marTop w:val="0"/>
          <w:marBottom w:val="0"/>
          <w:divBdr>
            <w:top w:val="none" w:sz="0" w:space="0" w:color="auto"/>
            <w:left w:val="none" w:sz="0" w:space="0" w:color="auto"/>
            <w:bottom w:val="none" w:sz="0" w:space="0" w:color="auto"/>
            <w:right w:val="none" w:sz="0" w:space="0" w:color="auto"/>
          </w:divBdr>
          <w:divsChild>
            <w:div w:id="1247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86025">
      <w:bodyDiv w:val="1"/>
      <w:marLeft w:val="0"/>
      <w:marRight w:val="0"/>
      <w:marTop w:val="0"/>
      <w:marBottom w:val="0"/>
      <w:divBdr>
        <w:top w:val="none" w:sz="0" w:space="0" w:color="auto"/>
        <w:left w:val="none" w:sz="0" w:space="0" w:color="auto"/>
        <w:bottom w:val="none" w:sz="0" w:space="0" w:color="auto"/>
        <w:right w:val="none" w:sz="0" w:space="0" w:color="auto"/>
      </w:divBdr>
      <w:divsChild>
        <w:div w:id="976640677">
          <w:marLeft w:val="0"/>
          <w:marRight w:val="0"/>
          <w:marTop w:val="0"/>
          <w:marBottom w:val="0"/>
          <w:divBdr>
            <w:top w:val="none" w:sz="0" w:space="0" w:color="auto"/>
            <w:left w:val="none" w:sz="0" w:space="0" w:color="auto"/>
            <w:bottom w:val="none" w:sz="0" w:space="0" w:color="auto"/>
            <w:right w:val="none" w:sz="0" w:space="0" w:color="auto"/>
          </w:divBdr>
        </w:div>
      </w:divsChild>
    </w:div>
    <w:div w:id="2117672372">
      <w:bodyDiv w:val="1"/>
      <w:marLeft w:val="0"/>
      <w:marRight w:val="0"/>
      <w:marTop w:val="0"/>
      <w:marBottom w:val="0"/>
      <w:divBdr>
        <w:top w:val="none" w:sz="0" w:space="0" w:color="auto"/>
        <w:left w:val="none" w:sz="0" w:space="0" w:color="auto"/>
        <w:bottom w:val="none" w:sz="0" w:space="0" w:color="auto"/>
        <w:right w:val="none" w:sz="0" w:space="0" w:color="auto"/>
      </w:divBdr>
      <w:divsChild>
        <w:div w:id="139930580">
          <w:marLeft w:val="0"/>
          <w:marRight w:val="0"/>
          <w:marTop w:val="0"/>
          <w:marBottom w:val="0"/>
          <w:divBdr>
            <w:top w:val="none" w:sz="0" w:space="0" w:color="auto"/>
            <w:left w:val="none" w:sz="0" w:space="0" w:color="auto"/>
            <w:bottom w:val="none" w:sz="0" w:space="0" w:color="auto"/>
            <w:right w:val="none" w:sz="0" w:space="0" w:color="auto"/>
          </w:divBdr>
        </w:div>
        <w:div w:id="140081932">
          <w:marLeft w:val="0"/>
          <w:marRight w:val="0"/>
          <w:marTop w:val="0"/>
          <w:marBottom w:val="0"/>
          <w:divBdr>
            <w:top w:val="none" w:sz="0" w:space="0" w:color="auto"/>
            <w:left w:val="none" w:sz="0" w:space="0" w:color="auto"/>
            <w:bottom w:val="none" w:sz="0" w:space="0" w:color="auto"/>
            <w:right w:val="none" w:sz="0" w:space="0" w:color="auto"/>
          </w:divBdr>
        </w:div>
        <w:div w:id="181941545">
          <w:marLeft w:val="0"/>
          <w:marRight w:val="0"/>
          <w:marTop w:val="0"/>
          <w:marBottom w:val="0"/>
          <w:divBdr>
            <w:top w:val="none" w:sz="0" w:space="0" w:color="auto"/>
            <w:left w:val="none" w:sz="0" w:space="0" w:color="auto"/>
            <w:bottom w:val="none" w:sz="0" w:space="0" w:color="auto"/>
            <w:right w:val="none" w:sz="0" w:space="0" w:color="auto"/>
          </w:divBdr>
        </w:div>
        <w:div w:id="400368009">
          <w:marLeft w:val="0"/>
          <w:marRight w:val="0"/>
          <w:marTop w:val="0"/>
          <w:marBottom w:val="0"/>
          <w:divBdr>
            <w:top w:val="none" w:sz="0" w:space="0" w:color="auto"/>
            <w:left w:val="none" w:sz="0" w:space="0" w:color="auto"/>
            <w:bottom w:val="none" w:sz="0" w:space="0" w:color="auto"/>
            <w:right w:val="none" w:sz="0" w:space="0" w:color="auto"/>
          </w:divBdr>
        </w:div>
        <w:div w:id="538322431">
          <w:marLeft w:val="0"/>
          <w:marRight w:val="0"/>
          <w:marTop w:val="0"/>
          <w:marBottom w:val="0"/>
          <w:divBdr>
            <w:top w:val="none" w:sz="0" w:space="0" w:color="auto"/>
            <w:left w:val="none" w:sz="0" w:space="0" w:color="auto"/>
            <w:bottom w:val="none" w:sz="0" w:space="0" w:color="auto"/>
            <w:right w:val="none" w:sz="0" w:space="0" w:color="auto"/>
          </w:divBdr>
        </w:div>
        <w:div w:id="622662289">
          <w:marLeft w:val="0"/>
          <w:marRight w:val="0"/>
          <w:marTop w:val="0"/>
          <w:marBottom w:val="0"/>
          <w:divBdr>
            <w:top w:val="none" w:sz="0" w:space="0" w:color="auto"/>
            <w:left w:val="none" w:sz="0" w:space="0" w:color="auto"/>
            <w:bottom w:val="none" w:sz="0" w:space="0" w:color="auto"/>
            <w:right w:val="none" w:sz="0" w:space="0" w:color="auto"/>
          </w:divBdr>
        </w:div>
        <w:div w:id="1002244195">
          <w:marLeft w:val="0"/>
          <w:marRight w:val="0"/>
          <w:marTop w:val="0"/>
          <w:marBottom w:val="0"/>
          <w:divBdr>
            <w:top w:val="none" w:sz="0" w:space="0" w:color="auto"/>
            <w:left w:val="none" w:sz="0" w:space="0" w:color="auto"/>
            <w:bottom w:val="none" w:sz="0" w:space="0" w:color="auto"/>
            <w:right w:val="none" w:sz="0" w:space="0" w:color="auto"/>
          </w:divBdr>
        </w:div>
        <w:div w:id="1376586370">
          <w:marLeft w:val="0"/>
          <w:marRight w:val="0"/>
          <w:marTop w:val="0"/>
          <w:marBottom w:val="0"/>
          <w:divBdr>
            <w:top w:val="none" w:sz="0" w:space="0" w:color="auto"/>
            <w:left w:val="none" w:sz="0" w:space="0" w:color="auto"/>
            <w:bottom w:val="none" w:sz="0" w:space="0" w:color="auto"/>
            <w:right w:val="none" w:sz="0" w:space="0" w:color="auto"/>
          </w:divBdr>
        </w:div>
        <w:div w:id="1540362986">
          <w:marLeft w:val="0"/>
          <w:marRight w:val="0"/>
          <w:marTop w:val="0"/>
          <w:marBottom w:val="0"/>
          <w:divBdr>
            <w:top w:val="none" w:sz="0" w:space="0" w:color="auto"/>
            <w:left w:val="none" w:sz="0" w:space="0" w:color="auto"/>
            <w:bottom w:val="none" w:sz="0" w:space="0" w:color="auto"/>
            <w:right w:val="none" w:sz="0" w:space="0" w:color="auto"/>
          </w:divBdr>
        </w:div>
      </w:divsChild>
    </w:div>
    <w:div w:id="2118942180">
      <w:bodyDiv w:val="1"/>
      <w:marLeft w:val="0"/>
      <w:marRight w:val="0"/>
      <w:marTop w:val="0"/>
      <w:marBottom w:val="0"/>
      <w:divBdr>
        <w:top w:val="none" w:sz="0" w:space="0" w:color="auto"/>
        <w:left w:val="none" w:sz="0" w:space="0" w:color="auto"/>
        <w:bottom w:val="none" w:sz="0" w:space="0" w:color="auto"/>
        <w:right w:val="none" w:sz="0" w:space="0" w:color="auto"/>
      </w:divBdr>
      <w:divsChild>
        <w:div w:id="857937251">
          <w:marLeft w:val="0"/>
          <w:marRight w:val="0"/>
          <w:marTop w:val="0"/>
          <w:marBottom w:val="0"/>
          <w:divBdr>
            <w:top w:val="none" w:sz="0" w:space="0" w:color="auto"/>
            <w:left w:val="none" w:sz="0" w:space="0" w:color="auto"/>
            <w:bottom w:val="none" w:sz="0" w:space="0" w:color="auto"/>
            <w:right w:val="none" w:sz="0" w:space="0" w:color="auto"/>
          </w:divBdr>
          <w:divsChild>
            <w:div w:id="153099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78834">
      <w:bodyDiv w:val="1"/>
      <w:marLeft w:val="0"/>
      <w:marRight w:val="0"/>
      <w:marTop w:val="0"/>
      <w:marBottom w:val="0"/>
      <w:divBdr>
        <w:top w:val="none" w:sz="0" w:space="0" w:color="auto"/>
        <w:left w:val="none" w:sz="0" w:space="0" w:color="auto"/>
        <w:bottom w:val="none" w:sz="0" w:space="0" w:color="auto"/>
        <w:right w:val="none" w:sz="0" w:space="0" w:color="auto"/>
      </w:divBdr>
      <w:divsChild>
        <w:div w:id="9260536">
          <w:marLeft w:val="0"/>
          <w:marRight w:val="0"/>
          <w:marTop w:val="0"/>
          <w:marBottom w:val="0"/>
          <w:divBdr>
            <w:top w:val="none" w:sz="0" w:space="0" w:color="auto"/>
            <w:left w:val="none" w:sz="0" w:space="0" w:color="auto"/>
            <w:bottom w:val="none" w:sz="0" w:space="0" w:color="auto"/>
            <w:right w:val="none" w:sz="0" w:space="0" w:color="auto"/>
          </w:divBdr>
        </w:div>
        <w:div w:id="75791330">
          <w:marLeft w:val="0"/>
          <w:marRight w:val="0"/>
          <w:marTop w:val="0"/>
          <w:marBottom w:val="0"/>
          <w:divBdr>
            <w:top w:val="none" w:sz="0" w:space="0" w:color="auto"/>
            <w:left w:val="none" w:sz="0" w:space="0" w:color="auto"/>
            <w:bottom w:val="none" w:sz="0" w:space="0" w:color="auto"/>
            <w:right w:val="none" w:sz="0" w:space="0" w:color="auto"/>
          </w:divBdr>
        </w:div>
        <w:div w:id="153643089">
          <w:marLeft w:val="0"/>
          <w:marRight w:val="0"/>
          <w:marTop w:val="0"/>
          <w:marBottom w:val="0"/>
          <w:divBdr>
            <w:top w:val="none" w:sz="0" w:space="0" w:color="auto"/>
            <w:left w:val="none" w:sz="0" w:space="0" w:color="auto"/>
            <w:bottom w:val="none" w:sz="0" w:space="0" w:color="auto"/>
            <w:right w:val="none" w:sz="0" w:space="0" w:color="auto"/>
          </w:divBdr>
        </w:div>
        <w:div w:id="288631246">
          <w:marLeft w:val="0"/>
          <w:marRight w:val="0"/>
          <w:marTop w:val="0"/>
          <w:marBottom w:val="0"/>
          <w:divBdr>
            <w:top w:val="none" w:sz="0" w:space="0" w:color="auto"/>
            <w:left w:val="none" w:sz="0" w:space="0" w:color="auto"/>
            <w:bottom w:val="none" w:sz="0" w:space="0" w:color="auto"/>
            <w:right w:val="none" w:sz="0" w:space="0" w:color="auto"/>
          </w:divBdr>
        </w:div>
        <w:div w:id="546723688">
          <w:marLeft w:val="0"/>
          <w:marRight w:val="0"/>
          <w:marTop w:val="0"/>
          <w:marBottom w:val="0"/>
          <w:divBdr>
            <w:top w:val="none" w:sz="0" w:space="0" w:color="auto"/>
            <w:left w:val="none" w:sz="0" w:space="0" w:color="auto"/>
            <w:bottom w:val="none" w:sz="0" w:space="0" w:color="auto"/>
            <w:right w:val="none" w:sz="0" w:space="0" w:color="auto"/>
          </w:divBdr>
        </w:div>
        <w:div w:id="848789172">
          <w:marLeft w:val="0"/>
          <w:marRight w:val="0"/>
          <w:marTop w:val="0"/>
          <w:marBottom w:val="0"/>
          <w:divBdr>
            <w:top w:val="none" w:sz="0" w:space="0" w:color="auto"/>
            <w:left w:val="none" w:sz="0" w:space="0" w:color="auto"/>
            <w:bottom w:val="none" w:sz="0" w:space="0" w:color="auto"/>
            <w:right w:val="none" w:sz="0" w:space="0" w:color="auto"/>
          </w:divBdr>
        </w:div>
        <w:div w:id="898444509">
          <w:marLeft w:val="0"/>
          <w:marRight w:val="0"/>
          <w:marTop w:val="0"/>
          <w:marBottom w:val="0"/>
          <w:divBdr>
            <w:top w:val="none" w:sz="0" w:space="0" w:color="auto"/>
            <w:left w:val="none" w:sz="0" w:space="0" w:color="auto"/>
            <w:bottom w:val="none" w:sz="0" w:space="0" w:color="auto"/>
            <w:right w:val="none" w:sz="0" w:space="0" w:color="auto"/>
          </w:divBdr>
        </w:div>
        <w:div w:id="922567162">
          <w:marLeft w:val="0"/>
          <w:marRight w:val="0"/>
          <w:marTop w:val="0"/>
          <w:marBottom w:val="0"/>
          <w:divBdr>
            <w:top w:val="none" w:sz="0" w:space="0" w:color="auto"/>
            <w:left w:val="none" w:sz="0" w:space="0" w:color="auto"/>
            <w:bottom w:val="none" w:sz="0" w:space="0" w:color="auto"/>
            <w:right w:val="none" w:sz="0" w:space="0" w:color="auto"/>
          </w:divBdr>
        </w:div>
        <w:div w:id="1029140860">
          <w:marLeft w:val="0"/>
          <w:marRight w:val="0"/>
          <w:marTop w:val="0"/>
          <w:marBottom w:val="0"/>
          <w:divBdr>
            <w:top w:val="none" w:sz="0" w:space="0" w:color="auto"/>
            <w:left w:val="none" w:sz="0" w:space="0" w:color="auto"/>
            <w:bottom w:val="none" w:sz="0" w:space="0" w:color="auto"/>
            <w:right w:val="none" w:sz="0" w:space="0" w:color="auto"/>
          </w:divBdr>
        </w:div>
        <w:div w:id="1107965409">
          <w:marLeft w:val="0"/>
          <w:marRight w:val="0"/>
          <w:marTop w:val="0"/>
          <w:marBottom w:val="0"/>
          <w:divBdr>
            <w:top w:val="none" w:sz="0" w:space="0" w:color="auto"/>
            <w:left w:val="none" w:sz="0" w:space="0" w:color="auto"/>
            <w:bottom w:val="none" w:sz="0" w:space="0" w:color="auto"/>
            <w:right w:val="none" w:sz="0" w:space="0" w:color="auto"/>
          </w:divBdr>
        </w:div>
        <w:div w:id="1220632101">
          <w:marLeft w:val="0"/>
          <w:marRight w:val="0"/>
          <w:marTop w:val="0"/>
          <w:marBottom w:val="0"/>
          <w:divBdr>
            <w:top w:val="none" w:sz="0" w:space="0" w:color="auto"/>
            <w:left w:val="none" w:sz="0" w:space="0" w:color="auto"/>
            <w:bottom w:val="none" w:sz="0" w:space="0" w:color="auto"/>
            <w:right w:val="none" w:sz="0" w:space="0" w:color="auto"/>
          </w:divBdr>
        </w:div>
        <w:div w:id="1257518205">
          <w:marLeft w:val="0"/>
          <w:marRight w:val="0"/>
          <w:marTop w:val="0"/>
          <w:marBottom w:val="0"/>
          <w:divBdr>
            <w:top w:val="none" w:sz="0" w:space="0" w:color="auto"/>
            <w:left w:val="none" w:sz="0" w:space="0" w:color="auto"/>
            <w:bottom w:val="none" w:sz="0" w:space="0" w:color="auto"/>
            <w:right w:val="none" w:sz="0" w:space="0" w:color="auto"/>
          </w:divBdr>
        </w:div>
        <w:div w:id="1291593830">
          <w:marLeft w:val="0"/>
          <w:marRight w:val="0"/>
          <w:marTop w:val="0"/>
          <w:marBottom w:val="0"/>
          <w:divBdr>
            <w:top w:val="none" w:sz="0" w:space="0" w:color="auto"/>
            <w:left w:val="none" w:sz="0" w:space="0" w:color="auto"/>
            <w:bottom w:val="none" w:sz="0" w:space="0" w:color="auto"/>
            <w:right w:val="none" w:sz="0" w:space="0" w:color="auto"/>
          </w:divBdr>
        </w:div>
        <w:div w:id="1394426264">
          <w:marLeft w:val="0"/>
          <w:marRight w:val="0"/>
          <w:marTop w:val="0"/>
          <w:marBottom w:val="0"/>
          <w:divBdr>
            <w:top w:val="none" w:sz="0" w:space="0" w:color="auto"/>
            <w:left w:val="none" w:sz="0" w:space="0" w:color="auto"/>
            <w:bottom w:val="none" w:sz="0" w:space="0" w:color="auto"/>
            <w:right w:val="none" w:sz="0" w:space="0" w:color="auto"/>
          </w:divBdr>
        </w:div>
        <w:div w:id="1456674796">
          <w:marLeft w:val="0"/>
          <w:marRight w:val="0"/>
          <w:marTop w:val="0"/>
          <w:marBottom w:val="0"/>
          <w:divBdr>
            <w:top w:val="none" w:sz="0" w:space="0" w:color="auto"/>
            <w:left w:val="none" w:sz="0" w:space="0" w:color="auto"/>
            <w:bottom w:val="none" w:sz="0" w:space="0" w:color="auto"/>
            <w:right w:val="none" w:sz="0" w:space="0" w:color="auto"/>
          </w:divBdr>
        </w:div>
        <w:div w:id="1766999618">
          <w:marLeft w:val="0"/>
          <w:marRight w:val="0"/>
          <w:marTop w:val="0"/>
          <w:marBottom w:val="0"/>
          <w:divBdr>
            <w:top w:val="none" w:sz="0" w:space="0" w:color="auto"/>
            <w:left w:val="none" w:sz="0" w:space="0" w:color="auto"/>
            <w:bottom w:val="none" w:sz="0" w:space="0" w:color="auto"/>
            <w:right w:val="none" w:sz="0" w:space="0" w:color="auto"/>
          </w:divBdr>
        </w:div>
        <w:div w:id="1929196134">
          <w:marLeft w:val="0"/>
          <w:marRight w:val="0"/>
          <w:marTop w:val="0"/>
          <w:marBottom w:val="0"/>
          <w:divBdr>
            <w:top w:val="none" w:sz="0" w:space="0" w:color="auto"/>
            <w:left w:val="none" w:sz="0" w:space="0" w:color="auto"/>
            <w:bottom w:val="none" w:sz="0" w:space="0" w:color="auto"/>
            <w:right w:val="none" w:sz="0" w:space="0" w:color="auto"/>
          </w:divBdr>
        </w:div>
      </w:divsChild>
    </w:div>
    <w:div w:id="2124692606">
      <w:bodyDiv w:val="1"/>
      <w:marLeft w:val="0"/>
      <w:marRight w:val="0"/>
      <w:marTop w:val="0"/>
      <w:marBottom w:val="0"/>
      <w:divBdr>
        <w:top w:val="none" w:sz="0" w:space="0" w:color="auto"/>
        <w:left w:val="none" w:sz="0" w:space="0" w:color="auto"/>
        <w:bottom w:val="none" w:sz="0" w:space="0" w:color="auto"/>
        <w:right w:val="none" w:sz="0" w:space="0" w:color="auto"/>
      </w:divBdr>
      <w:divsChild>
        <w:div w:id="1349675101">
          <w:marLeft w:val="0"/>
          <w:marRight w:val="0"/>
          <w:marTop w:val="0"/>
          <w:marBottom w:val="0"/>
          <w:divBdr>
            <w:top w:val="none" w:sz="0" w:space="0" w:color="auto"/>
            <w:left w:val="none" w:sz="0" w:space="0" w:color="auto"/>
            <w:bottom w:val="none" w:sz="0" w:space="0" w:color="auto"/>
            <w:right w:val="none" w:sz="0" w:space="0" w:color="auto"/>
          </w:divBdr>
        </w:div>
        <w:div w:id="1624535944">
          <w:marLeft w:val="0"/>
          <w:marRight w:val="0"/>
          <w:marTop w:val="0"/>
          <w:marBottom w:val="0"/>
          <w:divBdr>
            <w:top w:val="none" w:sz="0" w:space="0" w:color="auto"/>
            <w:left w:val="none" w:sz="0" w:space="0" w:color="auto"/>
            <w:bottom w:val="none" w:sz="0" w:space="0" w:color="auto"/>
            <w:right w:val="none" w:sz="0" w:space="0" w:color="auto"/>
          </w:divBdr>
        </w:div>
        <w:div w:id="1716851403">
          <w:marLeft w:val="0"/>
          <w:marRight w:val="0"/>
          <w:marTop w:val="0"/>
          <w:marBottom w:val="0"/>
          <w:divBdr>
            <w:top w:val="none" w:sz="0" w:space="0" w:color="auto"/>
            <w:left w:val="none" w:sz="0" w:space="0" w:color="auto"/>
            <w:bottom w:val="none" w:sz="0" w:space="0" w:color="auto"/>
            <w:right w:val="none" w:sz="0" w:space="0" w:color="auto"/>
          </w:divBdr>
        </w:div>
      </w:divsChild>
    </w:div>
    <w:div w:id="2138138902">
      <w:bodyDiv w:val="1"/>
      <w:marLeft w:val="0"/>
      <w:marRight w:val="0"/>
      <w:marTop w:val="0"/>
      <w:marBottom w:val="0"/>
      <w:divBdr>
        <w:top w:val="none" w:sz="0" w:space="0" w:color="auto"/>
        <w:left w:val="none" w:sz="0" w:space="0" w:color="auto"/>
        <w:bottom w:val="none" w:sz="0" w:space="0" w:color="auto"/>
        <w:right w:val="none" w:sz="0" w:space="0" w:color="auto"/>
      </w:divBdr>
      <w:divsChild>
        <w:div w:id="1028405779">
          <w:marLeft w:val="0"/>
          <w:marRight w:val="0"/>
          <w:marTop w:val="0"/>
          <w:marBottom w:val="0"/>
          <w:divBdr>
            <w:top w:val="none" w:sz="0" w:space="0" w:color="auto"/>
            <w:left w:val="none" w:sz="0" w:space="0" w:color="auto"/>
            <w:bottom w:val="none" w:sz="0" w:space="0" w:color="auto"/>
            <w:right w:val="none" w:sz="0" w:space="0" w:color="auto"/>
          </w:divBdr>
          <w:divsChild>
            <w:div w:id="5485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7440">
      <w:bodyDiv w:val="1"/>
      <w:marLeft w:val="0"/>
      <w:marRight w:val="0"/>
      <w:marTop w:val="0"/>
      <w:marBottom w:val="0"/>
      <w:divBdr>
        <w:top w:val="none" w:sz="0" w:space="0" w:color="auto"/>
        <w:left w:val="none" w:sz="0" w:space="0" w:color="auto"/>
        <w:bottom w:val="none" w:sz="0" w:space="0" w:color="auto"/>
        <w:right w:val="none" w:sz="0" w:space="0" w:color="auto"/>
      </w:divBdr>
      <w:divsChild>
        <w:div w:id="47579395">
          <w:marLeft w:val="0"/>
          <w:marRight w:val="0"/>
          <w:marTop w:val="0"/>
          <w:marBottom w:val="0"/>
          <w:divBdr>
            <w:top w:val="none" w:sz="0" w:space="0" w:color="auto"/>
            <w:left w:val="none" w:sz="0" w:space="0" w:color="auto"/>
            <w:bottom w:val="none" w:sz="0" w:space="0" w:color="auto"/>
            <w:right w:val="none" w:sz="0" w:space="0" w:color="auto"/>
          </w:divBdr>
        </w:div>
        <w:div w:id="1211302557">
          <w:marLeft w:val="0"/>
          <w:marRight w:val="0"/>
          <w:marTop w:val="0"/>
          <w:marBottom w:val="0"/>
          <w:divBdr>
            <w:top w:val="none" w:sz="0" w:space="0" w:color="auto"/>
            <w:left w:val="none" w:sz="0" w:space="0" w:color="auto"/>
            <w:bottom w:val="none" w:sz="0" w:space="0" w:color="auto"/>
            <w:right w:val="none" w:sz="0" w:space="0" w:color="auto"/>
          </w:divBdr>
        </w:div>
        <w:div w:id="1231765382">
          <w:marLeft w:val="0"/>
          <w:marRight w:val="0"/>
          <w:marTop w:val="0"/>
          <w:marBottom w:val="0"/>
          <w:divBdr>
            <w:top w:val="none" w:sz="0" w:space="0" w:color="auto"/>
            <w:left w:val="none" w:sz="0" w:space="0" w:color="auto"/>
            <w:bottom w:val="none" w:sz="0" w:space="0" w:color="auto"/>
            <w:right w:val="none" w:sz="0" w:space="0" w:color="auto"/>
          </w:divBdr>
        </w:div>
        <w:div w:id="1466391774">
          <w:marLeft w:val="0"/>
          <w:marRight w:val="0"/>
          <w:marTop w:val="0"/>
          <w:marBottom w:val="0"/>
          <w:divBdr>
            <w:top w:val="none" w:sz="0" w:space="0" w:color="auto"/>
            <w:left w:val="none" w:sz="0" w:space="0" w:color="auto"/>
            <w:bottom w:val="none" w:sz="0" w:space="0" w:color="auto"/>
            <w:right w:val="none" w:sz="0" w:space="0" w:color="auto"/>
          </w:divBdr>
        </w:div>
        <w:div w:id="1628730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ckinseyonsociety.com/downloads/reports/Global-Public-Health/IFC_HealthinAfrica_Final.pdf" TargetMode="External"/><Relationship Id="rId21" Type="http://schemas.openxmlformats.org/officeDocument/2006/relationships/hyperlink" Target="http://www.ppiaf.org/page/knowledge-center/ppp-resources" TargetMode="External"/><Relationship Id="rId42" Type="http://schemas.openxmlformats.org/officeDocument/2006/relationships/hyperlink" Target="https://ifcndd.ifc.org/ifcext/spiwebsite1.nsf/78e3b305216fcdba85257a8b0075079d/2caac043bf1f5ee985257c3000683ced?opendocument" TargetMode="External"/><Relationship Id="rId63" Type="http://schemas.openxmlformats.org/officeDocument/2006/relationships/hyperlink" Target="https://ifcndd.ifc.org/ifcext/spiwebsite1.nsf/78e3b305216fcdba85257a8b0075079d/cb64b9b2c56a4f22852576c10080cd3f?opendocument" TargetMode="External"/><Relationship Id="rId84" Type="http://schemas.openxmlformats.org/officeDocument/2006/relationships/hyperlink" Target="http://www.lowyinstitute.org/programs-and-projects/g20-studies-centre" TargetMode="External"/><Relationship Id="rId138" Type="http://schemas.openxmlformats.org/officeDocument/2006/relationships/image" Target="media/image10.png"/><Relationship Id="rId159" Type="http://schemas.openxmlformats.org/officeDocument/2006/relationships/hyperlink" Target="http://www.cepa.co.uk/publication-nhstrustdeficitqueenelizabeth?flBack=PB&amp;selYear=2007" TargetMode="External"/><Relationship Id="rId170" Type="http://schemas.openxmlformats.org/officeDocument/2006/relationships/hyperlink" Target="http://ec.europa.eu/economy_finance/publications/occasional_paper/2012/pdf/ocp124_en.pdf" TargetMode="External"/><Relationship Id="rId191" Type="http://schemas.openxmlformats.org/officeDocument/2006/relationships/hyperlink" Target="http://europa.eu/rapid/press-release_SPEECH-12-789_en.htm?locale=en" TargetMode="External"/><Relationship Id="rId205" Type="http://schemas.openxmlformats.org/officeDocument/2006/relationships/hyperlink" Target="http://economictimes.indiatimes.com/topic/Delhi%20Metro" TargetMode="External"/><Relationship Id="rId226" Type="http://schemas.openxmlformats.org/officeDocument/2006/relationships/theme" Target="theme/theme1.xml"/><Relationship Id="rId107" Type="http://schemas.openxmlformats.org/officeDocument/2006/relationships/hyperlink" Target="http://www.ey.com/Publication/vwLUAssets/Water_sector_in_India/$FILE/Water_Sector_in_India.pdf" TargetMode="External"/><Relationship Id="rId11" Type="http://schemas.openxmlformats.org/officeDocument/2006/relationships/image" Target="media/image2.emf"/><Relationship Id="rId32" Type="http://schemas.openxmlformats.org/officeDocument/2006/relationships/hyperlink" Target="http://www.undp.org/content/undp/en/home/ourwork/capacitybuilding/focus_areas/focus_area_details4/pppsd.html" TargetMode="External"/><Relationship Id="rId53" Type="http://schemas.openxmlformats.org/officeDocument/2006/relationships/hyperlink" Target="https://ifcndd.ifc.org/ifcext/spiwebsite1.nsf/78e3b305216fcdba85257a8b0075079d/50d29200bd0c3a8b8525773e0077c1f3?opendocument" TargetMode="External"/><Relationship Id="rId74" Type="http://schemas.openxmlformats.org/officeDocument/2006/relationships/hyperlink" Target="http://www3.weforum.org/docs/WEF_WI_WaterSecurity_WaterFoodEnergyClimateNexus_2011.pdf" TargetMode="External"/><Relationship Id="rId128" Type="http://schemas.openxmlformats.org/officeDocument/2006/relationships/hyperlink" Target="http://www.thecornerhouse.org.uk/resource/more-bricks-and-mortar" TargetMode="External"/><Relationship Id="rId149" Type="http://schemas.openxmlformats.org/officeDocument/2006/relationships/footer" Target="footer2.xml"/><Relationship Id="rId5" Type="http://schemas.openxmlformats.org/officeDocument/2006/relationships/settings" Target="settings.xml"/><Relationship Id="rId95" Type="http://schemas.openxmlformats.org/officeDocument/2006/relationships/hyperlink" Target="http://www.mckinsey.com/~/media/mckinsey/dotcom/insights%20and%20pubs/mgi/research/urbanization/indias%20urban%20awakening%20building%20inclusive%20cities/mgi_indias_urban_awakening_executive_summary.ashx" TargetMode="External"/><Relationship Id="rId160" Type="http://schemas.openxmlformats.org/officeDocument/2006/relationships/hyperlink" Target="http://www.webssa.net/files/chongetal2006_s9.pdf" TargetMode="External"/><Relationship Id="rId181" Type="http://schemas.openxmlformats.org/officeDocument/2006/relationships/hyperlink" Target="http://www.google.co.uk/url?sa=t&amp;rct=j&amp;q=&amp;esrc=s&amp;source=web&amp;cd=1&amp;cad=rja&amp;ved=0CDcQFjAA&amp;url=http%3A%2F%2Fwww.manthan-india.org%2Fspip.php%3Farticle59&amp;ei=bOXFUvHQL-rg7Qb-_oHQAQ&amp;usg=AFQjCNEznbJYss4VKWxeY-JbcwyBw5u0uQ&amp;sig2=vXNg6x8AgB-JlGMsH1YODw&amp;bvm=bv.58187178,d.ZGU" TargetMode="External"/><Relationship Id="rId216" Type="http://schemas.openxmlformats.org/officeDocument/2006/relationships/header" Target="header3.xml"/><Relationship Id="rId211" Type="http://schemas.openxmlformats.org/officeDocument/2006/relationships/hyperlink" Target="http://economictimes.indiatimes.com/topic/finance%20ministry" TargetMode="External"/><Relationship Id="rId22" Type="http://schemas.openxmlformats.org/officeDocument/2006/relationships/hyperlink" Target="http://www.ifc.org/wps/wcm/connect/AS_EXT_Content/What+We+Do/Advisory+Services/About+Us/Public-Private+Partnerships/" TargetMode="External"/><Relationship Id="rId27" Type="http://schemas.openxmlformats.org/officeDocument/2006/relationships/hyperlink" Target="http://www.iadb.org/en/topics/public-private-partnerships/" TargetMode="External"/><Relationship Id="rId43" Type="http://schemas.openxmlformats.org/officeDocument/2006/relationships/hyperlink" Target="https://ifcndd.ifc.org/ifcext/spiwebsite1.nsf/78e3b305216fcdba85257a8b0075079d/8c69942679a16e5785257b02007031cc?opendocument" TargetMode="External"/><Relationship Id="rId48" Type="http://schemas.openxmlformats.org/officeDocument/2006/relationships/hyperlink" Target="https://ifcndd.ifc.org/ifcext/spiwebsite1.nsf/78e3b305216fcdba85257a8b0075079d/2eb009472b930b838525797a007b680a?opendocument" TargetMode="External"/><Relationship Id="rId64" Type="http://schemas.openxmlformats.org/officeDocument/2006/relationships/hyperlink" Target="https://ifcndd.ifc.org/ifcext/spiwebsite1.nsf/78e3b305216fcdba85257a8b0075079d/e6c0affd2d4a38b9852576ba000e2b1b?opendocument" TargetMode="External"/><Relationship Id="rId69" Type="http://schemas.openxmlformats.org/officeDocument/2006/relationships/hyperlink" Target="http://www.ppiaf.org/page/results/country-write-ups" TargetMode="External"/><Relationship Id="rId113" Type="http://schemas.openxmlformats.org/officeDocument/2006/relationships/hyperlink" Target="http://www.hanshep.org/our-programmes/pilot-health-ppp-advisory-facility" TargetMode="External"/><Relationship Id="rId118" Type="http://schemas.openxmlformats.org/officeDocument/2006/relationships/hyperlink" Target="http://3GF.dk" TargetMode="External"/><Relationship Id="rId134" Type="http://schemas.openxmlformats.org/officeDocument/2006/relationships/hyperlink" Target="http://www.inthepublicinterest.org/sites/default/files/Private" TargetMode="External"/><Relationship Id="rId139" Type="http://schemas.openxmlformats.org/officeDocument/2006/relationships/hyperlink" Target="http://www.theguardian.com/politics/2012/jul/05/pfi-cost-300bn" TargetMode="External"/><Relationship Id="rId80" Type="http://schemas.openxmlformats.org/officeDocument/2006/relationships/hyperlink" Target="http://www.weforum.org/reports/innovative-water-partnerships-experiences-lessons-learned-and-proposed-way-forward" TargetMode="External"/><Relationship Id="rId85" Type="http://schemas.openxmlformats.org/officeDocument/2006/relationships/hyperlink" Target="http://www.eib.org/epec/" TargetMode="External"/><Relationship Id="rId150" Type="http://schemas.openxmlformats.org/officeDocument/2006/relationships/hyperlink" Target="http://www.adb.org/documents/public-private-partnership-operational-plan-2012-2020" TargetMode="External"/><Relationship Id="rId155" Type="http://schemas.openxmlformats.org/officeDocument/2006/relationships/hyperlink" Target="http://www.eib.org/attachments/efs/efr06n01.pdf" TargetMode="External"/><Relationship Id="rId171" Type="http://schemas.openxmlformats.org/officeDocument/2006/relationships/hyperlink" Target="http://www.boell.org/downloads/Responsible_Investment_in_Infrastructure.pdf" TargetMode="External"/><Relationship Id="rId176" Type="http://schemas.openxmlformats.org/officeDocument/2006/relationships/hyperlink" Target="http://jubileedebt.org.uk/wp-content/uploads/2013/10/Life-and-debt_Final-version_10.13.pdf" TargetMode="External"/><Relationship Id="rId192" Type="http://schemas.openxmlformats.org/officeDocument/2006/relationships/hyperlink" Target="http://www.parliament.uk/documents/commons/lib/research/rp2001/rp01-117.pdf" TargetMode="External"/><Relationship Id="rId197" Type="http://schemas.openxmlformats.org/officeDocument/2006/relationships/hyperlink" Target="http://www.hm-treasury.gov.uk/press_62_12.htm" TargetMode="External"/><Relationship Id="rId206" Type="http://schemas.openxmlformats.org/officeDocument/2006/relationships/hyperlink" Target="http://economictimes.indiatimes.com/tata-power-company-ltd/stocks/companyid-12918.cms" TargetMode="External"/><Relationship Id="rId201" Type="http://schemas.openxmlformats.org/officeDocument/2006/relationships/hyperlink" Target="http://www.infrastructureafrica.org/aicd/system/files/AIATT_Consolidated_smaller.pdf" TargetMode="External"/><Relationship Id="rId222" Type="http://schemas.openxmlformats.org/officeDocument/2006/relationships/image" Target="media/image20.png"/><Relationship Id="rId12" Type="http://schemas.openxmlformats.org/officeDocument/2006/relationships/image" Target="media/image3.emf"/><Relationship Id="rId17" Type="http://schemas.openxmlformats.org/officeDocument/2006/relationships/diagramQuickStyle" Target="diagrams/quickStyle1.xml"/><Relationship Id="rId33" Type="http://schemas.openxmlformats.org/officeDocument/2006/relationships/hyperlink" Target="http://www.weforum.org/reports/strategic-infrastructure-steps-prepare-and-accelerate-public-private-partnerships" TargetMode="External"/><Relationship Id="rId38" Type="http://schemas.openxmlformats.org/officeDocument/2006/relationships/hyperlink" Target="http://en.g20russia.ru/news/20130228/781245645.html" TargetMode="External"/><Relationship Id="rId59" Type="http://schemas.openxmlformats.org/officeDocument/2006/relationships/hyperlink" Target="https://ifcndd.ifc.org/ifcext/spiwebsite1.nsf/78e3b305216fcdba85257a8b0075079d/0653839974919c16852576ba000e2cd3?opendocument" TargetMode="External"/><Relationship Id="rId103" Type="http://schemas.openxmlformats.org/officeDocument/2006/relationships/hyperlink" Target="http://www.educationaotearoa.org.nz/all-stories/2010/9/22/see-for-yourself-the-governments-business-case-for-ppps.html." TargetMode="External"/><Relationship Id="rId108" Type="http://schemas.openxmlformats.org/officeDocument/2006/relationships/hyperlink" Target="http://www.pwc.com/gx/en/government-infrastructure/delivering-ppp-promise.jhtml" TargetMode="External"/><Relationship Id="rId124" Type="http://schemas.openxmlformats.org/officeDocument/2006/relationships/hyperlink" Target="http://www.cafod.org.uk/content/download/9496/76572/file/Channelling%20Climate%20Finance%20via%20PS%20actors_April2013.pdf" TargetMode="External"/><Relationship Id="rId129" Type="http://schemas.openxmlformats.org/officeDocument/2006/relationships/hyperlink" Target="http://www.european-services-strategy.org.uk/publications/essu-research-reports/essu-research-report-no-6-ppp-wealth-machine-u/" TargetMode="External"/><Relationship Id="rId54" Type="http://schemas.openxmlformats.org/officeDocument/2006/relationships/hyperlink" Target="https://ifcndd.ifc.org/ifcext/spiwebsite1.nsf/78e3b305216fcdba85257a8b0075079d/371c4f33cdcb6116852576dc0061e9d5?opendocument" TargetMode="External"/><Relationship Id="rId70" Type="http://schemas.openxmlformats.org/officeDocument/2006/relationships/image" Target="media/image7.jpeg"/><Relationship Id="rId75" Type="http://schemas.openxmlformats.org/officeDocument/2006/relationships/hyperlink" Target="http://www3.weforum.org/docs/WEF/WRG_Background_Impact_and_Way_Forward.pdf" TargetMode="External"/><Relationship Id="rId91" Type="http://schemas.openxmlformats.org/officeDocument/2006/relationships/hyperlink" Target="http://www.mckinsey.com/insights/mgi/research/urbanization/urban_world_cities_and_the_rise_of_the_consuming_class" TargetMode="External"/><Relationship Id="rId96" Type="http://schemas.openxmlformats.org/officeDocument/2006/relationships/hyperlink" Target="http://www.telenor.com/wp-content/uploads/2013/08/MGI_Myanmar_Full_report_June2013.pdf" TargetMode="External"/><Relationship Id="rId140" Type="http://schemas.openxmlformats.org/officeDocument/2006/relationships/image" Target="media/image11.emf"/><Relationship Id="rId145" Type="http://schemas.openxmlformats.org/officeDocument/2006/relationships/hyperlink" Target="http://www.ciltuk.org.uk/download_files/gtg026presentation.pdf" TargetMode="External"/><Relationship Id="rId161" Type="http://schemas.openxmlformats.org/officeDocument/2006/relationships/hyperlink" Target="http://www.counterbalance-eib.org/wp-content/uploads/2013/03/ME-beanFeastWeb.pdf" TargetMode="External"/><Relationship Id="rId166" Type="http://schemas.openxmlformats.org/officeDocument/2006/relationships/hyperlink" Target="http://www.eib.org/attachments/efs/econ_note_2012_ppp_and_financing_in_europe_en.pdf" TargetMode="External"/><Relationship Id="rId182" Type="http://schemas.openxmlformats.org/officeDocument/2006/relationships/hyperlink" Target="http://www.osc.state.ny.us/reports/infrastructure/p3_report_2013.pdf" TargetMode="External"/><Relationship Id="rId187" Type="http://schemas.openxmlformats.org/officeDocument/2006/relationships/hyperlink" Target="http://www.inthepublicinterest.org/sites/default/files/Private" TargetMode="External"/><Relationship Id="rId21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7.emf"/><Relationship Id="rId23" Type="http://schemas.openxmlformats.org/officeDocument/2006/relationships/hyperlink" Target="http://www.ifc.org/wps/wcm/connect/AS_EXT_Content/What+We+Do/Advisory+Services/About+Us/Public-Private+Partnerships/Publications/" TargetMode="External"/><Relationship Id="rId28" Type="http://schemas.openxmlformats.org/officeDocument/2006/relationships/hyperlink" Target="http://ec.europa.eu/economy_finance/financial_operations/investment/europe_2020/index_en.htm" TargetMode="External"/><Relationship Id="rId49" Type="http://schemas.openxmlformats.org/officeDocument/2006/relationships/hyperlink" Target="https://ifcndd.ifc.org/ifcext/spiwebsite1.nsf/78e3b305216fcdba85257a8b0075079d/b49802f2ef3a9c5585257945005fa78b?opendocument" TargetMode="External"/><Relationship Id="rId114" Type="http://schemas.openxmlformats.org/officeDocument/2006/relationships/hyperlink" Target="http://www.hanshep.org/our-programmes/african-health-markets-for-equity-ahme" TargetMode="External"/><Relationship Id="rId119" Type="http://schemas.openxmlformats.org/officeDocument/2006/relationships/hyperlink" Target="http://3gf.dk/en/~/media/3gf/Documents/Analytical%20tools/3GF%20Report%20Accelerating%20Green%20Growth%20Through%20Public-Private%20Partnerships.pdf" TargetMode="External"/><Relationship Id="rId44" Type="http://schemas.openxmlformats.org/officeDocument/2006/relationships/hyperlink" Target="https://ifcndd.ifc.org/ifcext/spiwebsite1.nsf/78e3b305216fcdba85257a8b0075079d/8245df2994845eec85257a1d0069d3d7?opendocument" TargetMode="External"/><Relationship Id="rId60" Type="http://schemas.openxmlformats.org/officeDocument/2006/relationships/hyperlink" Target="https://ifcndd.ifc.org/ifcext/spiwebsite1.nsf/78e3b305216fcdba85257a8b0075079d/b25e2397e520bf90852576ba000e2c38?opendocument" TargetMode="External"/><Relationship Id="rId65" Type="http://schemas.openxmlformats.org/officeDocument/2006/relationships/hyperlink" Target="https://ifcndd.ifc.org/ifcext/spiwebsite1.nsf/78e3b305216fcdba85257a8b0075079d/f51b220980c927c5852576c10080cd28?opendocument" TargetMode="External"/><Relationship Id="rId81" Type="http://schemas.openxmlformats.org/officeDocument/2006/relationships/hyperlink" Target="http://www3.weforum.org/docs/WEF_WI_WaterSecurity_WaterFoodEnergyClimateNexus_2011.pdf" TargetMode="External"/><Relationship Id="rId86" Type="http://schemas.openxmlformats.org/officeDocument/2006/relationships/hyperlink" Target="http://www.fhwa.dot.gov/ipd/tifia/index.htm" TargetMode="External"/><Relationship Id="rId130" Type="http://schemas.openxmlformats.org/officeDocument/2006/relationships/hyperlink" Target="http://cupe.ca/p3guide" TargetMode="External"/><Relationship Id="rId135" Type="http://schemas.openxmlformats.org/officeDocument/2006/relationships/hyperlink" Target="http://bankwatch.org/documents/never_mind_the_balance_sheet.pdf" TargetMode="External"/><Relationship Id="rId151" Type="http://schemas.openxmlformats.org/officeDocument/2006/relationships/hyperlink" Target="http://www.sciencedirect.com" TargetMode="External"/><Relationship Id="rId156" Type="http://schemas.openxmlformats.org/officeDocument/2006/relationships/hyperlink" Target="http://www.cafod.org.uk/content/download/9496/76572/file/Channelling%20Climate%20Finance%20via%20PS%20actors_April2013.pdf" TargetMode="External"/><Relationship Id="rId177" Type="http://schemas.openxmlformats.org/officeDocument/2006/relationships/hyperlink" Target="http://www.lowyinstitute.org/publications/tax-infrastructure-anti-corruption-energy-and-g20" TargetMode="External"/><Relationship Id="rId198" Type="http://schemas.openxmlformats.org/officeDocument/2006/relationships/hyperlink" Target="http://webarchive.nationalarchives.gov.uk/20130129110402/http://www.hm-treasury.gov.uk/infrastructure_public_private_partnerships.htm" TargetMode="External"/><Relationship Id="rId172" Type="http://schemas.openxmlformats.org/officeDocument/2006/relationships/hyperlink" Target="http://www.imf.org/external/np/fad/2004/pifp/eng/031204.htm" TargetMode="External"/><Relationship Id="rId193" Type="http://schemas.openxmlformats.org/officeDocument/2006/relationships/hyperlink" Target="http://www.publications.parliament.uk/pa/cm200708/cmselect/cmtran/45/45.pdf" TargetMode="External"/><Relationship Id="rId202" Type="http://schemas.openxmlformats.org/officeDocument/2006/relationships/hyperlink" Target="http://www.worldbank.org/content/dam/Worldbank/document/Poverty%20documents/WB-PREM%20financing-for-development-pub-10-11-13web.pdf" TargetMode="External"/><Relationship Id="rId207" Type="http://schemas.openxmlformats.org/officeDocument/2006/relationships/hyperlink" Target="http://economictimes.indiatimes.com/reliance-power-ltd/stocks/companyid-4422.cms" TargetMode="External"/><Relationship Id="rId223" Type="http://schemas.openxmlformats.org/officeDocument/2006/relationships/image" Target="media/image21.png"/><Relationship Id="rId13" Type="http://schemas.openxmlformats.org/officeDocument/2006/relationships/image" Target="media/image4.emf"/><Relationship Id="rId18" Type="http://schemas.openxmlformats.org/officeDocument/2006/relationships/diagramColors" Target="diagrams/colors1.xml"/><Relationship Id="rId39" Type="http://schemas.openxmlformats.org/officeDocument/2006/relationships/hyperlink" Target="http://www.worldbank.org/content/dam/Worldbank/document/Poverty%20documents/WB-PREM%20financing-for-development-pub-10-11-13web.pdf" TargetMode="External"/><Relationship Id="rId109" Type="http://schemas.openxmlformats.org/officeDocument/2006/relationships/hyperlink" Target="http://www.pwc.com/us/en/capital-projects-infrastructure/publications/public-private-partnerships.jhtml" TargetMode="External"/><Relationship Id="rId34" Type="http://schemas.openxmlformats.org/officeDocument/2006/relationships/hyperlink" Target="http://www.g20.org/g20_priorities/g20_2014_agenda/investment_and_infrastructure" TargetMode="External"/><Relationship Id="rId50" Type="http://schemas.openxmlformats.org/officeDocument/2006/relationships/hyperlink" Target="https://ifcndd.ifc.org/ifcext/spiwebsite1.nsf/78e3b305216fcdba85257a8b0075079d/b1b6707054e37c39852578a70067ba08?opendocument" TargetMode="External"/><Relationship Id="rId55" Type="http://schemas.openxmlformats.org/officeDocument/2006/relationships/hyperlink" Target="https://ifcndd.ifc.org/ifcext/spiwebsite1.nsf/78e3b305216fcdba85257a8b0075079d/7c3b758e3d0d0fc5852576ba000e2dcd?opendocument" TargetMode="External"/><Relationship Id="rId76" Type="http://schemas.openxmlformats.org/officeDocument/2006/relationships/hyperlink" Target="http://www.mckinsey.com/client_service/sustainability/latest_thinking/~/media/a7cb542c7fa24cd191964c7952ea2d81.ashx" TargetMode="External"/><Relationship Id="rId97" Type="http://schemas.openxmlformats.org/officeDocument/2006/relationships/hyperlink" Target="http://www.mckinsey.com/~/media/mckinsey/dotcom/insights/growth/us%20game%20changers/mgi_us_game_changers_full_report_july_2013.ashx" TargetMode="External"/><Relationship Id="rId104" Type="http://schemas.openxmlformats.org/officeDocument/2006/relationships/hyperlink" Target="http://www.castalia-advisors.com/files/Note-Four-Developing-a-PPP-Framework.pdf" TargetMode="External"/><Relationship Id="rId120" Type="http://schemas.openxmlformats.org/officeDocument/2006/relationships/hyperlink" Target="http://3gf.dk/en/~/media/3gf/Documents/Analytical%20tools/3GF%20Report%20Accelerating%20Green%20Growth%20Through%20Public-Private%20Partnerships.pdf" TargetMode="External"/><Relationship Id="rId125" Type="http://schemas.openxmlformats.org/officeDocument/2006/relationships/hyperlink" Target="http://www.cafod.org.uk/content/download/9569/77021/file/PPP-interactive.pdf" TargetMode="External"/><Relationship Id="rId141" Type="http://schemas.openxmlformats.org/officeDocument/2006/relationships/image" Target="media/image12.emf"/><Relationship Id="rId146" Type="http://schemas.openxmlformats.org/officeDocument/2006/relationships/header" Target="header1.xml"/><Relationship Id="rId167" Type="http://schemas.openxmlformats.org/officeDocument/2006/relationships/hyperlink" Target="http://www.eib.org/epec/resources/PPP_financed_by_EIB_1990_-_2012.pdf" TargetMode="External"/><Relationship Id="rId188" Type="http://schemas.openxmlformats.org/officeDocument/2006/relationships/hyperlink" Target="http://www.psiru.org" TargetMode="External"/><Relationship Id="rId7" Type="http://schemas.openxmlformats.org/officeDocument/2006/relationships/footnotes" Target="footnotes.xml"/><Relationship Id="rId71" Type="http://schemas.openxmlformats.org/officeDocument/2006/relationships/hyperlink" Target="http://www.ppiaf.org/page/results/monitoring-evaluation" TargetMode="External"/><Relationship Id="rId92" Type="http://schemas.openxmlformats.org/officeDocument/2006/relationships/hyperlink" Target="http://www.mckinsey.com/insights/mgi/research/natural_resources/resource_revolution" TargetMode="External"/><Relationship Id="rId162" Type="http://schemas.openxmlformats.org/officeDocument/2006/relationships/hyperlink" Target="http://www.thecornerhouse.org.uk/resource/more-bricks-and-mortar" TargetMode="External"/><Relationship Id="rId183" Type="http://schemas.openxmlformats.org/officeDocument/2006/relationships/hyperlink" Target="http://www.oecd.org/gov/budgeting/PPP-Recommendation.pdf" TargetMode="External"/><Relationship Id="rId213" Type="http://schemas.openxmlformats.org/officeDocument/2006/relationships/image" Target="media/image18.emf"/><Relationship Id="rId218"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www.ebrd.com/pages/sector/legal/concessions/ppp.shtml" TargetMode="External"/><Relationship Id="rId24" Type="http://schemas.openxmlformats.org/officeDocument/2006/relationships/hyperlink" Target="http://www.ifc.org/wps/wcm/connect/corp_ext_content/ifc_external_corporate_site/annual+report/2013_online_report/ar12_onlinereport" TargetMode="External"/><Relationship Id="rId40" Type="http://schemas.openxmlformats.org/officeDocument/2006/relationships/hyperlink" Target="http://ppi.worldbank.org/" TargetMode="External"/><Relationship Id="rId45" Type="http://schemas.openxmlformats.org/officeDocument/2006/relationships/hyperlink" Target="https://ifcndd.ifc.org/ifcext/spiwebsite1.nsf/78e3b305216fcdba85257a8b0075079d/0dd0ea74e45ff42f852579d6005ae81c?opendocument" TargetMode="External"/><Relationship Id="rId66" Type="http://schemas.openxmlformats.org/officeDocument/2006/relationships/hyperlink" Target="https://ifcndd.ifc.org/ifcext/spiwebsite1.nsf/78e3b305216fcdba85257a8b0075079d/a80415fa831d5a0e852576ba000e2a6b?opendocument" TargetMode="External"/><Relationship Id="rId87" Type="http://schemas.openxmlformats.org/officeDocument/2006/relationships/hyperlink" Target="http://www.mckinsey.com/client_service/infrastructure/expertise/investors" TargetMode="External"/><Relationship Id="rId110" Type="http://schemas.openxmlformats.org/officeDocument/2006/relationships/hyperlink" Target="http://www.pwc.com/gx/en/psrc/global/building-new-europe-infrastructure.jhtml" TargetMode="External"/><Relationship Id="rId115" Type="http://schemas.openxmlformats.org/officeDocument/2006/relationships/hyperlink" Target="http://www.hanshep.org/our-programmes/mining-public-private-partnership-study" TargetMode="External"/><Relationship Id="rId131" Type="http://schemas.openxmlformats.org/officeDocument/2006/relationships/hyperlink" Target="http://auditoriacidada.info/article/parcerias-p%C3%BAblico-privadas-no-sector-da-sa%C3%BAde" TargetMode="External"/><Relationship Id="rId136" Type="http://schemas.openxmlformats.org/officeDocument/2006/relationships/image" Target="media/image8.emf"/><Relationship Id="rId157" Type="http://schemas.openxmlformats.org/officeDocument/2006/relationships/hyperlink" Target="http://www.cafod.org.uk/content/download/9569/77021/file/PPP-interactive.pdf" TargetMode="External"/><Relationship Id="rId178" Type="http://schemas.openxmlformats.org/officeDocument/2006/relationships/hyperlink" Target="http://www.lowyinterpreter.org/post/2013/11/28/Infrastructure-overcoming-sovereign-debt-phobia.aspx" TargetMode="External"/><Relationship Id="rId61" Type="http://schemas.openxmlformats.org/officeDocument/2006/relationships/hyperlink" Target="https://ifcndd.ifc.org/ifcext/spiwebsite1.nsf/78e3b305216fcdba85257a8b0075079d/9f0d31a0efb9fc06852576ba000e2b83?opendocument" TargetMode="External"/><Relationship Id="rId82" Type="http://schemas.openxmlformats.org/officeDocument/2006/relationships/hyperlink" Target="http://www3.weforum.org/docs/GAC/2013/WEF_GAC_MidtermReports_2012-14.pdf" TargetMode="External"/><Relationship Id="rId152" Type="http://schemas.openxmlformats.org/officeDocument/2006/relationships/hyperlink" Target="http://127.0.0.1:4664/redir?url=file%3A%2F%2FD%3A%5Cbackup%5CProjects%5CBS%2DMPA%5CPPPs%5CPPPrefs%5Citaly%2Dhealth2008%2Epdf%3Fevent%5Fid%3D140739%26schema%5Fid%3D8%26q%3DPPP%2BItaly%2Bhealth%2Bregions&amp;src=1&amp;schema=8&amp;s=Xubr59OKFRYJFhKc96WsmDJvy5s" TargetMode="External"/><Relationship Id="rId173" Type="http://schemas.openxmlformats.org/officeDocument/2006/relationships/hyperlink" Target="http://www.imf.org/external/pubs/ft/scr/2011/cr11331.pdf" TargetMode="External"/><Relationship Id="rId194" Type="http://schemas.openxmlformats.org/officeDocument/2006/relationships/hyperlink" Target="http://www.publications.parliament.uk/pa/cm201012/cmselect/cmpubacc/1201/120102.htm" TargetMode="External"/><Relationship Id="rId199" Type="http://schemas.openxmlformats.org/officeDocument/2006/relationships/hyperlink" Target="http://www3.weforum.org/docs/AF13/WEF_AF13_Strategic_Infrastructure_Initiative.pdf" TargetMode="External"/><Relationship Id="rId203" Type="http://schemas.openxmlformats.org/officeDocument/2006/relationships/hyperlink" Target="http://wbi.worldbank.org/wbi/Data/wbi/wbicms/files/drupal-acquia/wbi/Disclosure%20of%20Project%20PPP.pdf" TargetMode="External"/><Relationship Id="rId208" Type="http://schemas.openxmlformats.org/officeDocument/2006/relationships/hyperlink" Target="http://economictimes.indiatimes.com/topic/PPP%20contracts" TargetMode="External"/><Relationship Id="rId19" Type="http://schemas.microsoft.com/office/2007/relationships/diagramDrawing" Target="diagrams/drawing1.xml"/><Relationship Id="rId224" Type="http://schemas.openxmlformats.org/officeDocument/2006/relationships/image" Target="media/image22.wmf"/><Relationship Id="rId14" Type="http://schemas.openxmlformats.org/officeDocument/2006/relationships/image" Target="media/image5.emf"/><Relationship Id="rId30" Type="http://schemas.openxmlformats.org/officeDocument/2006/relationships/hyperlink" Target="http://www.eib.org/epec/" TargetMode="External"/><Relationship Id="rId35" Type="http://schemas.openxmlformats.org/officeDocument/2006/relationships/hyperlink" Target="http://www.oecd.org/gov/budgeting/ppp.htm" TargetMode="External"/><Relationship Id="rId56" Type="http://schemas.openxmlformats.org/officeDocument/2006/relationships/hyperlink" Target="https://ifcndd.ifc.org/ifcext/spiwebsite1.nsf/78e3b305216fcdba85257a8b0075079d/d23d718e6e6a5d5b852576ba000e2dc5?opendocument" TargetMode="External"/><Relationship Id="rId77" Type="http://schemas.openxmlformats.org/officeDocument/2006/relationships/hyperlink" Target="http://www3.weforum.org/docs/WEF_WaterInitiative_WaterPotential_Report_2008.pdf" TargetMode="External"/><Relationship Id="rId100" Type="http://schemas.openxmlformats.org/officeDocument/2006/relationships/hyperlink" Target="http://www.justice.gov/jmd/2013justification/pdf/fy13-tax-justification.pdf" TargetMode="External"/><Relationship Id="rId105" Type="http://schemas.openxmlformats.org/officeDocument/2006/relationships/hyperlink" Target="http://www.deloitte.com/assets/Dcom-UnitedKingdom/Local%20Assets/Documents/Industries/uk-icp-global-ppp-market-2012-report.pdf" TargetMode="External"/><Relationship Id="rId126" Type="http://schemas.openxmlformats.org/officeDocument/2006/relationships/hyperlink" Target="http://www.boell.org/downloads/Responsible_Investment_in_Infrastructure.pdf" TargetMode="External"/><Relationship Id="rId147" Type="http://schemas.openxmlformats.org/officeDocument/2006/relationships/footer" Target="footer1.xml"/><Relationship Id="rId168" Type="http://schemas.openxmlformats.org/officeDocument/2006/relationships/hyperlink" Target="http://www.eib.org/epec/g2g/i-project-identification/12/125/index.htm" TargetMode="External"/><Relationship Id="rId8" Type="http://schemas.openxmlformats.org/officeDocument/2006/relationships/endnotes" Target="endnotes.xml"/><Relationship Id="rId51" Type="http://schemas.openxmlformats.org/officeDocument/2006/relationships/hyperlink" Target="https://ifcndd.ifc.org/ifcext/spiwebsite1.nsf/78e3b305216fcdba85257a8b0075079d/919a4cd7861d14f98525789c005118f8?opendocument" TargetMode="External"/><Relationship Id="rId72" Type="http://schemas.openxmlformats.org/officeDocument/2006/relationships/hyperlink" Target="file:///C:\Work\PPPs\Strategic%20Infrastructure" TargetMode="External"/><Relationship Id="rId93" Type="http://schemas.openxmlformats.org/officeDocument/2006/relationships/hyperlink" Target="http://3gf.dk/en/~/media/3gf/Documents/Analytical%20tools/3GF%20Report%20Accelerating%20Green%20Growth%20Through%20Public-Private%20Partnerships.pdf" TargetMode="External"/><Relationship Id="rId98" Type="http://schemas.openxmlformats.org/officeDocument/2006/relationships/hyperlink" Target="http://www.mckinsey.com/~/media/mckinsey/dotcom/insights%20and%20pubs/mgi/research/productivity%20competitiveness%20and%20growth/driving%20productivity%20and%20growth%20in%20the%20uk%20economy/driving_productivity_and_growth_in_uk_report.ashx" TargetMode="External"/><Relationship Id="rId121" Type="http://schemas.openxmlformats.org/officeDocument/2006/relationships/hyperlink" Target="http://3gf.dk/en/~/media/3gf/Documents/Session%20notes%203GF%202013/Latest%20PPP%20tracks%20and%20contact%20persons.pdf" TargetMode="External"/><Relationship Id="rId142" Type="http://schemas.openxmlformats.org/officeDocument/2006/relationships/image" Target="media/image13.emf"/><Relationship Id="rId163" Type="http://schemas.openxmlformats.org/officeDocument/2006/relationships/hyperlink" Target="http://cupe.ca/p3guide" TargetMode="External"/><Relationship Id="rId184" Type="http://schemas.openxmlformats.org/officeDocument/2006/relationships/hyperlink" Target="http://www.oecd.org/daf/fin/private-pensions/TrendsInLargePensionFundInvestmentInInfrastructure.pdf" TargetMode="External"/><Relationship Id="rId189" Type="http://schemas.openxmlformats.org/officeDocument/2006/relationships/hyperlink" Target="http://www.psiru.org/sites/default/files/2012-11-Corruption.docx" TargetMode="External"/><Relationship Id="rId219" Type="http://schemas.openxmlformats.org/officeDocument/2006/relationships/footer" Target="footer4.xml"/><Relationship Id="rId3" Type="http://schemas.openxmlformats.org/officeDocument/2006/relationships/styles" Target="styles.xml"/><Relationship Id="rId214" Type="http://schemas.openxmlformats.org/officeDocument/2006/relationships/hyperlink" Target="http://www.kommuninvest.org/" TargetMode="External"/><Relationship Id="rId25" Type="http://schemas.openxmlformats.org/officeDocument/2006/relationships/hyperlink" Target="http://www.afdb.org/en/topics-and-sectors/sectors/private-sector/areas-of-focus/public-private-partnerships/" TargetMode="External"/><Relationship Id="rId46" Type="http://schemas.openxmlformats.org/officeDocument/2006/relationships/hyperlink" Target="https://ifcndd.ifc.org/ifcext/spiwebsite1.nsf/78e3b305216fcdba85257a8b0075079d/0718045c6604eb7c852579a4006af850?opendocument" TargetMode="External"/><Relationship Id="rId67" Type="http://schemas.openxmlformats.org/officeDocument/2006/relationships/hyperlink" Target="https://ifcndd.ifc.org/ifcext/spiwebsite1.nsf/78e3b305216fcdba85257a8b0075079d/ad35273827cc807d852576ba000e296f?opendocument" TargetMode="External"/><Relationship Id="rId116" Type="http://schemas.openxmlformats.org/officeDocument/2006/relationships/hyperlink" Target="http://www.hanshep.org/our-programmes/global-health-investment-fund" TargetMode="External"/><Relationship Id="rId137" Type="http://schemas.openxmlformats.org/officeDocument/2006/relationships/image" Target="media/image9.jpeg"/><Relationship Id="rId158" Type="http://schemas.openxmlformats.org/officeDocument/2006/relationships/hyperlink" Target="http://bankwatch.org/documents/never_mind_the_balance_sheet.pdf" TargetMode="External"/><Relationship Id="rId20" Type="http://schemas.openxmlformats.org/officeDocument/2006/relationships/hyperlink" Target="http://ppp.worldbank.org/public-private-partnership/" TargetMode="External"/><Relationship Id="rId41" Type="http://schemas.openxmlformats.org/officeDocument/2006/relationships/hyperlink" Target="http://www.ifc.org/wps/wcm/connect/AS_EXT_Content/What+We+Do/Advisory+Services/About+Us/Public-Private+Partnerships/Publications/Handshake/" TargetMode="External"/><Relationship Id="rId62" Type="http://schemas.openxmlformats.org/officeDocument/2006/relationships/hyperlink" Target="https://ifcndd.ifc.org/ifcext/spiwebsite1.nsf/78e3b305216fcdba85257a8b0075079d/4fc2f8a6f0493e08852576ba000e2b55?opendocument" TargetMode="External"/><Relationship Id="rId83" Type="http://schemas.openxmlformats.org/officeDocument/2006/relationships/hyperlink" Target="http://www.mckinsey.com/~/media/McKinsey/dotcom/Insights%20and%20pubs/MGI/Research/Resource%20Markets/Resource%20revolution/MGI_Resource_revolution_full_report.ashx" TargetMode="External"/><Relationship Id="rId88" Type="http://schemas.openxmlformats.org/officeDocument/2006/relationships/hyperlink" Target="http://mckinseyonsociety.com/public-private-partnerships-harnessing-the-private-sectors-unique-ability-to-enhance-social-impact/" TargetMode="External"/><Relationship Id="rId111" Type="http://schemas.openxmlformats.org/officeDocument/2006/relationships/hyperlink" Target="file:///C:\Work\PPPs\report%20on%20global%20healthcare%20entitled%20" TargetMode="External"/><Relationship Id="rId132" Type="http://schemas.openxmlformats.org/officeDocument/2006/relationships/hyperlink" Target="http://www.inthepublicinterest.org/sites/default/files/privatization_guide_ONLINE.pdf" TargetMode="External"/><Relationship Id="rId153" Type="http://schemas.openxmlformats.org/officeDocument/2006/relationships/hyperlink" Target="http://dx.doi.org/10.1787/5k46n3wwxxq3-en" TargetMode="External"/><Relationship Id="rId174" Type="http://schemas.openxmlformats.org/officeDocument/2006/relationships/hyperlink" Target="http://www.imf.org/external/np/loi/2011/prt/051711.pdf" TargetMode="External"/><Relationship Id="rId179" Type="http://schemas.openxmlformats.org/officeDocument/2006/relationships/hyperlink" Target="http://www.lowyinterpreter.org/post/2013/07/01/Infrastructure-The-limits-of-PPPs.aspx" TargetMode="External"/><Relationship Id="rId195" Type="http://schemas.openxmlformats.org/officeDocument/2006/relationships/hyperlink" Target="http://www.publications.parliament.uk/pa/cm201012/cmselect/cmtreasy/1146/114602.htm" TargetMode="External"/><Relationship Id="rId209" Type="http://schemas.openxmlformats.org/officeDocument/2006/relationships/hyperlink" Target="http://economictimes.indiatimes.com/topic/Cabinet%20Committee%20on%20Economic%20Affairs" TargetMode="External"/><Relationship Id="rId190" Type="http://schemas.openxmlformats.org/officeDocument/2006/relationships/hyperlink" Target="http://www.nerinstitute.net/download/pdf/reeves_neri_2013_ppp.pdf" TargetMode="External"/><Relationship Id="rId204" Type="http://schemas.openxmlformats.org/officeDocument/2006/relationships/hyperlink" Target="http://economictimes.indiatimes.com/topic/Planning%20Commission" TargetMode="External"/><Relationship Id="rId220" Type="http://schemas.openxmlformats.org/officeDocument/2006/relationships/hyperlink" Target="http://www.oecd.org/gov/budgeting/PPP-Recommendation.pdf" TargetMode="External"/><Relationship Id="rId225" Type="http://schemas.openxmlformats.org/officeDocument/2006/relationships/fontTable" Target="fontTable.xml"/><Relationship Id="rId15" Type="http://schemas.openxmlformats.org/officeDocument/2006/relationships/diagramData" Target="diagrams/data1.xml"/><Relationship Id="rId36" Type="http://schemas.openxmlformats.org/officeDocument/2006/relationships/hyperlink" Target="http://www.oecd.org/governance/oecdprinciplesforpublicgovernanceofpublic-privatepartnerships.htm" TargetMode="External"/><Relationship Id="rId57" Type="http://schemas.openxmlformats.org/officeDocument/2006/relationships/hyperlink" Target="https://ifcndd.ifc.org/ifcext/spiwebsite1.nsf/78e3b305216fcdba85257a8b0075079d/89f42149cd9f1441852576ba000e2d93?opendocument" TargetMode="External"/><Relationship Id="rId106" Type="http://schemas.openxmlformats.org/officeDocument/2006/relationships/hyperlink" Target="http://www.ey.com/GL/en/Industries/Government---Public-Sector/Dynamics---power-to-the-people---Asia--the-infrastructure-challenge" TargetMode="External"/><Relationship Id="rId127" Type="http://schemas.openxmlformats.org/officeDocument/2006/relationships/hyperlink" Target="http://www.counterbalance-eib.org/wp-content/uploads/2013/03/ME-beanFeastWeb.pdf" TargetMode="External"/><Relationship Id="rId10" Type="http://schemas.openxmlformats.org/officeDocument/2006/relationships/image" Target="media/image1.emf"/><Relationship Id="rId31" Type="http://schemas.openxmlformats.org/officeDocument/2006/relationships/hyperlink" Target="http://www.unece.org/ceci/ppp.html" TargetMode="External"/><Relationship Id="rId52" Type="http://schemas.openxmlformats.org/officeDocument/2006/relationships/hyperlink" Target="https://ifcndd.ifc.org/ifcext/spiwebsite1.nsf/78e3b305216fcdba85257a8b0075079d/cd00e09fe2239b08852578390078ac3b?opendocument" TargetMode="External"/><Relationship Id="rId73" Type="http://schemas.openxmlformats.org/officeDocument/2006/relationships/hyperlink" Target="http://www.weforum.org/reports/strategic-infrastructure-africa-business-approach-project-acceleration" TargetMode="External"/><Relationship Id="rId78" Type="http://schemas.openxmlformats.org/officeDocument/2006/relationships/hyperlink" Target="http://www.weforum.org/pdf/ppp_education_summary.pdf" TargetMode="External"/><Relationship Id="rId94" Type="http://schemas.openxmlformats.org/officeDocument/2006/relationships/hyperlink" Target="http://www.mckinsey.com.br/LatAmExtranet/global_locations/Americas/LatAm_Office/en/PDF/MoS_Latin%20America.pdf" TargetMode="External"/><Relationship Id="rId99" Type="http://schemas.openxmlformats.org/officeDocument/2006/relationships/hyperlink" Target="http://www.justice.gov/opa/pr/2005/August/05_ag_433.html" TargetMode="External"/><Relationship Id="rId101" Type="http://schemas.openxmlformats.org/officeDocument/2006/relationships/hyperlink" Target="http://www.castalia-advisors.com/ppps.php" TargetMode="External"/><Relationship Id="rId122" Type="http://schemas.openxmlformats.org/officeDocument/2006/relationships/hyperlink" Target="http://www.leaders.com.tn/article/ce-que-les-chefs-d-entreprise-francais-ont-demande-a-la-tunisie?id=11783&amp;nuid=46646&amp;did=146" TargetMode="External"/><Relationship Id="rId143" Type="http://schemas.openxmlformats.org/officeDocument/2006/relationships/image" Target="media/image14.emf"/><Relationship Id="rId148" Type="http://schemas.openxmlformats.org/officeDocument/2006/relationships/header" Target="header2.xml"/><Relationship Id="rId164" Type="http://schemas.openxmlformats.org/officeDocument/2006/relationships/hyperlink" Target="http://www.eib.org/Attachments/efs/efr05n03.pdf" TargetMode="External"/><Relationship Id="rId169" Type="http://schemas.openxmlformats.org/officeDocument/2006/relationships/hyperlink" Target="http://www.eib.org/epec/" TargetMode="External"/><Relationship Id="rId185" Type="http://schemas.openxmlformats.org/officeDocument/2006/relationships/hyperlink" Target="http://search.oecd.org/officialdocuments/displaydocumentpdf/?cote=GOV/PGC/SBO%282013%292&amp;doclanguage=en" TargetMode="External"/><Relationship Id="rId4" Type="http://schemas.microsoft.com/office/2007/relationships/stylesWithEffects" Target="stylesWithEffects.xml"/><Relationship Id="rId9" Type="http://schemas.openxmlformats.org/officeDocument/2006/relationships/hyperlink" Target="mailto:d.j.hall@gre.ac.uk" TargetMode="External"/><Relationship Id="rId180" Type="http://schemas.openxmlformats.org/officeDocument/2006/relationships/hyperlink" Target="http://auditoriacidada.info/article/parcerias-p%C3%BAblico-privadas-no-sector-da-sa%C3%BAde" TargetMode="External"/><Relationship Id="rId210" Type="http://schemas.openxmlformats.org/officeDocument/2006/relationships/hyperlink" Target="http://economictimes.indiatimes.com/topic/World%20Bank" TargetMode="External"/><Relationship Id="rId215" Type="http://schemas.openxmlformats.org/officeDocument/2006/relationships/image" Target="media/image19.gif"/><Relationship Id="rId26" Type="http://schemas.openxmlformats.org/officeDocument/2006/relationships/hyperlink" Target="http://www.adb.org/documents/public-private-partnership-operational-plan-2012-2020" TargetMode="External"/><Relationship Id="rId47" Type="http://schemas.openxmlformats.org/officeDocument/2006/relationships/hyperlink" Target="https://ifcndd.ifc.org/ifcext/spiwebsite1.nsf/78e3b305216fcdba85257a8b0075079d/527567989dbb5792852579a3006b4c05?opendocument" TargetMode="External"/><Relationship Id="rId68" Type="http://schemas.openxmlformats.org/officeDocument/2006/relationships/hyperlink" Target="https://ifcndd.ifc.org/ifcext/spiwebsite1.nsf/78e3b305216fcdba85257a8b0075079d/f064dd1e6ebd1ece852576c10080ccf9?opendocument" TargetMode="External"/><Relationship Id="rId89" Type="http://schemas.openxmlformats.org/officeDocument/2006/relationships/hyperlink" Target="http://www.mckinsey.com/~/media/mckinsey/dotcom/insights%20and%20pubs/mgi/research/urbanization/infrastructure%20productivity/mgi_infrastructure_full_report_jan2013.ashx" TargetMode="External"/><Relationship Id="rId112" Type="http://schemas.openxmlformats.org/officeDocument/2006/relationships/chart" Target="charts/chart1.xml"/><Relationship Id="rId133" Type="http://schemas.openxmlformats.org/officeDocument/2006/relationships/hyperlink" Target="http://www.google.co.uk/url?sa=t&amp;rct=j&amp;q=&amp;esrc=s&amp;source=web&amp;cd=1&amp;cad=rja&amp;ved=0CDcQFjAA&amp;url=http%3A%2F%2Fwww.manthan-india.org%2Fspip.php%3Farticle59&amp;ei=bOXFUvHQL-rg7Qb-_oHQAQ&amp;usg=AFQjCNEznbJYss4VKWxeY-JbcwyBw5u0uQ&amp;sig2=vXNg6x8AgB-JlGMsH1YODw&amp;bvm=bv.58187178,d.ZGU" TargetMode="External"/><Relationship Id="rId154" Type="http://schemas.openxmlformats.org/officeDocument/2006/relationships/hyperlink" Target="http://www.oecd.org/chile/OECD_DEV_WP317.pdf" TargetMode="External"/><Relationship Id="rId175" Type="http://schemas.openxmlformats.org/officeDocument/2006/relationships/hyperlink" Target="http://www.inthepublicinterest.org/sites/default/files/privatization_guide_ONLINE.pdf" TargetMode="External"/><Relationship Id="rId196" Type="http://schemas.openxmlformats.org/officeDocument/2006/relationships/hyperlink" Target="http://www.parliament.uk/briefing-papers/SN01746" TargetMode="External"/><Relationship Id="rId200" Type="http://schemas.openxmlformats.org/officeDocument/2006/relationships/hyperlink" Target="http://www.christianwolmar.co.uk/2010/05/rail-644-why-the-ppp-was-doomed-from-the-start/" TargetMode="External"/><Relationship Id="rId16" Type="http://schemas.openxmlformats.org/officeDocument/2006/relationships/diagramLayout" Target="diagrams/layout1.xml"/><Relationship Id="rId221" Type="http://schemas.openxmlformats.org/officeDocument/2006/relationships/hyperlink" Target="http://www.osc.state.ny.us/reports/infrastructure/p3_report_2013.pdf" TargetMode="External"/><Relationship Id="rId37" Type="http://schemas.openxmlformats.org/officeDocument/2006/relationships/image" Target="media/image6.emf"/><Relationship Id="rId58" Type="http://schemas.openxmlformats.org/officeDocument/2006/relationships/hyperlink" Target="https://ifcndd.ifc.org/ifcext/spiwebsite1.nsf/78e3b305216fcdba85257a8b0075079d/bdf12b99d05101c7852576ba000e2d3f?opendocument" TargetMode="External"/><Relationship Id="rId79" Type="http://schemas.openxmlformats.org/officeDocument/2006/relationships/hyperlink" Target="http://www.weforum.org/pdf/GHI/Partnerships_health.pdf" TargetMode="External"/><Relationship Id="rId102" Type="http://schemas.openxmlformats.org/officeDocument/2006/relationships/hyperlink" Target="http://www.ppiaf.org/ppiaf/sites/ppiaf.org/files/publication/Public-Private-Partnerships-Reference-Guide.pdf" TargetMode="External"/><Relationship Id="rId123" Type="http://schemas.openxmlformats.org/officeDocument/2006/relationships/hyperlink" Target="http://jubileedebt.org.uk/wp-content/uploads/2013/10/Life-and-debt_Final-version_10.13.pdf" TargetMode="External"/><Relationship Id="rId144" Type="http://schemas.openxmlformats.org/officeDocument/2006/relationships/image" Target="media/image15.emf"/><Relationship Id="rId90" Type="http://schemas.openxmlformats.org/officeDocument/2006/relationships/hyperlink" Target="http://www.mckinsey.com/~/media/mckinsey/dotcom/client_service/infrastructure/pdfs/how_to_make_a_city_great_v2.ashx" TargetMode="External"/><Relationship Id="rId165" Type="http://schemas.openxmlformats.org/officeDocument/2006/relationships/hyperlink" Target="http://www.european-services-strategy.org.uk/publications/essu-research-reports/essu-research-report-no-6-ppp-wealth-machine-u/" TargetMode="External"/><Relationship Id="rId186" Type="http://schemas.openxmlformats.org/officeDocument/2006/relationships/hyperlink" Target="http://www.sciencedirect.com/science?_ob=JournalURL&amp;_cdi=12893&amp;_auth=y&amp;_acct=C000027518&amp;_version=1&amp;_urlVersion=0&amp;_userid=634187&amp;md5=c5218be5e9f78f1fd27ddb01b951c843"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www.afdb.org/en/topics-and-sectors/initiatives-partnerships/health-in-africa-fund/" TargetMode="External"/><Relationship Id="rId21" Type="http://schemas.openxmlformats.org/officeDocument/2006/relationships/hyperlink" Target="http://www.iea.org/weo/docs/weo2010/weo2010_poverty.pdf" TargetMode="External"/><Relationship Id="rId42" Type="http://schemas.openxmlformats.org/officeDocument/2006/relationships/hyperlink" Target="https://ifcndd.ifc.org/ifcext/spiwebsite1.nsf/78e3b305216fcdba85257a8b0075079d/0dd0ea74e45ff42f852579d6005ae81c?opendocument" TargetMode="External"/><Relationship Id="rId63" Type="http://schemas.openxmlformats.org/officeDocument/2006/relationships/hyperlink" Target="http://www.g20.org/sites/default/files/g20_resources/library/G20Australia2014conceptpaper.pdf" TargetMode="External"/><Relationship Id="rId84" Type="http://schemas.openxmlformats.org/officeDocument/2006/relationships/hyperlink" Target="http://economia.estadao.com.br/noticias/economia-brasil,aposta-para-melhorar-infraestrutura-so-11-ppps-estao-em-operacao-no-brasil,170241,0.htm" TargetMode="External"/><Relationship Id="rId138" Type="http://schemas.openxmlformats.org/officeDocument/2006/relationships/hyperlink" Target="http://www.asktheeu.org/en/request/432/response/1478/attach/2/Final%20Report.pdf" TargetMode="External"/><Relationship Id="rId159" Type="http://schemas.openxmlformats.org/officeDocument/2006/relationships/hyperlink" Target="http://www.thomaswhite.com/explore-the-world/postcard/2010/privatization-in-egypt.aspx" TargetMode="External"/><Relationship Id="rId170" Type="http://schemas.openxmlformats.org/officeDocument/2006/relationships/hyperlink" Target="http://www.cesifo-group.de/portal/page/portal/ifoHome/b-publ/b2journal/30publforum/_publforum?item_link=forumindex4-07.htm" TargetMode="External"/><Relationship Id="rId191" Type="http://schemas.openxmlformats.org/officeDocument/2006/relationships/hyperlink" Target="http://www1.fidic.org/resources/contracts/describe/FC-QB-A-AA-10.asp?back=/bookshop/prod_page.asp&amp;ProductCode=FC-QB-A-AA-09&amp;price=30" TargetMode="External"/><Relationship Id="rId205" Type="http://schemas.openxmlformats.org/officeDocument/2006/relationships/hyperlink" Target="http://www.leparisien.fr/economie/grands-travaux-une-bombe-a-retardement-de-60-mdseur-09-01-2012-1803940.php" TargetMode="External"/><Relationship Id="rId226" Type="http://schemas.openxmlformats.org/officeDocument/2006/relationships/hyperlink" Target="http://www.parliament.uk/briefing-papers/SN01746" TargetMode="External"/><Relationship Id="rId247" Type="http://schemas.openxmlformats.org/officeDocument/2006/relationships/hyperlink" Target="http://www.firstpost.com/politics/kejriwal-takes-on-sheila-dikshit-again-this-time-on-electricity-610673.html?utm_source=ref_article" TargetMode="External"/><Relationship Id="rId107" Type="http://schemas.openxmlformats.org/officeDocument/2006/relationships/hyperlink" Target="http://www.mckinsey.com/client_service/infrastructure/expertise/investors" TargetMode="External"/><Relationship Id="rId268" Type="http://schemas.openxmlformats.org/officeDocument/2006/relationships/hyperlink" Target="http://www.kommuninvest.org/" TargetMode="External"/><Relationship Id="rId289" Type="http://schemas.openxmlformats.org/officeDocument/2006/relationships/hyperlink" Target="http://wbi.worldbank.org/wbi/Data/wbi/wbicms/files/drupal-acquia/wbi/Disclosure%20of%20Project%20PPP.pdf" TargetMode="External"/><Relationship Id="rId11" Type="http://schemas.openxmlformats.org/officeDocument/2006/relationships/hyperlink" Target="http://search.oecd.org/officialdocuments/displaydocumentpdf/?cote=GOV/PGC/SBO%282013%292&amp;doclanguage=en" TargetMode="External"/><Relationship Id="rId32" Type="http://schemas.openxmlformats.org/officeDocument/2006/relationships/hyperlink" Target="http://pimac.kdi.re.kr/eng/new/event_list7.jsp" TargetMode="External"/><Relationship Id="rId53" Type="http://schemas.openxmlformats.org/officeDocument/2006/relationships/hyperlink" Target="http://www.pidg.org/impact/case-studies/calidda-case-study" TargetMode="External"/><Relationship Id="rId74" Type="http://schemas.openxmlformats.org/officeDocument/2006/relationships/hyperlink" Target="http://europa.eu/rapid/press-release_SPEECH-12-789_en.htm?locale=en" TargetMode="External"/><Relationship Id="rId128" Type="http://schemas.openxmlformats.org/officeDocument/2006/relationships/hyperlink" Target="http://globalhealthsciences.ucsf.edu/news-events/ucsf-and-pwc-publish-case-study-on-innovative-public-private-partnership-in-lesotho" TargetMode="External"/><Relationship Id="rId149" Type="http://schemas.openxmlformats.org/officeDocument/2006/relationships/hyperlink" Target="http://www.psiru.org" TargetMode="External"/><Relationship Id="rId5" Type="http://schemas.openxmlformats.org/officeDocument/2006/relationships/hyperlink" Target="http://www.imf.org/external/np/fad/2004/pifp/eng/PIFP.pdf" TargetMode="External"/><Relationship Id="rId95" Type="http://schemas.openxmlformats.org/officeDocument/2006/relationships/hyperlink" Target="http://www.bloomberg.com/news/2013-11-27/private-toll-road-investors-shift-revenue-risk-to-states.html" TargetMode="External"/><Relationship Id="rId160" Type="http://schemas.openxmlformats.org/officeDocument/2006/relationships/hyperlink" Target="http://www.sciencedirect.com" TargetMode="External"/><Relationship Id="rId181" Type="http://schemas.openxmlformats.org/officeDocument/2006/relationships/hyperlink" Target="http://www.ft.com/cms/s/0/fad6b776-a116-11e2-990c-00144feabdc0.html" TargetMode="External"/><Relationship Id="rId216" Type="http://schemas.openxmlformats.org/officeDocument/2006/relationships/hyperlink" Target="http://www.publications.parliament.uk/pa/cm201012/cmselect/cmtreasy/1146/1146we05.htm" TargetMode="External"/><Relationship Id="rId237" Type="http://schemas.openxmlformats.org/officeDocument/2006/relationships/hyperlink" Target="http://www.thelawyer.com/does-failure-of-tfl-deals-spell-the-end-of-the-line-for-ppp-bonanza/1005403.article" TargetMode="External"/><Relationship Id="rId258" Type="http://schemas.openxmlformats.org/officeDocument/2006/relationships/hyperlink" Target="http://www.imf.org/external/np/loi/2011/prt/051711.pdf" TargetMode="External"/><Relationship Id="rId279" Type="http://schemas.openxmlformats.org/officeDocument/2006/relationships/hyperlink" Target="http://www.ipfa.org/events/6461/ipfa-africa-nigeria-investing-nigerian-pension-funds-in-ppp-projects-the-key-drivers" TargetMode="External"/><Relationship Id="rId22" Type="http://schemas.openxmlformats.org/officeDocument/2006/relationships/hyperlink" Target="http://www.psiru.org" TargetMode="External"/><Relationship Id="rId43" Type="http://schemas.openxmlformats.org/officeDocument/2006/relationships/hyperlink" Target="http://newsinfo.inquirer.net/source/philippine-daily-inquirer" TargetMode="External"/><Relationship Id="rId64" Type="http://schemas.openxmlformats.org/officeDocument/2006/relationships/hyperlink" Target="http://www.lowyinstitute.org/publications/think20-papers-2014-G20" TargetMode="External"/><Relationship Id="rId118" Type="http://schemas.openxmlformats.org/officeDocument/2006/relationships/hyperlink" Target="http://www.ifc.org/wps/wcm/connect/371fad804e4a94708c54ac7a9dd66321/Health+Services+and+Life+Sciences_062413_v5.pdf?MOD=AJPERES" TargetMode="External"/><Relationship Id="rId139" Type="http://schemas.openxmlformats.org/officeDocument/2006/relationships/hyperlink" Target="http://www.imf.org/external/np/loi/2011/slv/093011.pdf" TargetMode="External"/><Relationship Id="rId85" Type="http://schemas.openxmlformats.org/officeDocument/2006/relationships/hyperlink" Target="http://www.pppbrasil.com.br/portal/content/paran%C3%A1-analisa-projeto-de-lei-sobre-garantias-do-poder-concedente-%C3%A0s-concession%C3%A1rias-de-ppps" TargetMode="External"/><Relationship Id="rId150" Type="http://schemas.openxmlformats.org/officeDocument/2006/relationships/hyperlink" Target="http://www.psiru.org/reports/9909-U-U-Corrup.doc" TargetMode="External"/><Relationship Id="rId171" Type="http://schemas.openxmlformats.org/officeDocument/2006/relationships/hyperlink" Target="http://eng.som.pu.ru/files/upload/research/conferences/ps_reform/2007/ASPE_Conference_Program_eng.pdf" TargetMode="External"/><Relationship Id="rId192" Type="http://schemas.openxmlformats.org/officeDocument/2006/relationships/hyperlink" Target="http://www.publications.parliament.uk/pa/cm201012/cmselect/cmtreasy/1146/114602.htm" TargetMode="External"/><Relationship Id="rId206" Type="http://schemas.openxmlformats.org/officeDocument/2006/relationships/hyperlink" Target="http://www.parliament.uk/briefing-papers/SN01746" TargetMode="External"/><Relationship Id="rId227" Type="http://schemas.openxmlformats.org/officeDocument/2006/relationships/hyperlink" Target="http://www.publications.parliament.uk/pa/cm201012/cmselect/cmtreasy/1146/1146we05.htm" TargetMode="External"/><Relationship Id="rId248" Type="http://schemas.openxmlformats.org/officeDocument/2006/relationships/hyperlink" Target="http://www.preventionweb.net/english/hyogo/gar/2013/en/home/index.html" TargetMode="External"/><Relationship Id="rId269" Type="http://schemas.openxmlformats.org/officeDocument/2006/relationships/hyperlink" Target="https://www.nwbbank.com/en/press-releases/annual-results-2012/" TargetMode="External"/><Relationship Id="rId12" Type="http://schemas.openxmlformats.org/officeDocument/2006/relationships/hyperlink" Target="http://www.eib.org/attachments/efs/econ_note_2012_ppp_and_financing_in_europe_en.pdf" TargetMode="External"/><Relationship Id="rId33" Type="http://schemas.openxmlformats.org/officeDocument/2006/relationships/hyperlink" Target="http://pimac.kdi.re.kr/eng/new/event_list7.jsp" TargetMode="External"/><Relationship Id="rId108" Type="http://schemas.openxmlformats.org/officeDocument/2006/relationships/hyperlink" Target="http://www.sciencedirect.com/science/article/pii/S036136820900018X" TargetMode="External"/><Relationship Id="rId129" Type="http://schemas.openxmlformats.org/officeDocument/2006/relationships/hyperlink" Target="http://www.psiru.org/sites/default/files/2012-11-Corruption.docx" TargetMode="External"/><Relationship Id="rId280" Type="http://schemas.openxmlformats.org/officeDocument/2006/relationships/hyperlink" Target="http://www.ipfa.org/events/6461/ipfa-africa-nigeria-investing-nigerian-pension-funds-in-ppp-projects-the-key-drivers" TargetMode="External"/><Relationship Id="rId54" Type="http://schemas.openxmlformats.org/officeDocument/2006/relationships/hyperlink" Target="http://ifcext.ifc.org/ifcext/spiwebsite1.nsf/ProjectDisplay/SPI_DP28031" TargetMode="External"/><Relationship Id="rId75" Type="http://schemas.openxmlformats.org/officeDocument/2006/relationships/hyperlink" Target="http://europa.eu/rapid/press-release_SPEECH-12-789_en.htm?locale=en" TargetMode="External"/><Relationship Id="rId96" Type="http://schemas.openxmlformats.org/officeDocument/2006/relationships/hyperlink" Target="http://www.robbain.com/Toll%20Roads.pdf" TargetMode="External"/><Relationship Id="rId140" Type="http://schemas.openxmlformats.org/officeDocument/2006/relationships/hyperlink" Target="http://jubileedebt.org.uk/wp-content/uploads/2013/10/Life-and-debt_Final-version_10.13.pdf" TargetMode="External"/><Relationship Id="rId161" Type="http://schemas.openxmlformats.org/officeDocument/2006/relationships/hyperlink" Target="http://127.0.0.1:4664/redir?url=file%3A%2F%2FD%3A%5Cbackup%5CProjects%5CBS%2DMPA%5CPPPs%5CPPPrefs%5Citaly%2Dhealth2008%2Epdf%3Fevent%5Fid%3D140739%26schema%5Fid%3D8%26q%3DPPP%2BItaly%2Bhealth%2Bregions&amp;src=1&amp;schema=8&amp;s=Xubr59OKFRYJFhKc96WsmDJvy5s" TargetMode="External"/><Relationship Id="rId182" Type="http://schemas.openxmlformats.org/officeDocument/2006/relationships/hyperlink" Target="http://www.ft.com/cms/s/0/b5a2046e-a042-11e2-a6e1-00144feabdc0.html" TargetMode="External"/><Relationship Id="rId217" Type="http://schemas.openxmlformats.org/officeDocument/2006/relationships/hyperlink" Target="http://www.tfl.gov.uk/corporate/media/newscentre/archive/25518.aspx" TargetMode="External"/><Relationship Id="rId6" Type="http://schemas.openxmlformats.org/officeDocument/2006/relationships/hyperlink" Target="http://www.eib.org/epec/resources/efr_epec_ppp_report.pdf" TargetMode="External"/><Relationship Id="rId238" Type="http://schemas.openxmlformats.org/officeDocument/2006/relationships/hyperlink" Target="http://www.economist.com/news/finance-and-economics/21568397-indias-love-affair-public-private-partnerships-faces-stern-test-rippp" TargetMode="External"/><Relationship Id="rId259" Type="http://schemas.openxmlformats.org/officeDocument/2006/relationships/hyperlink" Target="http://ec.europa.eu/economy_finance/publications/occasional_paper/2012/pdf/ocp124_en.pdf" TargetMode="External"/><Relationship Id="rId23" Type="http://schemas.openxmlformats.org/officeDocument/2006/relationships/hyperlink" Target="http://www.worldbank.org/en/news/feature/2013/03/19/indonesia-economic-quarterly-pressures-mounting" TargetMode="External"/><Relationship Id="rId119" Type="http://schemas.openxmlformats.org/officeDocument/2006/relationships/hyperlink" Target="http://www.ifhafund.com/" TargetMode="External"/><Relationship Id="rId270" Type="http://schemas.openxmlformats.org/officeDocument/2006/relationships/hyperlink" Target="http://www.jfm.go.jp/en/about/" TargetMode="External"/><Relationship Id="rId44" Type="http://schemas.openxmlformats.org/officeDocument/2006/relationships/hyperlink" Target="http://newsinfo.inquirer.net/471603/olongapo-starts-paying-up-power-debts" TargetMode="External"/><Relationship Id="rId65" Type="http://schemas.openxmlformats.org/officeDocument/2006/relationships/hyperlink" Target="http://www.lowyinterpreter.org/post/2013/11/28/Infrastructure-overcoming-sovereign-debt-phobia.aspx" TargetMode="External"/><Relationship Id="rId86" Type="http://schemas.openxmlformats.org/officeDocument/2006/relationships/hyperlink" Target="http://www.portosenavios.com.br/geral/21562-estados-buscam-novos-recursos-para-ampliar-investimento-em-ppps" TargetMode="External"/><Relationship Id="rId130" Type="http://schemas.openxmlformats.org/officeDocument/2006/relationships/hyperlink" Target="http://www.imf.org/external/np/seminars/eng/2013/caribbean/pdf/ppps.pdf" TargetMode="External"/><Relationship Id="rId151" Type="http://schemas.openxmlformats.org/officeDocument/2006/relationships/hyperlink" Target="http://www.againstcorruption.org/briberycase.asp?id=721" TargetMode="External"/><Relationship Id="rId172" Type="http://schemas.openxmlformats.org/officeDocument/2006/relationships/hyperlink" Target="http://www.osc.state.ny.us/reports/infrastructure/p3_report_2013.pdf" TargetMode="External"/><Relationship Id="rId193" Type="http://schemas.openxmlformats.org/officeDocument/2006/relationships/hyperlink" Target="http://www.publications.parliament.uk/pa/cm201012/cmselect/cmtreasy/1146/114602.htm" TargetMode="External"/><Relationship Id="rId207" Type="http://schemas.openxmlformats.org/officeDocument/2006/relationships/hyperlink" Target="http://www.thelawyer.com/does-failure-of-tfl-deals-spell-the-end-of-the-line-for-ppp-bonanza/1005403.article" TargetMode="External"/><Relationship Id="rId228" Type="http://schemas.openxmlformats.org/officeDocument/2006/relationships/hyperlink" Target="http://propertiesforlondon.co.uk/2011/12/12/tfl-to-acquire-docklands-light-railway-pfi-concessionaries/" TargetMode="External"/><Relationship Id="rId249" Type="http://schemas.openxmlformats.org/officeDocument/2006/relationships/hyperlink" Target="http://www.downtoearth.org.in/content/participation-or-takeover" TargetMode="External"/><Relationship Id="rId13" Type="http://schemas.openxmlformats.org/officeDocument/2006/relationships/hyperlink" Target="http://search.oecd.org/officialdocuments/displaydocumentpdf/?cote=GOV/PGC/SBO%282013%292&amp;doclanguage=en" TargetMode="External"/><Relationship Id="rId109" Type="http://schemas.openxmlformats.org/officeDocument/2006/relationships/hyperlink" Target="http://www.theguardian.com/commentisfree/2012/dec/10/end-tax-scams-by-hitting-big-four" TargetMode="External"/><Relationship Id="rId260" Type="http://schemas.openxmlformats.org/officeDocument/2006/relationships/hyperlink" Target="http://auditoriacidada.info/article/parcerias-p%C3%BAblico-privadas-no-sector-da-sa%C3%BAde" TargetMode="External"/><Relationship Id="rId281" Type="http://schemas.openxmlformats.org/officeDocument/2006/relationships/hyperlink" Target="http://pdf.usaid.gov/pdf_docs/PNADN511.pdf" TargetMode="External"/><Relationship Id="rId34" Type="http://schemas.openxmlformats.org/officeDocument/2006/relationships/hyperlink" Target="http://pimac.kdi.re.kr/eng/new/event_list7.jsp" TargetMode="External"/><Relationship Id="rId50" Type="http://schemas.openxmlformats.org/officeDocument/2006/relationships/hyperlink" Target="http://www.afdb.org/fileadmin/uploads/afdb/Documents/Environmental-and-Social-Assessments/Addax%20Bioenergy%20-%20ESHIA%20summary%20-%20Final%20EN.pdf" TargetMode="External"/><Relationship Id="rId55" Type="http://schemas.openxmlformats.org/officeDocument/2006/relationships/hyperlink" Target="http://www.ppiaf.org/sites/ppiaf.org/files/publication/PPIAF-Annual-Report-2013-Final.pdf" TargetMode="External"/><Relationship Id="rId76" Type="http://schemas.openxmlformats.org/officeDocument/2006/relationships/hyperlink" Target="http://tentea.ec.europa.eu/download/events/2013PPPworkshop/presentations/3ouaki.pdf" TargetMode="External"/><Relationship Id="rId97" Type="http://schemas.openxmlformats.org/officeDocument/2006/relationships/hyperlink" Target="http://timesofindia.indiatimes.com/business/india-business/Public-private-projects-have-problems-Montek-Singh-Ahluwalia/articleshow/22131210.cms" TargetMode="External"/><Relationship Id="rId104" Type="http://schemas.openxmlformats.org/officeDocument/2006/relationships/hyperlink" Target="http://www.ft.com/cms/s/0/4fd1e216-9441-11e1-bb47-00144feab49a.html" TargetMode="External"/><Relationship Id="rId120" Type="http://schemas.openxmlformats.org/officeDocument/2006/relationships/hyperlink" Target="http://www.privateequityafrica.com/funds/aureos-health-fund-closes-at-105-4m/" TargetMode="External"/><Relationship Id="rId125" Type="http://schemas.openxmlformats.org/officeDocument/2006/relationships/hyperlink" Target="http://www.globalhealthcheck.org/?author=11" TargetMode="External"/><Relationship Id="rId141" Type="http://schemas.openxmlformats.org/officeDocument/2006/relationships/hyperlink" Target="http://www.cispes.org/blog/US-ambassador-ransoms-aid-for-passage-of-public-private-partnerships-law/" TargetMode="External"/><Relationship Id="rId146" Type="http://schemas.openxmlformats.org/officeDocument/2006/relationships/hyperlink" Target="http://www.webssa.net/files/chongetal2006_s9.pdf" TargetMode="External"/><Relationship Id="rId167" Type="http://schemas.openxmlformats.org/officeDocument/2006/relationships/hyperlink" Target="http://go.worldbank.org/69VJOM9P90" TargetMode="External"/><Relationship Id="rId188" Type="http://schemas.openxmlformats.org/officeDocument/2006/relationships/hyperlink" Target="http://enr.construction.com/yb/enr/article.aspx?story_id=193523370" TargetMode="External"/><Relationship Id="rId7" Type="http://schemas.openxmlformats.org/officeDocument/2006/relationships/hyperlink" Target="http://search.oecd.org/officialdocuments/displaydocumentpdf/?cote=GOV/PGC/SBO%282013%292&amp;doclanguage=en" TargetMode="External"/><Relationship Id="rId71" Type="http://schemas.openxmlformats.org/officeDocument/2006/relationships/hyperlink" Target="http://www.eib.org/epec/g2g/i-project-identification/12/125/index.htm" TargetMode="External"/><Relationship Id="rId92" Type="http://schemas.openxmlformats.org/officeDocument/2006/relationships/hyperlink" Target="http://www.iifcl.org/Content/profile.aspx" TargetMode="External"/><Relationship Id="rId162" Type="http://schemas.openxmlformats.org/officeDocument/2006/relationships/hyperlink" Target="http://papers.ssrn.com/sol3/papers.cfm?abstract_id=1432606" TargetMode="External"/><Relationship Id="rId183" Type="http://schemas.openxmlformats.org/officeDocument/2006/relationships/hyperlink" Target="http://www.publications.parliament.uk/pa/cm201012/cmselect/cmtreasy/1146/114602.htm" TargetMode="External"/><Relationship Id="rId213" Type="http://schemas.openxmlformats.org/officeDocument/2006/relationships/hyperlink" Target="http://www.thelawyer.com/does-failure-of-tfl-deals-spell-the-end-of-the-line-for-ppp-bonanza/1005403.article" TargetMode="External"/><Relationship Id="rId218" Type="http://schemas.openxmlformats.org/officeDocument/2006/relationships/hyperlink" Target="http://www.railwaygazette.com/news/single-view/view/london-underground-pulls-the-plug-on-powerlink-pfi.html" TargetMode="External"/><Relationship Id="rId234" Type="http://schemas.openxmlformats.org/officeDocument/2006/relationships/hyperlink" Target="http://www.publications.parliament.uk/pa/cm201012/cmselect/cmtreasy/1146/1146we05.htm" TargetMode="External"/><Relationship Id="rId239" Type="http://schemas.openxmlformats.org/officeDocument/2006/relationships/hyperlink" Target="http://articles.economictimes.indiatimes.com/2013-10-14/news/43027188_1_renegotiation-public-private-partnership-projects-ultra-mega-power-projects" TargetMode="External"/><Relationship Id="rId2" Type="http://schemas.openxmlformats.org/officeDocument/2006/relationships/hyperlink" Target="http://europa.eu.int/comm/economy_finance/publications/european_economy/2003/ee303en.pdf" TargetMode="External"/><Relationship Id="rId29" Type="http://schemas.openxmlformats.org/officeDocument/2006/relationships/hyperlink" Target="http://www.oecd.org/gov/regulatory-policy/Chap%206%20PPPs.pdf" TargetMode="External"/><Relationship Id="rId250" Type="http://schemas.openxmlformats.org/officeDocument/2006/relationships/hyperlink" Target="http://www.hoganlovells.com/files/Publication/ef6ff8d4-c4f0-4e0e-adf5-2e36ac1bbea1/Presentation/PublicationAttachment/882619d4-3efd-4f2d-ac28-5b7fa990fdf4/LALBR.pdf" TargetMode="External"/><Relationship Id="rId255" Type="http://schemas.openxmlformats.org/officeDocument/2006/relationships/hyperlink" Target="http://www.transportes.gov.br/public/arquivo/arq1336655345.pdf" TargetMode="External"/><Relationship Id="rId271" Type="http://schemas.openxmlformats.org/officeDocument/2006/relationships/hyperlink" Target="http://www.lgfa.co.nz/" TargetMode="External"/><Relationship Id="rId276" Type="http://schemas.openxmlformats.org/officeDocument/2006/relationships/hyperlink" Target="http://www.ft.com/cms/s/0/df996ef6-ad5e-11e1-bb8e-00144feabdc0.html" TargetMode="External"/><Relationship Id="rId24" Type="http://schemas.openxmlformats.org/officeDocument/2006/relationships/hyperlink" Target="http://www.lowyinstitute.org/publications/tax-infrastructure-anti-corruption-energy-and-g20" TargetMode="External"/><Relationship Id="rId40" Type="http://schemas.openxmlformats.org/officeDocument/2006/relationships/hyperlink" Target="http://www.ifc.org/wps/wcm/connect/corp_ext_content/ifc_external_corporate_site/annual+report/2013_online_report/2013_printed_report/ar2013" TargetMode="External"/><Relationship Id="rId45" Type="http://schemas.openxmlformats.org/officeDocument/2006/relationships/hyperlink" Target="http://www.tiranatimes.com/news.php?id=14633&amp;cat=2" TargetMode="External"/><Relationship Id="rId66" Type="http://schemas.openxmlformats.org/officeDocument/2006/relationships/hyperlink" Target="http://www.lowyinterpreter.org/post/2013/07/01/Infrastructure-The-limits-of-PPPs.aspx" TargetMode="External"/><Relationship Id="rId87" Type="http://schemas.openxmlformats.org/officeDocument/2006/relationships/hyperlink" Target="http://www.hm-treasury.gov.uk/press_62_12.htm" TargetMode="External"/><Relationship Id="rId110" Type="http://schemas.openxmlformats.org/officeDocument/2006/relationships/hyperlink" Target="http://www.theguardian.com/commentisfree/2012/dec/08/predatory-practices-accountancy-firms?guni=Article:in%20body%20link" TargetMode="External"/><Relationship Id="rId115" Type="http://schemas.openxmlformats.org/officeDocument/2006/relationships/hyperlink" Target="http://www.ifc.org/wps/wcm/connect/industry_ext_content/ifc_external_corporate_site/industries/financial+markets/news/healthafricafeature" TargetMode="External"/><Relationship Id="rId131" Type="http://schemas.openxmlformats.org/officeDocument/2006/relationships/hyperlink" Target="http://dbankjm.com/files/tion_of_a_Public-Private_Partnership_Program.pdf" TargetMode="External"/><Relationship Id="rId136" Type="http://schemas.openxmlformats.org/officeDocument/2006/relationships/hyperlink" Target="http://www.eib.org/attachments/general/events/d-donnell.pdf" TargetMode="External"/><Relationship Id="rId157" Type="http://schemas.openxmlformats.org/officeDocument/2006/relationships/hyperlink" Target="http://www.publications.parliament.uk/pa/cm201012/cmselect/cmpubacc/1201/120102.htm" TargetMode="External"/><Relationship Id="rId178" Type="http://schemas.openxmlformats.org/officeDocument/2006/relationships/hyperlink" Target="http://www.publications.parliament.uk/pa/cm201012/cmselect/cmpubacc/1201/120102.htm" TargetMode="External"/><Relationship Id="rId61" Type="http://schemas.openxmlformats.org/officeDocument/2006/relationships/hyperlink" Target="http://www.g20.org/news/20130228/781245645.html" TargetMode="External"/><Relationship Id="rId82" Type="http://schemas.openxmlformats.org/officeDocument/2006/relationships/hyperlink" Target="http://www.ebrd.com/downloads/news/eecis.pdf" TargetMode="External"/><Relationship Id="rId152" Type="http://schemas.openxmlformats.org/officeDocument/2006/relationships/hyperlink" Target="http://articles.economictimes.indiatimes.com/2013-06-03/news/39714786_1_public-procurement-bill-corruption-private-partners" TargetMode="External"/><Relationship Id="rId173" Type="http://schemas.openxmlformats.org/officeDocument/2006/relationships/hyperlink" Target="http://www.nku.cz/seminars/eurosai-prague-2006/documents/MAJER_DiscussionGroup3_Report.ppt" TargetMode="External"/><Relationship Id="rId194" Type="http://schemas.openxmlformats.org/officeDocument/2006/relationships/hyperlink" Target="http://www.sciencedirect.com/science?_ob=JournalURL&amp;_cdi=12893&amp;_auth=y&amp;_acct=C000027518&amp;_version=1&amp;_urlVersion=0&amp;_userid=634187&amp;md5=c5218be5e9f78f1fd27ddb01b951c843" TargetMode="External"/><Relationship Id="rId199" Type="http://schemas.openxmlformats.org/officeDocument/2006/relationships/hyperlink" Target="http://www.cepremap.ens.fr/depot/docweb/docweb1104.pdf" TargetMode="External"/><Relationship Id="rId203" Type="http://schemas.openxmlformats.org/officeDocument/2006/relationships/hyperlink" Target="http://www.hks.harvard.edu/taubmancenter/pdfs/working_papers/gomezibanez_04_infrastructure.pdf" TargetMode="External"/><Relationship Id="rId208" Type="http://schemas.openxmlformats.org/officeDocument/2006/relationships/hyperlink" Target="http://www.economist.com/node/16113111" TargetMode="External"/><Relationship Id="rId229" Type="http://schemas.openxmlformats.org/officeDocument/2006/relationships/hyperlink" Target="http://www.economist.com/node/16113111" TargetMode="External"/><Relationship Id="rId19" Type="http://schemas.openxmlformats.org/officeDocument/2006/relationships/hyperlink" Target="http://www.infrastructureafrica.org/aicd/system/files/AIATT_Consolidated_smaller.pdf" TargetMode="External"/><Relationship Id="rId224" Type="http://schemas.openxmlformats.org/officeDocument/2006/relationships/hyperlink" Target="http://www.railway-technology.com/features/featurepay-as-you-grow-funding-proposed-northern-line-extension/" TargetMode="External"/><Relationship Id="rId240" Type="http://schemas.openxmlformats.org/officeDocument/2006/relationships/hyperlink" Target="http://www.downtoearth.org.in/content/profitable-exit" TargetMode="External"/><Relationship Id="rId245" Type="http://schemas.openxmlformats.org/officeDocument/2006/relationships/hyperlink" Target="http://www.downtoearth.org.in/content/india-launches-vaccine-against-japanese-encephalitis" TargetMode="External"/><Relationship Id="rId261" Type="http://schemas.openxmlformats.org/officeDocument/2006/relationships/hyperlink" Target="http://auditoriacidada.info/article/parcerias-p%C3%BAblico-privadas-no-sector-da-sa%C3%BAde" TargetMode="External"/><Relationship Id="rId266" Type="http://schemas.openxmlformats.org/officeDocument/2006/relationships/hyperlink" Target="http://www.news.cyprus-property-buyers.com/2012/10/17/chinese-airport-deal-a-dead-duck/id=0012981" TargetMode="External"/><Relationship Id="rId287" Type="http://schemas.openxmlformats.org/officeDocument/2006/relationships/hyperlink" Target="http://search.oecd.org/officialdocuments/displaydocumentpdf/?cote=GOV/PGC/SBO%282013%292&amp;doclanguage=en" TargetMode="External"/><Relationship Id="rId14" Type="http://schemas.openxmlformats.org/officeDocument/2006/relationships/hyperlink" Target="http://www.eib.org/attachments/efs/econ_note_2012_ppp_and_financing_in_europe_en.pdf" TargetMode="External"/><Relationship Id="rId30" Type="http://schemas.openxmlformats.org/officeDocument/2006/relationships/hyperlink" Target="http://www.unece.org/ceci/documents/2009/ppp/session2tosppp09.html" TargetMode="External"/><Relationship Id="rId35" Type="http://schemas.openxmlformats.org/officeDocument/2006/relationships/hyperlink" Target="http://www.imf.org/external/pubs/cat/longres.cfm?sk=23065.0" TargetMode="External"/><Relationship Id="rId56" Type="http://schemas.openxmlformats.org/officeDocument/2006/relationships/hyperlink" Target="http://www.adb.org/documents/public-private-partnership-operational-plan-2012-2020" TargetMode="External"/><Relationship Id="rId77" Type="http://schemas.openxmlformats.org/officeDocument/2006/relationships/hyperlink" Target="http://www.eib.org/about/" TargetMode="External"/><Relationship Id="rId100" Type="http://schemas.openxmlformats.org/officeDocument/2006/relationships/hyperlink" Target="http://www.christianwolmar.co.uk/2010/05/rail-644-why-the-ppp-was-doomed-from-the-start/" TargetMode="External"/><Relationship Id="rId105" Type="http://schemas.openxmlformats.org/officeDocument/2006/relationships/hyperlink" Target="http://www.theguardian.com/society/2011/nov/05/nhs-reforms-mckinsey-conflict-interest" TargetMode="External"/><Relationship Id="rId126" Type="http://schemas.openxmlformats.org/officeDocument/2006/relationships/hyperlink" Target="http://www.globalhealthcheck.org/?cat=27" TargetMode="External"/><Relationship Id="rId147" Type="http://schemas.openxmlformats.org/officeDocument/2006/relationships/hyperlink" Target="http://cowles.econ.yale.edu/" TargetMode="External"/><Relationship Id="rId168" Type="http://schemas.openxmlformats.org/officeDocument/2006/relationships/hyperlink" Target="http://www.publications.parliament.uk/pa/cm201012/cmselect/cmtreasy/1146/114602.htm" TargetMode="External"/><Relationship Id="rId282" Type="http://schemas.openxmlformats.org/officeDocument/2006/relationships/hyperlink" Target="http://www.oecd.org/daf/fin/private-pensions/TrendsInLargePensionFundInvestmentInInfrastructure.pdf" TargetMode="External"/><Relationship Id="rId8" Type="http://schemas.openxmlformats.org/officeDocument/2006/relationships/hyperlink" Target="http://search.oecd.org/officialdocuments/displaydocumentpdf/?cote=GOV/PGC/SBO%282013%292&amp;doclanguage=en" TargetMode="External"/><Relationship Id="rId51" Type="http://schemas.openxmlformats.org/officeDocument/2006/relationships/hyperlink" Target="http://www.pidg.org/what-we-do/projects/sierra-leone/addax-bioenergy" TargetMode="External"/><Relationship Id="rId72" Type="http://schemas.openxmlformats.org/officeDocument/2006/relationships/hyperlink" Target="http://ec.europa.eu/economy_finance/financial_operations/investment/europe_2020/index_en.htm" TargetMode="External"/><Relationship Id="rId93" Type="http://schemas.openxmlformats.org/officeDocument/2006/relationships/hyperlink" Target="http://www.imf.org/external/pubs/ft/wp/2009/wp09144.pdf" TargetMode="External"/><Relationship Id="rId98" Type="http://schemas.openxmlformats.org/officeDocument/2006/relationships/hyperlink" Target="http://www.thelawyer.com/does-failure-of-tfl-deals-spell-the-end-of-the-line-for-ppp-bonanza/1005403.article" TargetMode="External"/><Relationship Id="rId121" Type="http://schemas.openxmlformats.org/officeDocument/2006/relationships/hyperlink" Target="http://www.privateequityafrica.com/funds/abraaj-to-raise-1bn-health-fund/" TargetMode="External"/><Relationship Id="rId142" Type="http://schemas.openxmlformats.org/officeDocument/2006/relationships/hyperlink" Target="http://jubileedebt.org.uk/wp-content/uploads/2013/10/Life-and-debt_Final-version_10.13.pdf" TargetMode="External"/><Relationship Id="rId163" Type="http://schemas.openxmlformats.org/officeDocument/2006/relationships/hyperlink" Target="http://dollarsandsense.org/archives/2012/1112bondgraham.html" TargetMode="External"/><Relationship Id="rId184" Type="http://schemas.openxmlformats.org/officeDocument/2006/relationships/hyperlink" Target="http://www.publications.parliament.uk/pa/cm201012/cmselect/cmtreasy/1146/114602.htm" TargetMode="External"/><Relationship Id="rId189" Type="http://schemas.openxmlformats.org/officeDocument/2006/relationships/hyperlink" Target="http://www.publications.parliament.uk/pa/cm201012/cmselect/cmpubacc/1201/120102.htm" TargetMode="External"/><Relationship Id="rId219" Type="http://schemas.openxmlformats.org/officeDocument/2006/relationships/hyperlink" Target="http://www.railwaygazette.com/news/single-view/view/tfl-expects-pound250m-saving-from-buying-docklands-light-railway-pfi-concessionaries.html" TargetMode="External"/><Relationship Id="rId3" Type="http://schemas.openxmlformats.org/officeDocument/2006/relationships/hyperlink" Target="http://europa.eu.int/rapid/pressReleasesAction.do?reference=STAT/04/18&amp;format=HTML&amp;aged=0&amp;language=EN&amp;guiLanguage=en" TargetMode="External"/><Relationship Id="rId214" Type="http://schemas.openxmlformats.org/officeDocument/2006/relationships/hyperlink" Target="http://www.tfl.gov.uk/corporate/media/newscentre/16505.aspx" TargetMode="External"/><Relationship Id="rId230" Type="http://schemas.openxmlformats.org/officeDocument/2006/relationships/hyperlink" Target="http://www.christianwolmar.co.uk/2010/05/rail-644-why-the-ppp-was-doomed-from-the-start/" TargetMode="External"/><Relationship Id="rId235" Type="http://schemas.openxmlformats.org/officeDocument/2006/relationships/hyperlink" Target="http://www.publications.parliament.uk/pa/cm201012/cmselect/cmtreasy/1146/1146we05.htm" TargetMode="External"/><Relationship Id="rId251" Type="http://schemas.openxmlformats.org/officeDocument/2006/relationships/hyperlink" Target="http://www.ft.com/cms/s/0/4fd1e216-9441-11e1-bb47-00144feab49a.html" TargetMode="External"/><Relationship Id="rId256" Type="http://schemas.openxmlformats.org/officeDocument/2006/relationships/hyperlink" Target="http://dx.doi.org/10.1787/5k46n3wwxxq3-en" TargetMode="External"/><Relationship Id="rId277" Type="http://schemas.openxmlformats.org/officeDocument/2006/relationships/hyperlink" Target="http://www.apec.org.au/docs/Pension%20Fund%20Investment%20in%20PPPs.pdf" TargetMode="External"/><Relationship Id="rId25" Type="http://schemas.openxmlformats.org/officeDocument/2006/relationships/hyperlink" Target="http://www.oecd.org/gov/regulatory-policy/Chap%206%20PPPs.pdf" TargetMode="External"/><Relationship Id="rId46" Type="http://schemas.openxmlformats.org/officeDocument/2006/relationships/hyperlink" Target="https://renewables.seenews.com/news/ifc-lends-106-mln-euro-to-albanias-kurum-international-for-hpp-projects-396204" TargetMode="External"/><Relationship Id="rId67" Type="http://schemas.openxmlformats.org/officeDocument/2006/relationships/hyperlink" Target="http://www.lowyinterpreter.org/post/2013/11/28/Infrastructure-overcoming-sovereign-debt-phobia.aspx" TargetMode="External"/><Relationship Id="rId116" Type="http://schemas.openxmlformats.org/officeDocument/2006/relationships/hyperlink" Target="http://mckinseyonsociety.com/downloads/reports/Global-Public-Health/IFC_HealthinAfrica_Final.pdf" TargetMode="External"/><Relationship Id="rId137" Type="http://schemas.openxmlformats.org/officeDocument/2006/relationships/hyperlink" Target="http://www.opic.gov/news/updates" TargetMode="External"/><Relationship Id="rId158" Type="http://schemas.openxmlformats.org/officeDocument/2006/relationships/hyperlink" Target="http://www.oecd.org/daf/psd/46340470.pdf" TargetMode="External"/><Relationship Id="rId272" Type="http://schemas.openxmlformats.org/officeDocument/2006/relationships/hyperlink" Target="http://www.imf.org/external/np/fad/2004/pifp/eng/031204.htm" TargetMode="External"/><Relationship Id="rId20" Type="http://schemas.openxmlformats.org/officeDocument/2006/relationships/hyperlink" Target="http://www.psiru.org" TargetMode="External"/><Relationship Id="rId41" Type="http://schemas.openxmlformats.org/officeDocument/2006/relationships/hyperlink" Target="http://www.ifc.org/wps/wcm/connect/bdac3e00407f53ce850b95cdd0ee9c33/SectorSheets_Power.pdf?MOD=AJPERES" TargetMode="External"/><Relationship Id="rId62" Type="http://schemas.openxmlformats.org/officeDocument/2006/relationships/hyperlink" Target="http://www.boell.org/downloads/Responsible_Investment_in_Infrastructure.pdf" TargetMode="External"/><Relationship Id="rId83" Type="http://schemas.openxmlformats.org/officeDocument/2006/relationships/hyperlink" Target="http://www.pppbrasil.com.br/portal/" TargetMode="External"/><Relationship Id="rId88" Type="http://schemas.openxmlformats.org/officeDocument/2006/relationships/hyperlink" Target="https://www.gov.uk/government/news/chancellor-announces-uk-guarantees-scheme" TargetMode="External"/><Relationship Id="rId111" Type="http://schemas.openxmlformats.org/officeDocument/2006/relationships/hyperlink" Target="http://www.thecornerhouse.org.uk/resource/more-bricks-and-mortar" TargetMode="External"/><Relationship Id="rId132" Type="http://schemas.openxmlformats.org/officeDocument/2006/relationships/hyperlink" Target="http://jamaica-gleaner.com/gleaner/20130512/focus/focus5.html" TargetMode="External"/><Relationship Id="rId153" Type="http://schemas.openxmlformats.org/officeDocument/2006/relationships/hyperlink" Target="http://bankwatch.org/publications/document.shtml?x=2132584" TargetMode="External"/><Relationship Id="rId174" Type="http://schemas.openxmlformats.org/officeDocument/2006/relationships/hyperlink" Target="http://www.imf.org/external/np/seminars/eng/2007/ppp/pdf/jrm.pdf" TargetMode="External"/><Relationship Id="rId179" Type="http://schemas.openxmlformats.org/officeDocument/2006/relationships/hyperlink" Target="http://www.imf.org/external/np/fad/2004/pifp/eng/031204.htm" TargetMode="External"/><Relationship Id="rId195" Type="http://schemas.openxmlformats.org/officeDocument/2006/relationships/hyperlink" Target="http://www.ciltuk.org.uk/download_files/gtg026presentation.pdf" TargetMode="External"/><Relationship Id="rId209" Type="http://schemas.openxmlformats.org/officeDocument/2006/relationships/hyperlink" Target="http://www.christianwolmar.co.uk/2010/05/rail-644-why-the-ppp-was-doomed-from-the-start/" TargetMode="External"/><Relationship Id="rId190" Type="http://schemas.openxmlformats.org/officeDocument/2006/relationships/hyperlink" Target="http://www.eib.org/attachments/efs/efr06n01.pdf" TargetMode="External"/><Relationship Id="rId204" Type="http://schemas.openxmlformats.org/officeDocument/2006/relationships/hyperlink" Target="http://www.cepremap.ens.fr/depot/docweb/docweb1104.pdf" TargetMode="External"/><Relationship Id="rId220" Type="http://schemas.openxmlformats.org/officeDocument/2006/relationships/hyperlink" Target="http://www.tfl.gov.uk/corporate/about-tfl/investorrelations/4443.aspx" TargetMode="External"/><Relationship Id="rId225" Type="http://schemas.openxmlformats.org/officeDocument/2006/relationships/hyperlink" Target="http://www.wolmarforlondon.co.uk/2013/10/the-wrong-sort-of-extension/" TargetMode="External"/><Relationship Id="rId241" Type="http://schemas.openxmlformats.org/officeDocument/2006/relationships/hyperlink" Target="http://www.downtoearth.org.in/content/ppp-way-forward-improve-healthcare-india-mckinsey" TargetMode="External"/><Relationship Id="rId246" Type="http://schemas.openxmlformats.org/officeDocument/2006/relationships/hyperlink" Target="http://www.downtoearth.org.in/content/elementary-failure" TargetMode="External"/><Relationship Id="rId267" Type="http://schemas.openxmlformats.org/officeDocument/2006/relationships/hyperlink" Target="http://www.lgiu.org.uk/wp-content/uploads/2012/03/Cllr-June-2012.pdf" TargetMode="External"/><Relationship Id="rId288" Type="http://schemas.openxmlformats.org/officeDocument/2006/relationships/hyperlink" Target="http://www.oecd.org/gov/budgeting/PPP-Recommendation.pdf" TargetMode="External"/><Relationship Id="rId15" Type="http://schemas.openxmlformats.org/officeDocument/2006/relationships/hyperlink" Target="http://www.spiegel.de/international/business/disastrous-public-works-projects-in-germany-a-876856.html" TargetMode="External"/><Relationship Id="rId36" Type="http://schemas.openxmlformats.org/officeDocument/2006/relationships/hyperlink" Target="http://international.cgdev.org/sites/default/files/1424993_file_Perry_PrivFirms_FINAL.pdf" TargetMode="External"/><Relationship Id="rId57" Type="http://schemas.openxmlformats.org/officeDocument/2006/relationships/hyperlink" Target="http://idbdocs.iadb.org/wsdocs/getdocument.aspx?docnum=38230580" TargetMode="External"/><Relationship Id="rId106" Type="http://schemas.openxmlformats.org/officeDocument/2006/relationships/hyperlink" Target="http://www.dailymail.co.uk/news/article-2099940/NHS-health-reforms-Extent-McKinsey--Companys-role-Andrew-Lansleys-proposals.html" TargetMode="External"/><Relationship Id="rId127" Type="http://schemas.openxmlformats.org/officeDocument/2006/relationships/hyperlink" Target="http://www.globalhealthcheck.org/?p=481" TargetMode="External"/><Relationship Id="rId262" Type="http://schemas.openxmlformats.org/officeDocument/2006/relationships/hyperlink" Target="http://auditoriacidada.info/article/parcerias-p%C3%BAblico-privadas-no-sector-da-sa%C3%BAde" TargetMode="External"/><Relationship Id="rId283" Type="http://schemas.openxmlformats.org/officeDocument/2006/relationships/hyperlink" Target="http://www.ft.com/cms/s/0/e8d9e2bc-2e81-11e2-9b98-00144feabdc0.html" TargetMode="External"/><Relationship Id="rId10" Type="http://schemas.openxmlformats.org/officeDocument/2006/relationships/hyperlink" Target="http://www.oecd.org/dataoecd/9/0/49945473.pdf" TargetMode="External"/><Relationship Id="rId31" Type="http://schemas.openxmlformats.org/officeDocument/2006/relationships/hyperlink" Target="http://pima.kdi.re.kr/eng/new/event/090619/9-4.pdf" TargetMode="External"/><Relationship Id="rId52" Type="http://schemas.openxmlformats.org/officeDocument/2006/relationships/hyperlink" Target="http://www.actionaid.org.uk/sites/default/files/publications/brokenpromises_0.pdf" TargetMode="External"/><Relationship Id="rId73" Type="http://schemas.openxmlformats.org/officeDocument/2006/relationships/hyperlink" Target="http://tentea.ec.europa.eu/download/events/2013PPPworkshop/presentations/3ouaki.pdf" TargetMode="External"/><Relationship Id="rId78" Type="http://schemas.openxmlformats.org/officeDocument/2006/relationships/hyperlink" Target="http://www.eib.org/attachments/efs/econ_note_2012_ppp_and_financing_in_europe_en.pdf" TargetMode="External"/><Relationship Id="rId94" Type="http://schemas.openxmlformats.org/officeDocument/2006/relationships/hyperlink" Target="http://www.premier.vic.gov.au/premier/australias-biggest-desalination-plant-to-secure-water-and-jobs.html" TargetMode="External"/><Relationship Id="rId99" Type="http://schemas.openxmlformats.org/officeDocument/2006/relationships/hyperlink" Target="http://www.economist.com/node/16113111" TargetMode="External"/><Relationship Id="rId101" Type="http://schemas.openxmlformats.org/officeDocument/2006/relationships/hyperlink" Target="http://www.ifc.org/wps/wcm/connect/industry_ext_content/ifc_external_corporate_site/industries/financial+markets/news/healthafricafeature" TargetMode="External"/><Relationship Id="rId122" Type="http://schemas.openxmlformats.org/officeDocument/2006/relationships/hyperlink" Target="http://ifcext.ifc.org/ifcext/spiwebsite1.nsf/651aeb16abd09c1f8525797d006976ba/7f82831138f0fb7485257c43006d1dad?opendocument" TargetMode="External"/><Relationship Id="rId143" Type="http://schemas.openxmlformats.org/officeDocument/2006/relationships/hyperlink" Target="http://www.cispes.org/blog/special-report-21-charged-p3-case-lost-el-salvador-1-8-million-state-funds/" TargetMode="External"/><Relationship Id="rId148" Type="http://schemas.openxmlformats.org/officeDocument/2006/relationships/hyperlink" Target="http://www.imf.org/external/np/fad/2004/pifp/eng/031204.htm" TargetMode="External"/><Relationship Id="rId164" Type="http://schemas.openxmlformats.org/officeDocument/2006/relationships/hyperlink" Target="http://www.jadaliyya.com/pages/index/1711/egypts-%E2%80%98orderly-transition%E2%80%99-international-aid-and-" TargetMode="External"/><Relationship Id="rId169" Type="http://schemas.openxmlformats.org/officeDocument/2006/relationships/hyperlink" Target="http://eng.som.pu.ru/files/upload/research/conferences/ps_reform/2007/ASPE_Conference_Program_eng.pdf" TargetMode="External"/><Relationship Id="rId185" Type="http://schemas.openxmlformats.org/officeDocument/2006/relationships/hyperlink" Target="http://www.publications.parliament.uk/pa/cm201012/cmselect/cmtreasy/1146/114602.htm" TargetMode="External"/><Relationship Id="rId4" Type="http://schemas.openxmlformats.org/officeDocument/2006/relationships/hyperlink" Target="http://www.imf.org/external/np/fad/2004/pifp/eng/031204.htm" TargetMode="External"/><Relationship Id="rId9" Type="http://schemas.openxmlformats.org/officeDocument/2006/relationships/hyperlink" Target="http://www.eib.org/attachments/efs/econ_note_2012_ppp_and_financing_in_europe_en.pdf" TargetMode="External"/><Relationship Id="rId180" Type="http://schemas.openxmlformats.org/officeDocument/2006/relationships/hyperlink" Target="http://www.ft.com/cms/s/0/2aef3e0a-a2cb-11e2-bd45-00144feabdc0.html" TargetMode="External"/><Relationship Id="rId210" Type="http://schemas.openxmlformats.org/officeDocument/2006/relationships/hyperlink" Target="http://www.parliament.uk/briefing-papers/SN01746" TargetMode="External"/><Relationship Id="rId215" Type="http://schemas.openxmlformats.org/officeDocument/2006/relationships/hyperlink" Target="http://www.ft.com/cms/s/0/8979a560-65a3-11dd-a352-0000779fd18c.html" TargetMode="External"/><Relationship Id="rId236" Type="http://schemas.openxmlformats.org/officeDocument/2006/relationships/hyperlink" Target="http://www.parliament.uk/briefing-papers/SN01746" TargetMode="External"/><Relationship Id="rId257" Type="http://schemas.openxmlformats.org/officeDocument/2006/relationships/hyperlink" Target="http://www.oecd.org/chile/OECD_DEV_WP317.pdf" TargetMode="External"/><Relationship Id="rId278" Type="http://schemas.openxmlformats.org/officeDocument/2006/relationships/hyperlink" Target="http://www.hm-treasury.gov.uk/press_95_12.htm" TargetMode="External"/><Relationship Id="rId26" Type="http://schemas.openxmlformats.org/officeDocument/2006/relationships/hyperlink" Target="http://www.worldbank.org/en/news/feature/2013/03/19/indonesia-economic-quarterly-pressures-mounting" TargetMode="External"/><Relationship Id="rId231" Type="http://schemas.openxmlformats.org/officeDocument/2006/relationships/hyperlink" Target="http://www.publications.parliament.uk/pa/cm201012/cmselect/cmtreasy/1146/1146we05.htm" TargetMode="External"/><Relationship Id="rId252" Type="http://schemas.openxmlformats.org/officeDocument/2006/relationships/hyperlink" Target="http://www.transportes.gov.br/public/arquivo/arq1336655345.pdf" TargetMode="External"/><Relationship Id="rId273" Type="http://schemas.openxmlformats.org/officeDocument/2006/relationships/hyperlink" Target="http://www.eib.org/epec/resources/Termination_Report_public_version.pdf" TargetMode="External"/><Relationship Id="rId47" Type="http://schemas.openxmlformats.org/officeDocument/2006/relationships/hyperlink" Target="http://www.lexisnexis.com/uk/nexis/results/docview/docview.do?docLinkInd=true&amp;risb=21_T18915117038&amp;format=GNBFULL&amp;sort=BOOLEAN&amp;startDocNo=101&amp;resultsUrlKey=29_T18915117054&amp;cisb=22_T18915117053&amp;treeMax=true&amp;treeWidth=0&amp;csi=250053&amp;docNo=101" TargetMode="External"/><Relationship Id="rId68" Type="http://schemas.openxmlformats.org/officeDocument/2006/relationships/hyperlink" Target="http://www.lowyinterpreter.org/post/2013/07/01/Infrastructure-The-limits-of-PPPs.aspx" TargetMode="External"/><Relationship Id="rId89" Type="http://schemas.openxmlformats.org/officeDocument/2006/relationships/hyperlink" Target="https://www.gov.uk/government/publications/uk-guarantees-scheme-key-documents" TargetMode="External"/><Relationship Id="rId112" Type="http://schemas.openxmlformats.org/officeDocument/2006/relationships/hyperlink" Target="http://www.hanshep.org/" TargetMode="External"/><Relationship Id="rId133" Type="http://schemas.openxmlformats.org/officeDocument/2006/relationships/hyperlink" Target="http://www5.iadb.org/mif/home/news/pressreleases/tabid/467/artmid/3819/articleid/107/language/en-us/default.aspx" TargetMode="External"/><Relationship Id="rId154" Type="http://schemas.openxmlformats.org/officeDocument/2006/relationships/hyperlink" Target="http://www.bloomberg.com/news/2013-11-27/private-toll-road-investors-shift-revenue-risk-to-states.html" TargetMode="External"/><Relationship Id="rId175" Type="http://schemas.openxmlformats.org/officeDocument/2006/relationships/hyperlink" Target="http://www.publications.parliament.uk/pa/cm201012/cmselect/cmpubacc/1201/120102.htm" TargetMode="External"/><Relationship Id="rId196" Type="http://schemas.openxmlformats.org/officeDocument/2006/relationships/hyperlink" Target="http://www.oecd.org/daf/psd/46340470.pdf" TargetMode="External"/><Relationship Id="rId200" Type="http://schemas.openxmlformats.org/officeDocument/2006/relationships/hyperlink" Target="http://www.ft.com/cms/s/0/65068d1c-bdd2-11e0-babc-00144feabdc0.html" TargetMode="External"/><Relationship Id="rId16" Type="http://schemas.openxmlformats.org/officeDocument/2006/relationships/hyperlink" Target="http://www.gemeingut.org/2012/01/ppp-leuchtturm-projekte-eine-spur-des-scheiterns/" TargetMode="External"/><Relationship Id="rId221" Type="http://schemas.openxmlformats.org/officeDocument/2006/relationships/hyperlink" Target="http://www.parliament.uk/briefing-papers/SN01746" TargetMode="External"/><Relationship Id="rId242" Type="http://schemas.openxmlformats.org/officeDocument/2006/relationships/hyperlink" Target="http://www.downtoearth.org.in/content/chhatisgarh-stalls-ppp-project-outsource-diagnostic-facilities" TargetMode="External"/><Relationship Id="rId263" Type="http://schemas.openxmlformats.org/officeDocument/2006/relationships/hyperlink" Target="http://www.imf.org/external/pubs/ft/scr/2011/cr11331.pdf" TargetMode="External"/><Relationship Id="rId284" Type="http://schemas.openxmlformats.org/officeDocument/2006/relationships/hyperlink" Target="http://www.oecd.org/sti/futures/infrastructureto2030/48634596.pdf" TargetMode="External"/><Relationship Id="rId37" Type="http://schemas.openxmlformats.org/officeDocument/2006/relationships/hyperlink" Target="http://en.g20russia.ru/news/20130228/781245645.html" TargetMode="External"/><Relationship Id="rId58" Type="http://schemas.openxmlformats.org/officeDocument/2006/relationships/hyperlink" Target="http://www.afdb.org/en/topics-and-sectors/sectors/private-sector/areas-of-focus/infrastructure-finance/" TargetMode="External"/><Relationship Id="rId79" Type="http://schemas.openxmlformats.org/officeDocument/2006/relationships/hyperlink" Target="http://www.ebrd.org/pubs/legal/lit071.htm" TargetMode="External"/><Relationship Id="rId102" Type="http://schemas.openxmlformats.org/officeDocument/2006/relationships/hyperlink" Target="http://mckinseyonsociety.com/downloads/reports/Global-Public-Health/IFC_HealthinAfrica_Final.pdf" TargetMode="External"/><Relationship Id="rId123" Type="http://schemas.openxmlformats.org/officeDocument/2006/relationships/hyperlink" Target="http://www.ifc.org/wps/wcm/connect/region__ext_content/regions/sub-saharan+africa/news/lesothohospital" TargetMode="External"/><Relationship Id="rId144" Type="http://schemas.openxmlformats.org/officeDocument/2006/relationships/hyperlink" Target="http://pkps.bappenas.go.id/index.php/id-ID/berita/143-berita-internal/1151-the-national-development-planning-agency-bappenas-launch-the-public-private-partnership-ppp-book-2013" TargetMode="External"/><Relationship Id="rId90" Type="http://schemas.openxmlformats.org/officeDocument/2006/relationships/hyperlink" Target="http://www.europapress.es/economia/noticia-fomento-dara-avales-lograr-financiacion-privada-obra-publica-20090630124906.html" TargetMode="External"/><Relationship Id="rId165" Type="http://schemas.openxmlformats.org/officeDocument/2006/relationships/hyperlink" Target="http://bankwatch.org/publications/document.shtml?x=2132584" TargetMode="External"/><Relationship Id="rId186" Type="http://schemas.openxmlformats.org/officeDocument/2006/relationships/hyperlink" Target="http://www.foodandwaterwatch.org/reports/borrowing-trouble-water-privatization-is-a-false-solution-for-municipal-budget-shortfalls/" TargetMode="External"/><Relationship Id="rId211" Type="http://schemas.openxmlformats.org/officeDocument/2006/relationships/hyperlink" Target="http://www.tfl.gov.uk/static/corporate/media/newscentre/archive/8733.html" TargetMode="External"/><Relationship Id="rId232" Type="http://schemas.openxmlformats.org/officeDocument/2006/relationships/hyperlink" Target="http://www.parliament.uk/briefing-papers/SN01746" TargetMode="External"/><Relationship Id="rId253" Type="http://schemas.openxmlformats.org/officeDocument/2006/relationships/hyperlink" Target="http://dx.doi.org/10.1787/5k46n3wwxxq3-en" TargetMode="External"/><Relationship Id="rId274" Type="http://schemas.openxmlformats.org/officeDocument/2006/relationships/hyperlink" Target="http://www.psiru.org/sites/default/files/2008-11-PPPs-crit.doc" TargetMode="External"/><Relationship Id="rId27" Type="http://schemas.openxmlformats.org/officeDocument/2006/relationships/hyperlink" Target="http://www.worldbank.org/en/news/feature/2013/03/19/indonesia-economic-quarterly-pressures-mounting" TargetMode="External"/><Relationship Id="rId48" Type="http://schemas.openxmlformats.org/officeDocument/2006/relationships/hyperlink" Target="http://www.cordiantcap.com/investment-program/icf-debt-pool/" TargetMode="External"/><Relationship Id="rId69" Type="http://schemas.openxmlformats.org/officeDocument/2006/relationships/hyperlink" Target="http://www.tuac.org" TargetMode="External"/><Relationship Id="rId113" Type="http://schemas.openxmlformats.org/officeDocument/2006/relationships/hyperlink" Target="http://ghif.com/" TargetMode="External"/><Relationship Id="rId134" Type="http://schemas.openxmlformats.org/officeDocument/2006/relationships/hyperlink" Target="http://www.counterbalance-eib.org/wp-content/uploads/2013/03/ME-beanFeastWeb.pdf" TargetMode="External"/><Relationship Id="rId80" Type="http://schemas.openxmlformats.org/officeDocument/2006/relationships/hyperlink" Target="http://www.ebrd.com/pages/research/analysis/surveys/sci_methodology.shtml" TargetMode="External"/><Relationship Id="rId155" Type="http://schemas.openxmlformats.org/officeDocument/2006/relationships/hyperlink" Target="http://www.robbain.com/Toll%20Roads.pdf" TargetMode="External"/><Relationship Id="rId176" Type="http://schemas.openxmlformats.org/officeDocument/2006/relationships/hyperlink" Target="http://www.publications.parliament.uk/pa/cm201012/cmselect/cmtreasy/1146/114602.htm" TargetMode="External"/><Relationship Id="rId197" Type="http://schemas.openxmlformats.org/officeDocument/2006/relationships/hyperlink" Target="http://www.thomaswhite.com/explore-the-world/postcard/2010/privatization-in-egypt.aspx" TargetMode="External"/><Relationship Id="rId201" Type="http://schemas.openxmlformats.org/officeDocument/2006/relationships/hyperlink" Target="http://www.ft.com/cms/s/0/0139c544-1126-11e2-a637-00144feabdc0.html" TargetMode="External"/><Relationship Id="rId222" Type="http://schemas.openxmlformats.org/officeDocument/2006/relationships/hyperlink" Target="http://www.publications.parliament.uk/pa/cm201012/cmselect/cmtreasy/1146/1146we05.htm" TargetMode="External"/><Relationship Id="rId243" Type="http://schemas.openxmlformats.org/officeDocument/2006/relationships/hyperlink" Target="http://www.downtoearth.org.in/content/chhattisgarhs-ppp-model-diagnostic-services-flawed" TargetMode="External"/><Relationship Id="rId264" Type="http://schemas.openxmlformats.org/officeDocument/2006/relationships/hyperlink" Target="http://famagusta-gazette.com/full-text-cyprus-memorandum-of-understanding-on-specific-economic-policy-c-p18824-69.htm" TargetMode="External"/><Relationship Id="rId285" Type="http://schemas.openxmlformats.org/officeDocument/2006/relationships/hyperlink" Target="http://www.apec.org.au/docs/Pension%20Fund%20Investment%20in%20PPPs.pdf" TargetMode="External"/><Relationship Id="rId17" Type="http://schemas.openxmlformats.org/officeDocument/2006/relationships/hyperlink" Target="http://www.gemeingut.org/2013/02/presse_gib-ausverkauf-der-a7-per-ppp-verhindert-bauindustrie-schaumt/" TargetMode="External"/><Relationship Id="rId38" Type="http://schemas.openxmlformats.org/officeDocument/2006/relationships/hyperlink" Target="http://en.g20russia.ru/load/781245667" TargetMode="External"/><Relationship Id="rId59" Type="http://schemas.openxmlformats.org/officeDocument/2006/relationships/hyperlink" Target="http://www.afdb.org/en/news-and-events/article/africa-health-forum-afdb-holds-first-forum-on-development-of-health-in-africa-12784/" TargetMode="External"/><Relationship Id="rId103" Type="http://schemas.openxmlformats.org/officeDocument/2006/relationships/hyperlink" Target="http://www.afdb.org/en/topics-and-sectors/initiatives-partnerships/health-in-africa-fund/" TargetMode="External"/><Relationship Id="rId124" Type="http://schemas.openxmlformats.org/officeDocument/2006/relationships/hyperlink" Target="http://www.globalhealthcheck.org/?p=481" TargetMode="External"/><Relationship Id="rId70" Type="http://schemas.openxmlformats.org/officeDocument/2006/relationships/hyperlink" Target="http://www.unece.org/ceci/ppp.html" TargetMode="External"/><Relationship Id="rId91" Type="http://schemas.openxmlformats.org/officeDocument/2006/relationships/hyperlink" Target="https://www.deloitte.com/view/en_GB/uk/industries/eiu/article/eeb1463dc14e4210VgnVCM200000bb42f00aRCRD.htm" TargetMode="External"/><Relationship Id="rId145" Type="http://schemas.openxmlformats.org/officeDocument/2006/relationships/hyperlink" Target="http://www.ifc.org/wps/wcm/connect/aaf1fb804a1b07068e30ffdd29332b51/SuccessStories_CentralJava.pdf?MOD=AJPERES" TargetMode="External"/><Relationship Id="rId166" Type="http://schemas.openxmlformats.org/officeDocument/2006/relationships/hyperlink" Target="http://www.ft.com/cms/s/0/4fd1e216-9441-11e1-bb47-00144feab49a.html" TargetMode="External"/><Relationship Id="rId187" Type="http://schemas.openxmlformats.org/officeDocument/2006/relationships/hyperlink" Target="https://www.alaskadispatch.com/article/20131218/parnell-wants-abandon-public-private-partnership-let-state-build-knik-arm-crossing" TargetMode="External"/><Relationship Id="rId1" Type="http://schemas.openxmlformats.org/officeDocument/2006/relationships/hyperlink" Target="http://www.parliament.uk/documents/commons/lib/research/rp2001/rp01-117.pdf" TargetMode="External"/><Relationship Id="rId212" Type="http://schemas.openxmlformats.org/officeDocument/2006/relationships/hyperlink" Target="http://www.christianwolmar.co.uk/2008/04/croydon-tramlink-quietly-renationalised/" TargetMode="External"/><Relationship Id="rId233" Type="http://schemas.openxmlformats.org/officeDocument/2006/relationships/hyperlink" Target="http://www.parliament.uk/briefing-papers/SN01746" TargetMode="External"/><Relationship Id="rId254" Type="http://schemas.openxmlformats.org/officeDocument/2006/relationships/hyperlink" Target="http://www.oecd.org/chile/OECD_DEV_WP317.pdf" TargetMode="External"/><Relationship Id="rId28" Type="http://schemas.openxmlformats.org/officeDocument/2006/relationships/hyperlink" Target="http://www.lowyinstitute.org/publications/tax-infrastructure-anti-corruption-energy-and-g20" TargetMode="External"/><Relationship Id="rId49" Type="http://schemas.openxmlformats.org/officeDocument/2006/relationships/hyperlink" Target="http://www.addaxbioenergy.com/en/the-makeni-project/development-partners.php" TargetMode="External"/><Relationship Id="rId114" Type="http://schemas.openxmlformats.org/officeDocument/2006/relationships/hyperlink" Target="http://www.hanshep.org/member-area/programmes/pilot-health-ppp-advisory-facility/health-ppps-different-solutions-for-different-needs.pdf" TargetMode="External"/><Relationship Id="rId275" Type="http://schemas.openxmlformats.org/officeDocument/2006/relationships/hyperlink" Target="https://www.preqin.com/docs/newsletters/inf/Preqin_INFSL_Jul_2012_Pension_Funds_Investing.pdf" TargetMode="External"/><Relationship Id="rId60" Type="http://schemas.openxmlformats.org/officeDocument/2006/relationships/hyperlink" Target="http://www3.weforum.org/docs/GAC/2013/WEF_GAC_MidtermReports_2012-14.pdf" TargetMode="External"/><Relationship Id="rId81" Type="http://schemas.openxmlformats.org/officeDocument/2006/relationships/hyperlink" Target="http://www.ebrd.com/pages/research/publications/flagships/transition.shtml" TargetMode="External"/><Relationship Id="rId135" Type="http://schemas.openxmlformats.org/officeDocument/2006/relationships/hyperlink" Target="http://www.eib.org/attachments/country/femip_study_femise_en.pdf" TargetMode="External"/><Relationship Id="rId156" Type="http://schemas.openxmlformats.org/officeDocument/2006/relationships/hyperlink" Target="http://www.wweek.com/portland/article-21194-the_toll_truth.html" TargetMode="External"/><Relationship Id="rId177" Type="http://schemas.openxmlformats.org/officeDocument/2006/relationships/hyperlink" Target="http://www.nao.org.uk/publications/1012/lessons_from_pfi.aspx" TargetMode="External"/><Relationship Id="rId198" Type="http://schemas.openxmlformats.org/officeDocument/2006/relationships/hyperlink" Target="http://www.eib.org/Attachments/efs/efr05n03.pdf" TargetMode="External"/><Relationship Id="rId202" Type="http://schemas.openxmlformats.org/officeDocument/2006/relationships/hyperlink" Target="http://www.euro.who.int/document/e92354.pdf" TargetMode="External"/><Relationship Id="rId223" Type="http://schemas.openxmlformats.org/officeDocument/2006/relationships/hyperlink" Target="http://www.tfl.gov.uk/corporate/media/newscentre/archive/28947.aspx" TargetMode="External"/><Relationship Id="rId244" Type="http://schemas.openxmlformats.org/officeDocument/2006/relationships/hyperlink" Target="http://www.downtoearth.org.in/content/29-mln-tb-cases-go-unreported" TargetMode="External"/><Relationship Id="rId18" Type="http://schemas.openxmlformats.org/officeDocument/2006/relationships/hyperlink" Target="http://www.spiegel.de/international/germany/berlin-lays-cornerstone-on-controversial-palace-project-a-905366.html" TargetMode="External"/><Relationship Id="rId39" Type="http://schemas.openxmlformats.org/officeDocument/2006/relationships/hyperlink" Target="http://www.worldbank.org/content/dam/Worldbank/document/Poverty%20documents/WB-PREM%20financing-for-development-pub-10-11-13web.pdf" TargetMode="External"/><Relationship Id="rId265" Type="http://schemas.openxmlformats.org/officeDocument/2006/relationships/hyperlink" Target="http://www.worldfinance.com/inward-investment/europe/cyprus-aims-to-boost-its-tourist-infrastructure" TargetMode="External"/><Relationship Id="rId286" Type="http://schemas.openxmlformats.org/officeDocument/2006/relationships/hyperlink" Target="http://www.oecd.org/daf/fin/private-pensions/TrendsInLargePensionFundInvestmentInInfrastructure.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d.j.hall@gre.ac.uk" TargetMode="External"/><Relationship Id="rId1" Type="http://schemas.openxmlformats.org/officeDocument/2006/relationships/hyperlink" Target="http://www.psiru.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nevoc.unesco.org/e-forum/GTZ_PPP-in-TVET.pdf"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gre.ac.uk/index.html" TargetMode="External"/><Relationship Id="rId2" Type="http://schemas.openxmlformats.org/officeDocument/2006/relationships/hyperlink" Target="http://www.psiru.org" TargetMode="External"/><Relationship Id="rId1" Type="http://schemas.openxmlformats.org/officeDocument/2006/relationships/hyperlink" Target="http://www.psiru.org" TargetMode="External"/><Relationship Id="rId4"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hyperlink" Target="http://www.psiru.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8257901838189"/>
          <c:y val="7.1759259259259259E-2"/>
          <c:w val="0.45817317323152618"/>
          <c:h val="0.84797421622745583"/>
        </c:manualLayout>
      </c:layout>
      <c:doughnutChart>
        <c:varyColors val="1"/>
        <c:ser>
          <c:idx val="0"/>
          <c:order val="0"/>
          <c:dPt>
            <c:idx val="0"/>
            <c:bubble3D val="0"/>
            <c:explosion val="14"/>
          </c:dPt>
          <c:dPt>
            <c:idx val="1"/>
            <c:bubble3D val="0"/>
            <c:explosion val="9"/>
            <c:spPr>
              <a:solidFill>
                <a:srgbClr val="C00000"/>
              </a:solidFill>
            </c:spPr>
          </c:dPt>
          <c:dPt>
            <c:idx val="2"/>
            <c:bubble3D val="0"/>
            <c:explosion val="8"/>
            <c:spPr>
              <a:solidFill>
                <a:srgbClr val="C00000"/>
              </a:solidFill>
            </c:spPr>
          </c:dPt>
          <c:dPt>
            <c:idx val="3"/>
            <c:bubble3D val="0"/>
            <c:explosion val="20"/>
            <c:spPr>
              <a:solidFill>
                <a:srgbClr val="C00000"/>
              </a:solidFill>
            </c:spPr>
          </c:dPt>
          <c:dLbls>
            <c:showLegendKey val="0"/>
            <c:showVal val="1"/>
            <c:showCatName val="0"/>
            <c:showSerName val="0"/>
            <c:showPercent val="0"/>
            <c:showBubbleSize val="0"/>
            <c:showLeaderLines val="1"/>
          </c:dLbls>
          <c:cat>
            <c:strRef>
              <c:f>Sheet1!$B$3:$B$6</c:f>
              <c:strCache>
                <c:ptCount val="4"/>
                <c:pt idx="0">
                  <c:v>private equity capital</c:v>
                </c:pt>
                <c:pt idx="1">
                  <c:v>public equity capital eg IFC</c:v>
                </c:pt>
                <c:pt idx="2">
                  <c:v>public sector loans eg from government, IFIs</c:v>
                </c:pt>
                <c:pt idx="3">
                  <c:v>private loans (with public guarantees )</c:v>
                </c:pt>
              </c:strCache>
            </c:strRef>
          </c:cat>
          <c:val>
            <c:numRef>
              <c:f>Sheet1!$C$3:$C$6</c:f>
              <c:numCache>
                <c:formatCode>General</c:formatCode>
                <c:ptCount val="4"/>
                <c:pt idx="0">
                  <c:v>15</c:v>
                </c:pt>
                <c:pt idx="1">
                  <c:v>15</c:v>
                </c:pt>
                <c:pt idx="2">
                  <c:v>35</c:v>
                </c:pt>
                <c:pt idx="3">
                  <c:v>35</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BDC28-3CAB-4E57-9B98-EB5F5C3893B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78C7DDF3-D293-41A8-919C-474208A1EF24}">
      <dgm:prSet phldrT="[Text]"/>
      <dgm:spPr/>
      <dgm:t>
        <a:bodyPr/>
        <a:lstStyle/>
        <a:p>
          <a:r>
            <a:rPr lang="en-GB" b="1"/>
            <a:t>Presidential Committee on Infrastructure Projects</a:t>
          </a:r>
        </a:p>
        <a:p>
          <a:pPr rtl="0"/>
          <a:r>
            <a:rPr lang="en-GB" b="1"/>
            <a:t>Bappenas, MoF, Coordinating Ministry of Economic Affairs, </a:t>
          </a:r>
        </a:p>
        <a:p>
          <a:pPr rtl="0"/>
          <a:r>
            <a:rPr lang="en-GB" b="1"/>
            <a:t>Infrastructure ministries (Public Works, Transport, Energy)</a:t>
          </a:r>
        </a:p>
      </dgm:t>
    </dgm:pt>
    <dgm:pt modelId="{9D8E3D75-9E78-46E0-80B1-57620CF8B3CE}" type="parTrans" cxnId="{430DBE6E-9268-458C-AF1E-8513B92E654C}">
      <dgm:prSet/>
      <dgm:spPr/>
      <dgm:t>
        <a:bodyPr/>
        <a:lstStyle/>
        <a:p>
          <a:endParaRPr lang="en-GB"/>
        </a:p>
      </dgm:t>
    </dgm:pt>
    <dgm:pt modelId="{7CA2A19E-67F0-407D-B991-114F2C4C7791}" type="sibTrans" cxnId="{430DBE6E-9268-458C-AF1E-8513B92E654C}">
      <dgm:prSet/>
      <dgm:spPr/>
      <dgm:t>
        <a:bodyPr/>
        <a:lstStyle/>
        <a:p>
          <a:endParaRPr lang="en-GB"/>
        </a:p>
      </dgm:t>
    </dgm:pt>
    <dgm:pt modelId="{CF10F371-0EA5-4BDE-9CEF-923FA815F832}">
      <dgm:prSet phldrT="[Text]"/>
      <dgm:spPr/>
      <dgm:t>
        <a:bodyPr/>
        <a:lstStyle/>
        <a:p>
          <a:r>
            <a:rPr lang="en-GB" b="1"/>
            <a:t>PPP Support</a:t>
          </a:r>
        </a:p>
        <a:p>
          <a:r>
            <a:rPr lang="en-GB" b="1"/>
            <a:t>P3CU</a:t>
          </a:r>
        </a:p>
        <a:p>
          <a:r>
            <a:rPr lang="en-GB" b="1"/>
            <a:t>PDF</a:t>
          </a:r>
        </a:p>
      </dgm:t>
    </dgm:pt>
    <dgm:pt modelId="{4BCDCC47-896E-41DB-887A-AB644D64F21B}" type="parTrans" cxnId="{B7A8B5E0-FB23-4609-968A-51ACFB1F8780}">
      <dgm:prSet/>
      <dgm:spPr/>
      <dgm:t>
        <a:bodyPr/>
        <a:lstStyle/>
        <a:p>
          <a:endParaRPr lang="en-GB"/>
        </a:p>
      </dgm:t>
    </dgm:pt>
    <dgm:pt modelId="{4067168E-A60B-4D6B-A7C9-FFB72F9FDCD1}" type="sibTrans" cxnId="{B7A8B5E0-FB23-4609-968A-51ACFB1F8780}">
      <dgm:prSet/>
      <dgm:spPr/>
      <dgm:t>
        <a:bodyPr/>
        <a:lstStyle/>
        <a:p>
          <a:endParaRPr lang="en-GB"/>
        </a:p>
      </dgm:t>
    </dgm:pt>
    <dgm:pt modelId="{159E995C-E234-4A8B-8102-421DC1EAD44B}">
      <dgm:prSet phldrT="[Text]"/>
      <dgm:spPr/>
      <dgm:t>
        <a:bodyPr/>
        <a:lstStyle/>
        <a:p>
          <a:r>
            <a:rPr lang="en-GB" b="1"/>
            <a:t>Viablity Gap Financing</a:t>
          </a:r>
        </a:p>
        <a:p>
          <a:r>
            <a:rPr lang="en-GB" b="1"/>
            <a:t>PT SM1</a:t>
          </a:r>
        </a:p>
        <a:p>
          <a:r>
            <a:rPr lang="en-GB" b="1"/>
            <a:t>PT IFF</a:t>
          </a:r>
        </a:p>
      </dgm:t>
    </dgm:pt>
    <dgm:pt modelId="{F3F45CF1-EF09-4DB4-B835-FB997622DAC4}" type="parTrans" cxnId="{904C69BC-786A-4B2A-80A6-655A8FBCC41B}">
      <dgm:prSet/>
      <dgm:spPr/>
      <dgm:t>
        <a:bodyPr/>
        <a:lstStyle/>
        <a:p>
          <a:endParaRPr lang="en-GB"/>
        </a:p>
      </dgm:t>
    </dgm:pt>
    <dgm:pt modelId="{E5EDEC50-6045-47AC-B60C-B9299B337653}" type="sibTrans" cxnId="{904C69BC-786A-4B2A-80A6-655A8FBCC41B}">
      <dgm:prSet/>
      <dgm:spPr/>
      <dgm:t>
        <a:bodyPr/>
        <a:lstStyle/>
        <a:p>
          <a:endParaRPr lang="en-GB"/>
        </a:p>
      </dgm:t>
    </dgm:pt>
    <dgm:pt modelId="{4DE4FD29-EC35-4CAB-80C1-F01394EF5A00}">
      <dgm:prSet phldrT="[Text]"/>
      <dgm:spPr/>
      <dgm:t>
        <a:bodyPr/>
        <a:lstStyle/>
        <a:p>
          <a:r>
            <a:rPr lang="en-GB" b="1"/>
            <a:t>MOF Approval</a:t>
          </a:r>
        </a:p>
        <a:p>
          <a:r>
            <a:rPr lang="en-GB" b="1"/>
            <a:t>RMU</a:t>
          </a:r>
        </a:p>
        <a:p>
          <a:r>
            <a:rPr lang="en-GB" b="1"/>
            <a:t>IIGF</a:t>
          </a:r>
        </a:p>
      </dgm:t>
    </dgm:pt>
    <dgm:pt modelId="{76245CC5-60B1-4E25-92D7-463A2FB40354}" type="parTrans" cxnId="{D9513DB3-4E5E-4FCC-AB78-F4EE647CA28C}">
      <dgm:prSet/>
      <dgm:spPr/>
      <dgm:t>
        <a:bodyPr/>
        <a:lstStyle/>
        <a:p>
          <a:endParaRPr lang="en-GB"/>
        </a:p>
      </dgm:t>
    </dgm:pt>
    <dgm:pt modelId="{108495AA-38D1-4F47-98B6-97DE9BFCBF7C}" type="sibTrans" cxnId="{D9513DB3-4E5E-4FCC-AB78-F4EE647CA28C}">
      <dgm:prSet/>
      <dgm:spPr/>
      <dgm:t>
        <a:bodyPr/>
        <a:lstStyle/>
        <a:p>
          <a:endParaRPr lang="en-GB"/>
        </a:p>
      </dgm:t>
    </dgm:pt>
    <dgm:pt modelId="{B681324D-30B3-47F4-B4DB-B3EE02E94867}">
      <dgm:prSet phldrT="[Text]"/>
      <dgm:spPr/>
      <dgm:t>
        <a:bodyPr/>
        <a:lstStyle/>
        <a:p>
          <a:r>
            <a:rPr lang="en-GB" b="1"/>
            <a:t>PPP Promotion</a:t>
          </a:r>
        </a:p>
        <a:p>
          <a:r>
            <a:rPr lang="en-GB" b="1"/>
            <a:t>PKPM</a:t>
          </a:r>
        </a:p>
      </dgm:t>
    </dgm:pt>
    <dgm:pt modelId="{3B00EDDA-BE5B-42C1-BF7E-A716ED7DF50C}" type="parTrans" cxnId="{A55F4128-5D6C-4515-A2DB-FBC364A64282}">
      <dgm:prSet/>
      <dgm:spPr/>
      <dgm:t>
        <a:bodyPr/>
        <a:lstStyle/>
        <a:p>
          <a:endParaRPr lang="en-GB"/>
        </a:p>
      </dgm:t>
    </dgm:pt>
    <dgm:pt modelId="{DA355B86-7FA7-4C1E-B70A-FA0EF57C3041}" type="sibTrans" cxnId="{A55F4128-5D6C-4515-A2DB-FBC364A64282}">
      <dgm:prSet/>
      <dgm:spPr/>
      <dgm:t>
        <a:bodyPr/>
        <a:lstStyle/>
        <a:p>
          <a:endParaRPr lang="en-GB"/>
        </a:p>
      </dgm:t>
    </dgm:pt>
    <dgm:pt modelId="{B1B032EB-2E36-4FE0-B7C2-CF10D2EE2A95}">
      <dgm:prSet/>
      <dgm:spPr/>
      <dgm:t>
        <a:bodyPr/>
        <a:lstStyle/>
        <a:p>
          <a:pPr rtl="0"/>
          <a:r>
            <a:rPr lang="en-GB" b="1"/>
            <a:t>GCAs</a:t>
          </a:r>
        </a:p>
        <a:p>
          <a:pPr rtl="0"/>
          <a:r>
            <a:rPr lang="en-GB" b="1"/>
            <a:t>Line Ministries</a:t>
          </a:r>
        </a:p>
        <a:p>
          <a:pPr rtl="0"/>
          <a:r>
            <a:rPr lang="en-GB"/>
            <a:t>Local Authorities</a:t>
          </a:r>
        </a:p>
      </dgm:t>
    </dgm:pt>
    <dgm:pt modelId="{AFE60FB8-D245-403F-BC91-02201D4B5233}" type="parTrans" cxnId="{A57964EC-88C3-4394-8425-BB05B98EDC74}">
      <dgm:prSet/>
      <dgm:spPr/>
      <dgm:t>
        <a:bodyPr/>
        <a:lstStyle/>
        <a:p>
          <a:endParaRPr lang="en-GB"/>
        </a:p>
      </dgm:t>
    </dgm:pt>
    <dgm:pt modelId="{AC69040F-92C7-434E-ACCA-EA8BFD48D6CF}" type="sibTrans" cxnId="{A57964EC-88C3-4394-8425-BB05B98EDC74}">
      <dgm:prSet/>
      <dgm:spPr/>
      <dgm:t>
        <a:bodyPr/>
        <a:lstStyle/>
        <a:p>
          <a:endParaRPr lang="en-GB"/>
        </a:p>
      </dgm:t>
    </dgm:pt>
    <dgm:pt modelId="{AACD4CB2-E949-4F84-80D6-8A56BDFEA38A}" type="pres">
      <dgm:prSet presAssocID="{08DBDC28-3CAB-4E57-9B98-EB5F5C3893BA}" presName="diagram" presStyleCnt="0">
        <dgm:presLayoutVars>
          <dgm:dir/>
          <dgm:resizeHandles val="exact"/>
        </dgm:presLayoutVars>
      </dgm:prSet>
      <dgm:spPr/>
      <dgm:t>
        <a:bodyPr/>
        <a:lstStyle/>
        <a:p>
          <a:endParaRPr lang="en-GB"/>
        </a:p>
      </dgm:t>
    </dgm:pt>
    <dgm:pt modelId="{DA25425E-5F5E-4F92-AEF8-F0014FC3BD50}" type="pres">
      <dgm:prSet presAssocID="{78C7DDF3-D293-41A8-919C-474208A1EF24}" presName="node" presStyleLbl="node1" presStyleIdx="0" presStyleCnt="6" custScaleX="342340">
        <dgm:presLayoutVars>
          <dgm:bulletEnabled val="1"/>
        </dgm:presLayoutVars>
      </dgm:prSet>
      <dgm:spPr/>
      <dgm:t>
        <a:bodyPr/>
        <a:lstStyle/>
        <a:p>
          <a:endParaRPr lang="en-GB"/>
        </a:p>
      </dgm:t>
    </dgm:pt>
    <dgm:pt modelId="{BBDECE7D-EB59-4685-8DCF-386137629B65}" type="pres">
      <dgm:prSet presAssocID="{7CA2A19E-67F0-407D-B991-114F2C4C7791}" presName="sibTrans" presStyleCnt="0"/>
      <dgm:spPr/>
    </dgm:pt>
    <dgm:pt modelId="{DBA20E23-8B1B-4AB7-8D32-1394C2285092}" type="pres">
      <dgm:prSet presAssocID="{CF10F371-0EA5-4BDE-9CEF-923FA815F832}" presName="node" presStyleLbl="node1" presStyleIdx="1" presStyleCnt="6" custScaleX="71633">
        <dgm:presLayoutVars>
          <dgm:bulletEnabled val="1"/>
        </dgm:presLayoutVars>
      </dgm:prSet>
      <dgm:spPr/>
      <dgm:t>
        <a:bodyPr/>
        <a:lstStyle/>
        <a:p>
          <a:endParaRPr lang="en-GB"/>
        </a:p>
      </dgm:t>
    </dgm:pt>
    <dgm:pt modelId="{53B327EB-9EE6-4086-BCFF-97C9D21E714F}" type="pres">
      <dgm:prSet presAssocID="{4067168E-A60B-4D6B-A7C9-FFB72F9FDCD1}" presName="sibTrans" presStyleCnt="0"/>
      <dgm:spPr/>
    </dgm:pt>
    <dgm:pt modelId="{088FE4CF-F713-4EF1-9040-D00161F66F8F}" type="pres">
      <dgm:prSet presAssocID="{159E995C-E234-4A8B-8102-421DC1EAD44B}" presName="node" presStyleLbl="node1" presStyleIdx="2" presStyleCnt="6" custScaleX="84887">
        <dgm:presLayoutVars>
          <dgm:bulletEnabled val="1"/>
        </dgm:presLayoutVars>
      </dgm:prSet>
      <dgm:spPr/>
      <dgm:t>
        <a:bodyPr/>
        <a:lstStyle/>
        <a:p>
          <a:endParaRPr lang="en-GB"/>
        </a:p>
      </dgm:t>
    </dgm:pt>
    <dgm:pt modelId="{B3BEA244-47F0-4265-A310-2D4953834C95}" type="pres">
      <dgm:prSet presAssocID="{E5EDEC50-6045-47AC-B60C-B9299B337653}" presName="sibTrans" presStyleCnt="0"/>
      <dgm:spPr/>
    </dgm:pt>
    <dgm:pt modelId="{5C7BDDE0-D60F-4C04-A16B-04BDA933B760}" type="pres">
      <dgm:prSet presAssocID="{4DE4FD29-EC35-4CAB-80C1-F01394EF5A00}" presName="node" presStyleLbl="node1" presStyleIdx="3" presStyleCnt="6" custScaleX="78465">
        <dgm:presLayoutVars>
          <dgm:bulletEnabled val="1"/>
        </dgm:presLayoutVars>
      </dgm:prSet>
      <dgm:spPr/>
      <dgm:t>
        <a:bodyPr/>
        <a:lstStyle/>
        <a:p>
          <a:endParaRPr lang="en-GB"/>
        </a:p>
      </dgm:t>
    </dgm:pt>
    <dgm:pt modelId="{65A06C91-4212-4202-B1F2-E15A77D35141}" type="pres">
      <dgm:prSet presAssocID="{108495AA-38D1-4F47-98B6-97DE9BFCBF7C}" presName="sibTrans" presStyleCnt="0"/>
      <dgm:spPr/>
    </dgm:pt>
    <dgm:pt modelId="{9E257611-D1E9-44A3-9771-8808BFDC1E1A}" type="pres">
      <dgm:prSet presAssocID="{B681324D-30B3-47F4-B4DB-B3EE02E94867}" presName="node" presStyleLbl="node1" presStyleIdx="4" presStyleCnt="6" custScaleX="75340">
        <dgm:presLayoutVars>
          <dgm:bulletEnabled val="1"/>
        </dgm:presLayoutVars>
      </dgm:prSet>
      <dgm:spPr/>
      <dgm:t>
        <a:bodyPr/>
        <a:lstStyle/>
        <a:p>
          <a:endParaRPr lang="en-GB"/>
        </a:p>
      </dgm:t>
    </dgm:pt>
    <dgm:pt modelId="{D619713C-8E44-4392-874F-A628556F4FB2}" type="pres">
      <dgm:prSet presAssocID="{DA355B86-7FA7-4C1E-B70A-FA0EF57C3041}" presName="sibTrans" presStyleCnt="0"/>
      <dgm:spPr/>
    </dgm:pt>
    <dgm:pt modelId="{65E31DDF-59DD-4212-A638-E6916872DB8A}" type="pres">
      <dgm:prSet presAssocID="{B1B032EB-2E36-4FE0-B7C2-CF10D2EE2A95}" presName="node" presStyleLbl="node1" presStyleIdx="5" presStyleCnt="6" custScaleX="282997" custScaleY="86438">
        <dgm:presLayoutVars>
          <dgm:bulletEnabled val="1"/>
        </dgm:presLayoutVars>
      </dgm:prSet>
      <dgm:spPr/>
      <dgm:t>
        <a:bodyPr/>
        <a:lstStyle/>
        <a:p>
          <a:endParaRPr lang="en-GB"/>
        </a:p>
      </dgm:t>
    </dgm:pt>
  </dgm:ptLst>
  <dgm:cxnLst>
    <dgm:cxn modelId="{BE1E3FED-F876-4C0D-9AAF-3C5C566EC81B}" type="presOf" srcId="{B681324D-30B3-47F4-B4DB-B3EE02E94867}" destId="{9E257611-D1E9-44A3-9771-8808BFDC1E1A}" srcOrd="0" destOrd="0" presId="urn:microsoft.com/office/officeart/2005/8/layout/default"/>
    <dgm:cxn modelId="{A55F4128-5D6C-4515-A2DB-FBC364A64282}" srcId="{08DBDC28-3CAB-4E57-9B98-EB5F5C3893BA}" destId="{B681324D-30B3-47F4-B4DB-B3EE02E94867}" srcOrd="4" destOrd="0" parTransId="{3B00EDDA-BE5B-42C1-BF7E-A716ED7DF50C}" sibTransId="{DA355B86-7FA7-4C1E-B70A-FA0EF57C3041}"/>
    <dgm:cxn modelId="{95F46F6D-5866-4A02-BFB5-F4F1E507E96A}" type="presOf" srcId="{B1B032EB-2E36-4FE0-B7C2-CF10D2EE2A95}" destId="{65E31DDF-59DD-4212-A638-E6916872DB8A}" srcOrd="0" destOrd="0" presId="urn:microsoft.com/office/officeart/2005/8/layout/default"/>
    <dgm:cxn modelId="{B7A8B5E0-FB23-4609-968A-51ACFB1F8780}" srcId="{08DBDC28-3CAB-4E57-9B98-EB5F5C3893BA}" destId="{CF10F371-0EA5-4BDE-9CEF-923FA815F832}" srcOrd="1" destOrd="0" parTransId="{4BCDCC47-896E-41DB-887A-AB644D64F21B}" sibTransId="{4067168E-A60B-4D6B-A7C9-FFB72F9FDCD1}"/>
    <dgm:cxn modelId="{A57964EC-88C3-4394-8425-BB05B98EDC74}" srcId="{08DBDC28-3CAB-4E57-9B98-EB5F5C3893BA}" destId="{B1B032EB-2E36-4FE0-B7C2-CF10D2EE2A95}" srcOrd="5" destOrd="0" parTransId="{AFE60FB8-D245-403F-BC91-02201D4B5233}" sibTransId="{AC69040F-92C7-434E-ACCA-EA8BFD48D6CF}"/>
    <dgm:cxn modelId="{D9182B42-73D1-4211-99D9-2161AB4D5ADF}" type="presOf" srcId="{CF10F371-0EA5-4BDE-9CEF-923FA815F832}" destId="{DBA20E23-8B1B-4AB7-8D32-1394C2285092}" srcOrd="0" destOrd="0" presId="urn:microsoft.com/office/officeart/2005/8/layout/default"/>
    <dgm:cxn modelId="{430DBE6E-9268-458C-AF1E-8513B92E654C}" srcId="{08DBDC28-3CAB-4E57-9B98-EB5F5C3893BA}" destId="{78C7DDF3-D293-41A8-919C-474208A1EF24}" srcOrd="0" destOrd="0" parTransId="{9D8E3D75-9E78-46E0-80B1-57620CF8B3CE}" sibTransId="{7CA2A19E-67F0-407D-B991-114F2C4C7791}"/>
    <dgm:cxn modelId="{D9513DB3-4E5E-4FCC-AB78-F4EE647CA28C}" srcId="{08DBDC28-3CAB-4E57-9B98-EB5F5C3893BA}" destId="{4DE4FD29-EC35-4CAB-80C1-F01394EF5A00}" srcOrd="3" destOrd="0" parTransId="{76245CC5-60B1-4E25-92D7-463A2FB40354}" sibTransId="{108495AA-38D1-4F47-98B6-97DE9BFCBF7C}"/>
    <dgm:cxn modelId="{F0FF74A8-C45E-4046-905E-A972EEB4E1C1}" type="presOf" srcId="{08DBDC28-3CAB-4E57-9B98-EB5F5C3893BA}" destId="{AACD4CB2-E949-4F84-80D6-8A56BDFEA38A}" srcOrd="0" destOrd="0" presId="urn:microsoft.com/office/officeart/2005/8/layout/default"/>
    <dgm:cxn modelId="{904C69BC-786A-4B2A-80A6-655A8FBCC41B}" srcId="{08DBDC28-3CAB-4E57-9B98-EB5F5C3893BA}" destId="{159E995C-E234-4A8B-8102-421DC1EAD44B}" srcOrd="2" destOrd="0" parTransId="{F3F45CF1-EF09-4DB4-B835-FB997622DAC4}" sibTransId="{E5EDEC50-6045-47AC-B60C-B9299B337653}"/>
    <dgm:cxn modelId="{BCC2EB9F-D16D-47F0-9406-19318C2F576A}" type="presOf" srcId="{78C7DDF3-D293-41A8-919C-474208A1EF24}" destId="{DA25425E-5F5E-4F92-AEF8-F0014FC3BD50}" srcOrd="0" destOrd="0" presId="urn:microsoft.com/office/officeart/2005/8/layout/default"/>
    <dgm:cxn modelId="{FB1FC3A2-7AD2-484C-91CD-DC7BB43620C7}" type="presOf" srcId="{4DE4FD29-EC35-4CAB-80C1-F01394EF5A00}" destId="{5C7BDDE0-D60F-4C04-A16B-04BDA933B760}" srcOrd="0" destOrd="0" presId="urn:microsoft.com/office/officeart/2005/8/layout/default"/>
    <dgm:cxn modelId="{1455638E-1CAB-454F-8478-BC5AF109144F}" type="presOf" srcId="{159E995C-E234-4A8B-8102-421DC1EAD44B}" destId="{088FE4CF-F713-4EF1-9040-D00161F66F8F}" srcOrd="0" destOrd="0" presId="urn:microsoft.com/office/officeart/2005/8/layout/default"/>
    <dgm:cxn modelId="{42CA1E5A-F07E-42A3-B41A-B595BAFC9360}" type="presParOf" srcId="{AACD4CB2-E949-4F84-80D6-8A56BDFEA38A}" destId="{DA25425E-5F5E-4F92-AEF8-F0014FC3BD50}" srcOrd="0" destOrd="0" presId="urn:microsoft.com/office/officeart/2005/8/layout/default"/>
    <dgm:cxn modelId="{AE1D1FCE-6243-4D03-BFBE-0F6201298D8C}" type="presParOf" srcId="{AACD4CB2-E949-4F84-80D6-8A56BDFEA38A}" destId="{BBDECE7D-EB59-4685-8DCF-386137629B65}" srcOrd="1" destOrd="0" presId="urn:microsoft.com/office/officeart/2005/8/layout/default"/>
    <dgm:cxn modelId="{12EC1AA6-AEA8-46BD-8E76-AA0B99D34419}" type="presParOf" srcId="{AACD4CB2-E949-4F84-80D6-8A56BDFEA38A}" destId="{DBA20E23-8B1B-4AB7-8D32-1394C2285092}" srcOrd="2" destOrd="0" presId="urn:microsoft.com/office/officeart/2005/8/layout/default"/>
    <dgm:cxn modelId="{859EE138-9834-4397-B830-1A91FDEDA99F}" type="presParOf" srcId="{AACD4CB2-E949-4F84-80D6-8A56BDFEA38A}" destId="{53B327EB-9EE6-4086-BCFF-97C9D21E714F}" srcOrd="3" destOrd="0" presId="urn:microsoft.com/office/officeart/2005/8/layout/default"/>
    <dgm:cxn modelId="{0BC91409-CCBA-4990-AE6D-7A15C405073C}" type="presParOf" srcId="{AACD4CB2-E949-4F84-80D6-8A56BDFEA38A}" destId="{088FE4CF-F713-4EF1-9040-D00161F66F8F}" srcOrd="4" destOrd="0" presId="urn:microsoft.com/office/officeart/2005/8/layout/default"/>
    <dgm:cxn modelId="{355FC7B0-ECEE-4F12-AD17-9EB6FFDCA3E4}" type="presParOf" srcId="{AACD4CB2-E949-4F84-80D6-8A56BDFEA38A}" destId="{B3BEA244-47F0-4265-A310-2D4953834C95}" srcOrd="5" destOrd="0" presId="urn:microsoft.com/office/officeart/2005/8/layout/default"/>
    <dgm:cxn modelId="{9332B5BA-544E-4107-AA01-53CEADAAB6C5}" type="presParOf" srcId="{AACD4CB2-E949-4F84-80D6-8A56BDFEA38A}" destId="{5C7BDDE0-D60F-4C04-A16B-04BDA933B760}" srcOrd="6" destOrd="0" presId="urn:microsoft.com/office/officeart/2005/8/layout/default"/>
    <dgm:cxn modelId="{4DF48E6A-EC30-4F85-94A4-56ABBDED780F}" type="presParOf" srcId="{AACD4CB2-E949-4F84-80D6-8A56BDFEA38A}" destId="{65A06C91-4212-4202-B1F2-E15A77D35141}" srcOrd="7" destOrd="0" presId="urn:microsoft.com/office/officeart/2005/8/layout/default"/>
    <dgm:cxn modelId="{3644E597-7574-4BD4-82C6-2671935F9941}" type="presParOf" srcId="{AACD4CB2-E949-4F84-80D6-8A56BDFEA38A}" destId="{9E257611-D1E9-44A3-9771-8808BFDC1E1A}" srcOrd="8" destOrd="0" presId="urn:microsoft.com/office/officeart/2005/8/layout/default"/>
    <dgm:cxn modelId="{9053505F-54D0-43A9-B656-EF924C79FAB6}" type="presParOf" srcId="{AACD4CB2-E949-4F84-80D6-8A56BDFEA38A}" destId="{D619713C-8E44-4392-874F-A628556F4FB2}" srcOrd="9" destOrd="0" presId="urn:microsoft.com/office/officeart/2005/8/layout/default"/>
    <dgm:cxn modelId="{DAD6CED7-8F6D-439F-9900-1F69477E3035}" type="presParOf" srcId="{AACD4CB2-E949-4F84-80D6-8A56BDFEA38A}" destId="{65E31DDF-59DD-4212-A638-E6916872DB8A}" srcOrd="10"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5425E-5F5E-4F92-AEF8-F0014FC3BD50}">
      <dsp:nvSpPr>
        <dsp:cNvPr id="0" name=""/>
        <dsp:cNvSpPr/>
      </dsp:nvSpPr>
      <dsp:spPr>
        <a:xfrm>
          <a:off x="893" y="63499"/>
          <a:ext cx="4532113" cy="794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Presidential Committee on Infrastructure Projects</a:t>
          </a:r>
        </a:p>
        <a:p>
          <a:pPr lvl="0" algn="ctr" defTabSz="444500" rtl="0">
            <a:lnSpc>
              <a:spcPct val="90000"/>
            </a:lnSpc>
            <a:spcBef>
              <a:spcPct val="0"/>
            </a:spcBef>
            <a:spcAft>
              <a:spcPct val="35000"/>
            </a:spcAft>
          </a:pPr>
          <a:r>
            <a:rPr lang="en-GB" sz="1000" b="1" kern="1200"/>
            <a:t>Bappenas, MoF, Coordinating Ministry of Economic Affairs, </a:t>
          </a:r>
        </a:p>
        <a:p>
          <a:pPr lvl="0" algn="ctr" defTabSz="444500" rtl="0">
            <a:lnSpc>
              <a:spcPct val="90000"/>
            </a:lnSpc>
            <a:spcBef>
              <a:spcPct val="0"/>
            </a:spcBef>
            <a:spcAft>
              <a:spcPct val="35000"/>
            </a:spcAft>
          </a:pPr>
          <a:r>
            <a:rPr lang="en-GB" sz="1000" b="1" kern="1200"/>
            <a:t>Infrastructure ministries (Public Works, Transport, Energy)</a:t>
          </a:r>
        </a:p>
      </dsp:txBody>
      <dsp:txXfrm>
        <a:off x="893" y="63499"/>
        <a:ext cx="4532113" cy="794318"/>
      </dsp:txXfrm>
    </dsp:sp>
    <dsp:sp modelId="{DBA20E23-8B1B-4AB7-8D32-1394C2285092}">
      <dsp:nvSpPr>
        <dsp:cNvPr id="0" name=""/>
        <dsp:cNvSpPr/>
      </dsp:nvSpPr>
      <dsp:spPr>
        <a:xfrm>
          <a:off x="14230" y="990203"/>
          <a:ext cx="948323" cy="794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PPP Support</a:t>
          </a:r>
        </a:p>
        <a:p>
          <a:pPr lvl="0" algn="ctr" defTabSz="444500">
            <a:lnSpc>
              <a:spcPct val="90000"/>
            </a:lnSpc>
            <a:spcBef>
              <a:spcPct val="0"/>
            </a:spcBef>
            <a:spcAft>
              <a:spcPct val="35000"/>
            </a:spcAft>
          </a:pPr>
          <a:r>
            <a:rPr lang="en-GB" sz="1000" b="1" kern="1200"/>
            <a:t>P3CU</a:t>
          </a:r>
        </a:p>
        <a:p>
          <a:pPr lvl="0" algn="ctr" defTabSz="444500">
            <a:lnSpc>
              <a:spcPct val="90000"/>
            </a:lnSpc>
            <a:spcBef>
              <a:spcPct val="0"/>
            </a:spcBef>
            <a:spcAft>
              <a:spcPct val="35000"/>
            </a:spcAft>
          </a:pPr>
          <a:r>
            <a:rPr lang="en-GB" sz="1000" b="1" kern="1200"/>
            <a:t>PDF</a:t>
          </a:r>
        </a:p>
      </dsp:txBody>
      <dsp:txXfrm>
        <a:off x="14230" y="990203"/>
        <a:ext cx="948323" cy="794318"/>
      </dsp:txXfrm>
    </dsp:sp>
    <dsp:sp modelId="{088FE4CF-F713-4EF1-9040-D00161F66F8F}">
      <dsp:nvSpPr>
        <dsp:cNvPr id="0" name=""/>
        <dsp:cNvSpPr/>
      </dsp:nvSpPr>
      <dsp:spPr>
        <a:xfrm>
          <a:off x="1094940" y="990203"/>
          <a:ext cx="1123787" cy="794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Viablity Gap Financing</a:t>
          </a:r>
        </a:p>
        <a:p>
          <a:pPr lvl="0" algn="ctr" defTabSz="444500">
            <a:lnSpc>
              <a:spcPct val="90000"/>
            </a:lnSpc>
            <a:spcBef>
              <a:spcPct val="0"/>
            </a:spcBef>
            <a:spcAft>
              <a:spcPct val="35000"/>
            </a:spcAft>
          </a:pPr>
          <a:r>
            <a:rPr lang="en-GB" sz="1000" b="1" kern="1200"/>
            <a:t>PT SM1</a:t>
          </a:r>
        </a:p>
        <a:p>
          <a:pPr lvl="0" algn="ctr" defTabSz="444500">
            <a:lnSpc>
              <a:spcPct val="90000"/>
            </a:lnSpc>
            <a:spcBef>
              <a:spcPct val="0"/>
            </a:spcBef>
            <a:spcAft>
              <a:spcPct val="35000"/>
            </a:spcAft>
          </a:pPr>
          <a:r>
            <a:rPr lang="en-GB" sz="1000" b="1" kern="1200"/>
            <a:t>PT IFF</a:t>
          </a:r>
        </a:p>
      </dsp:txBody>
      <dsp:txXfrm>
        <a:off x="1094940" y="990203"/>
        <a:ext cx="1123787" cy="794318"/>
      </dsp:txXfrm>
    </dsp:sp>
    <dsp:sp modelId="{5C7BDDE0-D60F-4C04-A16B-04BDA933B760}">
      <dsp:nvSpPr>
        <dsp:cNvPr id="0" name=""/>
        <dsp:cNvSpPr/>
      </dsp:nvSpPr>
      <dsp:spPr>
        <a:xfrm>
          <a:off x="2351114" y="990203"/>
          <a:ext cx="1038769" cy="794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MOF Approval</a:t>
          </a:r>
        </a:p>
        <a:p>
          <a:pPr lvl="0" algn="ctr" defTabSz="444500">
            <a:lnSpc>
              <a:spcPct val="90000"/>
            </a:lnSpc>
            <a:spcBef>
              <a:spcPct val="0"/>
            </a:spcBef>
            <a:spcAft>
              <a:spcPct val="35000"/>
            </a:spcAft>
          </a:pPr>
          <a:r>
            <a:rPr lang="en-GB" sz="1000" b="1" kern="1200"/>
            <a:t>RMU</a:t>
          </a:r>
        </a:p>
        <a:p>
          <a:pPr lvl="0" algn="ctr" defTabSz="444500">
            <a:lnSpc>
              <a:spcPct val="90000"/>
            </a:lnSpc>
            <a:spcBef>
              <a:spcPct val="0"/>
            </a:spcBef>
            <a:spcAft>
              <a:spcPct val="35000"/>
            </a:spcAft>
          </a:pPr>
          <a:r>
            <a:rPr lang="en-GB" sz="1000" b="1" kern="1200"/>
            <a:t>IIGF</a:t>
          </a:r>
        </a:p>
      </dsp:txBody>
      <dsp:txXfrm>
        <a:off x="2351114" y="990203"/>
        <a:ext cx="1038769" cy="794318"/>
      </dsp:txXfrm>
    </dsp:sp>
    <dsp:sp modelId="{9E257611-D1E9-44A3-9771-8808BFDC1E1A}">
      <dsp:nvSpPr>
        <dsp:cNvPr id="0" name=""/>
        <dsp:cNvSpPr/>
      </dsp:nvSpPr>
      <dsp:spPr>
        <a:xfrm>
          <a:off x="3522270" y="990203"/>
          <a:ext cx="997398" cy="794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t>PPP Promotion</a:t>
          </a:r>
        </a:p>
        <a:p>
          <a:pPr lvl="0" algn="ctr" defTabSz="444500">
            <a:lnSpc>
              <a:spcPct val="90000"/>
            </a:lnSpc>
            <a:spcBef>
              <a:spcPct val="0"/>
            </a:spcBef>
            <a:spcAft>
              <a:spcPct val="35000"/>
            </a:spcAft>
          </a:pPr>
          <a:r>
            <a:rPr lang="en-GB" sz="1000" b="1" kern="1200"/>
            <a:t>PKPM</a:t>
          </a:r>
        </a:p>
      </dsp:txBody>
      <dsp:txXfrm>
        <a:off x="3522270" y="990203"/>
        <a:ext cx="997398" cy="794318"/>
      </dsp:txXfrm>
    </dsp:sp>
    <dsp:sp modelId="{65E31DDF-59DD-4212-A638-E6916872DB8A}">
      <dsp:nvSpPr>
        <dsp:cNvPr id="0" name=""/>
        <dsp:cNvSpPr/>
      </dsp:nvSpPr>
      <dsp:spPr>
        <a:xfrm>
          <a:off x="393703" y="1916908"/>
          <a:ext cx="3746493" cy="6865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0">
            <a:lnSpc>
              <a:spcPct val="90000"/>
            </a:lnSpc>
            <a:spcBef>
              <a:spcPct val="0"/>
            </a:spcBef>
            <a:spcAft>
              <a:spcPct val="35000"/>
            </a:spcAft>
          </a:pPr>
          <a:r>
            <a:rPr lang="en-GB" sz="1000" b="1" kern="1200"/>
            <a:t>GCAs</a:t>
          </a:r>
        </a:p>
        <a:p>
          <a:pPr lvl="0" algn="ctr" defTabSz="444500" rtl="0">
            <a:lnSpc>
              <a:spcPct val="90000"/>
            </a:lnSpc>
            <a:spcBef>
              <a:spcPct val="0"/>
            </a:spcBef>
            <a:spcAft>
              <a:spcPct val="35000"/>
            </a:spcAft>
          </a:pPr>
          <a:r>
            <a:rPr lang="en-GB" sz="1000" b="1" kern="1200"/>
            <a:t>Line Ministries</a:t>
          </a:r>
        </a:p>
        <a:p>
          <a:pPr lvl="0" algn="ctr" defTabSz="444500" rtl="0">
            <a:lnSpc>
              <a:spcPct val="90000"/>
            </a:lnSpc>
            <a:spcBef>
              <a:spcPct val="0"/>
            </a:spcBef>
            <a:spcAft>
              <a:spcPct val="35000"/>
            </a:spcAft>
          </a:pPr>
          <a:r>
            <a:rPr lang="en-GB" sz="1000" kern="1200"/>
            <a:t>Local Authorities</a:t>
          </a:r>
        </a:p>
      </dsp:txBody>
      <dsp:txXfrm>
        <a:off x="393703" y="1916908"/>
        <a:ext cx="3746493" cy="68659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F76C5-9EBE-4392-B423-C18E26997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38035</Words>
  <Characters>216803</Characters>
  <Application>Microsoft Office Word</Application>
  <DocSecurity>0</DocSecurity>
  <Lines>1806</Lines>
  <Paragraphs>508</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254330</CharactersWithSpaces>
  <SharedDoc>false</SharedDoc>
  <HLinks>
    <vt:vector size="48" baseType="variant">
      <vt:variant>
        <vt:i4>5111901</vt:i4>
      </vt:variant>
      <vt:variant>
        <vt:i4>30</vt:i4>
      </vt:variant>
      <vt:variant>
        <vt:i4>0</vt:i4>
      </vt:variant>
      <vt:variant>
        <vt:i4>5</vt:i4>
      </vt:variant>
      <vt:variant>
        <vt:lpwstr>http://www.epsu.org/</vt:lpwstr>
      </vt:variant>
      <vt:variant>
        <vt:lpwstr/>
      </vt:variant>
      <vt:variant>
        <vt:i4>5963857</vt:i4>
      </vt:variant>
      <vt:variant>
        <vt:i4>27</vt:i4>
      </vt:variant>
      <vt:variant>
        <vt:i4>0</vt:i4>
      </vt:variant>
      <vt:variant>
        <vt:i4>5</vt:i4>
      </vt:variant>
      <vt:variant>
        <vt:lpwstr>http://www.world-psi.org/</vt:lpwstr>
      </vt:variant>
      <vt:variant>
        <vt:lpwstr/>
      </vt:variant>
      <vt:variant>
        <vt:i4>851994</vt:i4>
      </vt:variant>
      <vt:variant>
        <vt:i4>24</vt:i4>
      </vt:variant>
      <vt:variant>
        <vt:i4>0</vt:i4>
      </vt:variant>
      <vt:variant>
        <vt:i4>5</vt:i4>
      </vt:variant>
      <vt:variant>
        <vt:lpwstr>http://www.gre.ac.uk/</vt:lpwstr>
      </vt:variant>
      <vt:variant>
        <vt:lpwstr/>
      </vt:variant>
      <vt:variant>
        <vt:i4>6946902</vt:i4>
      </vt:variant>
      <vt:variant>
        <vt:i4>21</vt:i4>
      </vt:variant>
      <vt:variant>
        <vt:i4>0</vt:i4>
      </vt:variant>
      <vt:variant>
        <vt:i4>5</vt:i4>
      </vt:variant>
      <vt:variant>
        <vt:lpwstr>mailto:psiru@psiru.org</vt:lpwstr>
      </vt:variant>
      <vt:variant>
        <vt:lpwstr/>
      </vt:variant>
      <vt:variant>
        <vt:i4>5177357</vt:i4>
      </vt:variant>
      <vt:variant>
        <vt:i4>18</vt:i4>
      </vt:variant>
      <vt:variant>
        <vt:i4>0</vt:i4>
      </vt:variant>
      <vt:variant>
        <vt:i4>5</vt:i4>
      </vt:variant>
      <vt:variant>
        <vt:lpwstr>http://www.psiru.org/</vt:lpwstr>
      </vt:variant>
      <vt:variant>
        <vt:lpwstr/>
      </vt:variant>
      <vt:variant>
        <vt:i4>8192100</vt:i4>
      </vt:variant>
      <vt:variant>
        <vt:i4>12</vt:i4>
      </vt:variant>
      <vt:variant>
        <vt:i4>0</vt:i4>
      </vt:variant>
      <vt:variant>
        <vt:i4>5</vt:i4>
      </vt:variant>
      <vt:variant>
        <vt:lpwstr>http://www.gre.ac.uk/index.html</vt:lpwstr>
      </vt:variant>
      <vt:variant>
        <vt:lpwstr/>
      </vt:variant>
      <vt:variant>
        <vt:i4>5177357</vt:i4>
      </vt:variant>
      <vt:variant>
        <vt:i4>0</vt:i4>
      </vt:variant>
      <vt:variant>
        <vt:i4>0</vt:i4>
      </vt:variant>
      <vt:variant>
        <vt:i4>5</vt:i4>
      </vt:variant>
      <vt:variant>
        <vt:lpwstr>http://www.psiru.org/</vt:lpwstr>
      </vt:variant>
      <vt:variant>
        <vt:lpwstr/>
      </vt:variant>
      <vt:variant>
        <vt:i4>5177357</vt:i4>
      </vt:variant>
      <vt:variant>
        <vt:i4>0</vt:i4>
      </vt:variant>
      <vt:variant>
        <vt:i4>0</vt:i4>
      </vt:variant>
      <vt:variant>
        <vt:i4>5</vt:i4>
      </vt:variant>
      <vt:variant>
        <vt:lpwstr>http://www.psiru.org/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dave</cp:lastModifiedBy>
  <cp:revision>2</cp:revision>
  <cp:lastPrinted>2014-03-08T00:05:00Z</cp:lastPrinted>
  <dcterms:created xsi:type="dcterms:W3CDTF">2014-07-11T14:57:00Z</dcterms:created>
  <dcterms:modified xsi:type="dcterms:W3CDTF">2014-07-11T14:57:00Z</dcterms:modified>
</cp:coreProperties>
</file>